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Arial" w:cs="Arial" w:eastAsia="Arial" w:hAnsi="Arial"/>
          <w:b/>
          <w:bCs/>
          <w:caps/>
          <w:color w:val="2E75B6"/>
          <w:sz w:val="17"/>
          <w:szCs w:val="17"/>
        </w:rPr>
        <w:t xml:space="preserve">OPEN UNIVERSITY OF GERMANY</w:t>
      </w:r>
    </w:p>
    <w:p>
      <w:pPr>
        <w:spacing w:before="0" w:after="60"/>
        <w:jc w:val="left"/>
      </w:pPr>
      <w:r>
        <w:rPr>
          <w:rFonts w:ascii="Arial" w:cs="Arial" w:eastAsia="Arial" w:hAnsi="Arial"/>
          <w:color w:val="AAAAAA"/>
          <w:sz w:val="17"/>
          <w:szCs w:val="17"/>
        </w:rPr>
        <w:t xml:space="preserve">Strategic Positioning Document  ·  2026</w:t>
      </w:r>
    </w:p>
    <w:p>
      <w:pPr>
        <w:pBdr>
          <w:bottom w:val="single" w:color="2E75B6" w:sz="10" w:space="1"/>
        </w:pBdr>
        <w:spacing w:before="0" w:after="280"/>
      </w:pPr>
    </w:p>
    <w:p>
      <w:pPr>
        <w:spacing w:before="0" w:after="80"/>
        <w:jc w:val="left"/>
      </w:pPr>
      <w:r>
        <w:rPr>
          <w:rFonts w:ascii="Georgia" w:cs="Georgia" w:eastAsia="Georgia" w:hAnsi="Georgia"/>
          <w:b/>
          <w:bCs/>
          <w:color w:val="0D1F3C"/>
          <w:sz w:val="56"/>
          <w:szCs w:val="56"/>
        </w:rPr>
        <w:t xml:space="preserve">The Missing Layer</w:t>
      </w:r>
    </w:p>
    <w:p>
      <w:pPr>
        <w:spacing w:before="0" w:after="60"/>
        <w:jc w:val="left"/>
      </w:pPr>
      <w:r>
        <w:rPr>
          <w:rFonts w:ascii="Georgia" w:cs="Georgia" w:eastAsia="Georgia" w:hAnsi="Georgia"/>
          <w:i/>
          <w:iCs/>
          <w:color w:val="2E75B6"/>
          <w:sz w:val="27"/>
          <w:szCs w:val="27"/>
        </w:rPr>
        <w:t xml:space="preserve">Why a Skills-First Education System Requires a Federated Credential Infrastructure — and How the Open University of Germany Provides It</w:t>
      </w:r>
    </w:p>
    <w:p>
      <w:pPr>
        <w:spacing w:before="0" w:after="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0D1F3C" w:val="clear"/>
            <w:tcMar>
              <w:top w:type="dxa" w:w="220"/>
              <w:left w:type="dxa" w:w="320"/>
              <w:bottom w:type="dxa" w:w="220"/>
              <w:right w:type="dxa" w:w="280"/>
            </w:tcMar>
          </w:tcPr>
          <w:p>
            <w:pPr>
              <w:jc w:val="both"/>
            </w:pPr>
            <w:r>
              <w:rPr>
                <w:rFonts w:ascii="Georgia" w:cs="Georgia" w:eastAsia="Georgia" w:hAnsi="Georgia"/>
                <w:i/>
                <w:iCs/>
                <w:color w:val="FFFFFF"/>
                <w:sz w:val="23"/>
                <w:szCs w:val="23"/>
              </w:rPr>
              <w:t xml:space="preserve">The global shift toward skills-based hiring and lifelong learning is well documented. What is not yet resolved is the institutional architecture required to make it work. Without a trusted layer to govern, verify, and interconnect credentials, a skills-first system produces not clarity but credential inflation. This document argues that the Open University of Germany occupies precisely that architectural position — and that this is the correct frame for understanding what the OUG is.</w:t>
            </w:r>
          </w:p>
        </w:tc>
      </w:tr>
    </w:tbl>
    <w:p>
      <w:pPr>
        <w:spacing w:before="0" w:after="360"/>
      </w:pPr>
    </w:p>
    <w:p>
      <w:pPr>
        <w:pStyle w:val="Heading1"/>
        <w:spacing w:before="520" w:after="160"/>
      </w:pPr>
      <w:r>
        <w:rPr>
          <w:rFonts w:ascii="Georgia" w:cs="Georgia" w:eastAsia="Georgia" w:hAnsi="Georgia"/>
          <w:b/>
          <w:bCs/>
          <w:color w:val="1F3864"/>
          <w:sz w:val="32"/>
          <w:szCs w:val="32"/>
        </w:rPr>
        <w:t xml:space="preserve">I.  The Problem That Policy Has Not Solved</w:t>
      </w:r>
    </w:p>
    <w:p>
      <w:pPr>
        <w:spacing w:before="0" w:after="190"/>
        <w:ind/>
        <w:jc w:val="both"/>
      </w:pPr>
      <w:r>
        <w:rPr>
          <w:rFonts w:ascii="Georgia" w:cs="Georgia" w:eastAsia="Georgia" w:hAnsi="Georgia"/>
          <w:b w:val="false"/>
          <w:bCs w:val="false"/>
          <w:i w:val="false"/>
          <w:iCs w:val="false"/>
          <w:color w:val="1A1A1A"/>
          <w:sz w:val="23"/>
          <w:szCs w:val="23"/>
        </w:rPr>
        <w:t xml:space="preserve">There is broad consensus in international education policy — from the OECD, from the European Commission, from labour market research — on what a modern learning system should look like. Learning should be modular and lifelong. Credentials should reflect competences, not seat time. Skills should be portable and legible across employers and borders. Pathways should be flexible, open to people at any life stage.</w:t>
      </w:r>
    </w:p>
    <w:p>
      <w:pPr>
        <w:spacing w:before="0" w:after="190"/>
        <w:ind/>
        <w:jc w:val="both"/>
      </w:pPr>
      <w:r>
        <w:rPr>
          <w:rFonts w:ascii="Georgia" w:cs="Georgia" w:eastAsia="Georgia" w:hAnsi="Georgia"/>
          <w:b w:val="false"/>
          <w:bCs w:val="false"/>
          <w:i w:val="false"/>
          <w:iCs w:val="false"/>
          <w:color w:val="1A1A1A"/>
          <w:sz w:val="23"/>
          <w:szCs w:val="23"/>
        </w:rPr>
        <w:t xml:space="preserve">The diagnosis is correct. The prescription is incomplete.</w:t>
      </w:r>
    </w:p>
    <w:p>
      <w:pPr>
        <w:spacing w:before="0" w:after="190"/>
        <w:ind/>
        <w:jc w:val="both"/>
      </w:pPr>
      <w:r>
        <w:rPr>
          <w:rFonts w:ascii="Georgia" w:cs="Georgia" w:eastAsia="Georgia" w:hAnsi="Georgia"/>
          <w:b w:val="false"/>
          <w:bCs w:val="false"/>
          <w:i w:val="false"/>
          <w:iCs w:val="false"/>
          <w:color w:val="1A1A1A"/>
          <w:sz w:val="23"/>
          <w:szCs w:val="23"/>
        </w:rPr>
        <w:t xml:space="preserve">Every serious policy framework for skills-first education eventually reaches the same structural question without answering it: if learning happens everywhere and credentials can be issued by anyone, who governs the layer that makes those credentials trustworthy and interoperable? This is not a technical question. It is an institutional question. And the answer determines whether a skills-first system produces clarity or chaos.</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2E75B6"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70"/>
              <w:left w:type="dxa" w:w="280"/>
              <w:bottom w:type="dxa" w:w="170"/>
              <w:right w:type="dxa" w:w="200"/>
            </w:tcMar>
          </w:tcPr>
          <w:p>
            <w:pPr>
              <w:jc w:val="both"/>
            </w:pPr>
            <w:r>
              <w:rPr>
                <w:rFonts w:ascii="Georgia" w:cs="Georgia" w:eastAsia="Georgia" w:hAnsi="Georgia"/>
                <w:i/>
                <w:iCs/>
                <w:color w:val="1A1A1A"/>
                <w:sz w:val="24"/>
                <w:szCs w:val="24"/>
              </w:rPr>
              <w:t xml:space="preserve">When every institution can issue credentials and no institution governs their meaning, the result is not a skills marketplace. It is a signal collapse. Employers stop trusting credentials. Learners accumulate certificates that mean nothing. The system that was supposed to open access ends up closing it — because only those with access to already-trusted institutions can signal quality.</w:t>
            </w:r>
          </w:p>
        </w:tc>
      </w:tr>
    </w:tbl>
    <w:p>
      <w:pPr>
        <w:spacing w:before="0" w:after="120"/>
      </w:pPr>
    </w:p>
    <w:p>
      <w:pPr>
        <w:spacing w:before="0" w:after="190"/>
        <w:ind/>
        <w:jc w:val="both"/>
      </w:pPr>
      <w:r>
        <w:rPr>
          <w:rFonts w:ascii="Georgia" w:cs="Georgia" w:eastAsia="Georgia" w:hAnsi="Georgia"/>
          <w:b w:val="false"/>
          <w:bCs w:val="false"/>
          <w:i w:val="false"/>
          <w:iCs w:val="false"/>
          <w:color w:val="1A1A1A"/>
          <w:sz w:val="23"/>
          <w:szCs w:val="23"/>
        </w:rPr>
        <w:t xml:space="preserve">This is the structural problem that the Open University of Germany is designed to solve. Not as a side effect of its pedagogical model. As its central institutional function.</w:t>
      </w:r>
    </w:p>
    <w:p>
      <w:pPr>
        <w:spacing w:before="0" w:after="200"/>
      </w:pPr>
    </w:p>
    <w:p>
      <w:pPr>
        <w:pStyle w:val="Heading1"/>
        <w:spacing w:before="520" w:after="160"/>
      </w:pPr>
      <w:r>
        <w:rPr>
          <w:rFonts w:ascii="Georgia" w:cs="Georgia" w:eastAsia="Georgia" w:hAnsi="Georgia"/>
          <w:b/>
          <w:bCs/>
          <w:color w:val="1F3864"/>
          <w:sz w:val="32"/>
          <w:szCs w:val="32"/>
        </w:rPr>
        <w:t xml:space="preserve">II.  Three Models That Are Not Enough</w:t>
      </w:r>
    </w:p>
    <w:p>
      <w:pPr>
        <w:spacing w:before="0" w:after="190"/>
        <w:ind/>
        <w:jc w:val="both"/>
      </w:pPr>
      <w:r>
        <w:rPr>
          <w:rFonts w:ascii="Georgia" w:cs="Georgia" w:eastAsia="Georgia" w:hAnsi="Georgia"/>
          <w:b w:val="false"/>
          <w:bCs w:val="false"/>
          <w:i w:val="false"/>
          <w:iCs w:val="false"/>
          <w:color w:val="1A1A1A"/>
          <w:sz w:val="23"/>
          <w:szCs w:val="23"/>
        </w:rPr>
        <w:t xml:space="preserve">Globally, three institutional models are currently attempting to fill the gap between learning and labour market. Each has genuine strengths. None is sufficient.</w:t>
      </w: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none"/>
              <w:left w:val="none"/>
              <w:bottom w:val="none"/>
              <w:right w:val="none"/>
            </w:tcBorders>
            <w:shd w:fill="2A5298" w:val="clear"/>
            <w:tcMar>
              <w:top w:type="dxa" w:w="120"/>
              <w:left w:type="dxa" w:w="160"/>
              <w:bottom w:type="dxa" w:w="80"/>
              <w:right w:type="dxa" w:w="120"/>
            </w:tcMar>
          </w:tcPr>
          <w:p>
            <w:pPr>
              <w:jc w:val="center"/>
            </w:pPr>
            <w:r>
              <w:rPr>
                <w:rFonts w:ascii="Georgia" w:cs="Georgia" w:eastAsia="Georgia" w:hAnsi="Georgia"/>
                <w:b/>
                <w:bCs/>
                <w:color w:val="FFFFFF"/>
                <w:sz w:val="23"/>
                <w:szCs w:val="23"/>
              </w:rPr>
              <w:t xml:space="preserve">Platform Model</w:t>
            </w:r>
          </w:p>
        </w:tc>
        <w:tc>
          <w:tcPr>
            <w:tcW w:type="dxa" w:w="3008"/>
            <w:tcBorders>
              <w:top w:val="none"/>
              <w:left w:val="none"/>
              <w:bottom w:val="none"/>
              <w:right w:val="none"/>
            </w:tcBorders>
            <w:shd w:fill="1A5C38" w:val="clear"/>
            <w:tcMar>
              <w:top w:type="dxa" w:w="120"/>
              <w:left w:type="dxa" w:w="160"/>
              <w:bottom w:type="dxa" w:w="80"/>
              <w:right w:type="dxa" w:w="120"/>
            </w:tcMar>
          </w:tcPr>
          <w:p>
            <w:pPr>
              <w:jc w:val="center"/>
            </w:pPr>
            <w:r>
              <w:rPr>
                <w:rFonts w:ascii="Georgia" w:cs="Georgia" w:eastAsia="Georgia" w:hAnsi="Georgia"/>
                <w:b/>
                <w:bCs/>
                <w:color w:val="FFFFFF"/>
                <w:sz w:val="23"/>
                <w:szCs w:val="23"/>
              </w:rPr>
              <w:t xml:space="preserve">University Model</w:t>
            </w:r>
          </w:p>
        </w:tc>
        <w:tc>
          <w:tcPr>
            <w:tcW w:type="dxa" w:w="3010"/>
            <w:tcBorders>
              <w:top w:val="none"/>
              <w:left w:val="none"/>
              <w:bottom w:val="none"/>
              <w:right w:val="none"/>
            </w:tcBorders>
            <w:shd w:fill="5C3A00" w:val="clear"/>
            <w:tcMar>
              <w:top w:type="dxa" w:w="120"/>
              <w:left w:type="dxa" w:w="160"/>
              <w:bottom w:type="dxa" w:w="80"/>
              <w:right w:type="dxa" w:w="120"/>
            </w:tcMar>
          </w:tcPr>
          <w:p>
            <w:pPr>
              <w:jc w:val="center"/>
            </w:pPr>
            <w:r>
              <w:rPr>
                <w:rFonts w:ascii="Georgia" w:cs="Georgia" w:eastAsia="Georgia" w:hAnsi="Georgia"/>
                <w:b/>
                <w:bCs/>
                <w:color w:val="FFFFFF"/>
                <w:sz w:val="23"/>
                <w:szCs w:val="23"/>
              </w:rPr>
              <w:t xml:space="preserve">Government Registry Model</w:t>
            </w:r>
          </w:p>
        </w:tc>
      </w:tr>
      <w:tr>
        <w:tc>
          <w:tcPr>
            <w:tcW w:type="dxa" w:w="3008"/>
            <w:tcBorders>
              <w:top w:val="none"/>
              <w:left w:val="none"/>
              <w:bottom w:val="none"/>
              <w:right w:val="none"/>
            </w:tcBorders>
            <w:shd w:fill="F4F7FA" w:val="clear"/>
            <w:tcMar>
              <w:top w:type="dxa" w:w="80"/>
              <w:left w:type="dxa" w:w="160"/>
              <w:bottom w:type="dxa" w:w="40"/>
              <w:right w:type="dxa" w:w="120"/>
            </w:tcMar>
          </w:tcPr>
          <w:p>
            <w:pPr>
              <w:spacing w:before="0" w:after="40"/>
            </w:pPr>
            <w:r>
              <w:rPr>
                <w:rFonts w:ascii="Arial" w:cs="Arial" w:eastAsia="Arial" w:hAnsi="Arial"/>
                <w:b/>
                <w:bCs/>
                <w:caps/>
                <w:color w:val="2A5298"/>
                <w:sz w:val="17"/>
                <w:szCs w:val="17"/>
              </w:rPr>
              <w:t xml:space="preserve">Strength</w:t>
            </w:r>
          </w:p>
          <w:p>
            <w:pPr>
              <w:spacing w:before="0" w:after="0"/>
              <w:jc w:val="left"/>
            </w:pPr>
            <w:r>
              <w:rPr>
                <w:rFonts w:ascii="Georgia" w:cs="Georgia" w:eastAsia="Georgia" w:hAnsi="Georgia"/>
                <w:color w:val="1A1A1A"/>
                <w:sz w:val="21"/>
                <w:szCs w:val="21"/>
              </w:rPr>
              <w:t xml:space="preserve">Massive scale, fast iteration, accessible globally. Reaches learners that universities cannot.</w:t>
            </w:r>
          </w:p>
        </w:tc>
        <w:tc>
          <w:tcPr>
            <w:tcW w:type="dxa" w:w="3008"/>
            <w:tcBorders>
              <w:top w:val="none"/>
              <w:left w:val="none"/>
              <w:bottom w:val="none"/>
              <w:right w:val="none"/>
            </w:tcBorders>
            <w:shd w:fill="F4F7FA" w:val="clear"/>
            <w:tcMar>
              <w:top w:type="dxa" w:w="80"/>
              <w:left w:type="dxa" w:w="160"/>
              <w:bottom w:type="dxa" w:w="40"/>
              <w:right w:type="dxa" w:w="120"/>
            </w:tcMar>
          </w:tcPr>
          <w:p>
            <w:pPr>
              <w:spacing w:before="0" w:after="40"/>
            </w:pPr>
            <w:r>
              <w:rPr>
                <w:rFonts w:ascii="Arial" w:cs="Arial" w:eastAsia="Arial" w:hAnsi="Arial"/>
                <w:b/>
                <w:bCs/>
                <w:caps/>
                <w:color w:val="1A5C38"/>
                <w:sz w:val="17"/>
                <w:szCs w:val="17"/>
              </w:rPr>
              <w:t xml:space="preserve">Strength</w:t>
            </w:r>
          </w:p>
          <w:p>
            <w:pPr>
              <w:spacing w:before="0" w:after="0"/>
              <w:jc w:val="left"/>
            </w:pPr>
            <w:r>
              <w:rPr>
                <w:rFonts w:ascii="Georgia" w:cs="Georgia" w:eastAsia="Georgia" w:hAnsi="Georgia"/>
                <w:color w:val="1A1A1A"/>
                <w:sz w:val="21"/>
                <w:szCs w:val="21"/>
              </w:rPr>
              <w:t xml:space="preserve">High institutional trust. Degree credentials carry recognised weight with employers and across borders.</w:t>
            </w:r>
          </w:p>
        </w:tc>
        <w:tc>
          <w:tcPr>
            <w:tcW w:type="dxa" w:w="3010"/>
            <w:tcBorders>
              <w:top w:val="none"/>
              <w:left w:val="none"/>
              <w:bottom w:val="none"/>
              <w:right w:val="none"/>
            </w:tcBorders>
            <w:shd w:fill="F4F7FA" w:val="clear"/>
            <w:tcMar>
              <w:top w:type="dxa" w:w="80"/>
              <w:left w:type="dxa" w:w="160"/>
              <w:bottom w:type="dxa" w:w="40"/>
              <w:right w:type="dxa" w:w="120"/>
            </w:tcMar>
          </w:tcPr>
          <w:p>
            <w:pPr>
              <w:spacing w:before="0" w:after="40"/>
            </w:pPr>
            <w:r>
              <w:rPr>
                <w:rFonts w:ascii="Arial" w:cs="Arial" w:eastAsia="Arial" w:hAnsi="Arial"/>
                <w:b/>
                <w:bCs/>
                <w:caps/>
                <w:color w:val="5C3A00"/>
                <w:sz w:val="17"/>
                <w:szCs w:val="17"/>
              </w:rPr>
              <w:t xml:space="preserve">Strength</w:t>
            </w:r>
          </w:p>
          <w:p>
            <w:pPr>
              <w:spacing w:before="0" w:after="0"/>
              <w:jc w:val="left"/>
            </w:pPr>
            <w:r>
              <w:rPr>
                <w:rFonts w:ascii="Georgia" w:cs="Georgia" w:eastAsia="Georgia" w:hAnsi="Georgia"/>
                <w:color w:val="1A1A1A"/>
                <w:sz w:val="21"/>
                <w:szCs w:val="21"/>
              </w:rPr>
              <w:t xml:space="preserve">Standardisation potential. Public legitimacy. Can mandate interoperability.</w:t>
            </w:r>
          </w:p>
        </w:tc>
      </w:tr>
      <w:tr>
        <w:tc>
          <w:tcPr>
            <w:tcW w:type="dxa" w:w="3008"/>
            <w:tcBorders>
              <w:top w:val="none"/>
              <w:left w:val="none"/>
              <w:bottom w:val="none"/>
              <w:right w:val="none"/>
            </w:tcBorders>
            <w:shd w:fill="FFFFFF" w:val="clear"/>
            <w:tcMar>
              <w:top w:type="dxa" w:w="80"/>
              <w:left w:type="dxa" w:w="160"/>
              <w:bottom w:type="dxa" w:w="120"/>
              <w:right w:type="dxa" w:w="120"/>
            </w:tcMar>
          </w:tcPr>
          <w:p>
            <w:pPr>
              <w:spacing w:before="0" w:after="40"/>
            </w:pPr>
            <w:r>
              <w:rPr>
                <w:rFonts w:ascii="Arial" w:cs="Arial" w:eastAsia="Arial" w:hAnsi="Arial"/>
                <w:b/>
                <w:bCs/>
                <w:caps/>
                <w:color w:val="AA3333"/>
                <w:sz w:val="17"/>
                <w:szCs w:val="17"/>
              </w:rPr>
              <w:t xml:space="preserve">Structural Limit</w:t>
            </w:r>
          </w:p>
          <w:p>
            <w:pPr>
              <w:spacing w:before="0" w:after="0"/>
              <w:jc w:val="left"/>
            </w:pPr>
            <w:r>
              <w:rPr>
                <w:rFonts w:ascii="Georgia" w:cs="Georgia" w:eastAsia="Georgia" w:hAnsi="Georgia"/>
                <w:color w:val="1A1A1A"/>
                <w:sz w:val="21"/>
                <w:szCs w:val="21"/>
              </w:rPr>
              <w:t xml:space="preserve">No public governance. Academic trust is low. Credentials are fragmented and non-interoperable. Commercial logic drives content, not educational need.</w:t>
            </w:r>
          </w:p>
        </w:tc>
        <w:tc>
          <w:tcPr>
            <w:tcW w:type="dxa" w:w="3008"/>
            <w:tcBorders>
              <w:top w:val="none"/>
              <w:left w:val="none"/>
              <w:bottom w:val="none"/>
              <w:right w:val="none"/>
            </w:tcBorders>
            <w:shd w:fill="FFFFFF" w:val="clear"/>
            <w:tcMar>
              <w:top w:type="dxa" w:w="80"/>
              <w:left w:type="dxa" w:w="160"/>
              <w:bottom w:type="dxa" w:w="120"/>
              <w:right w:type="dxa" w:w="120"/>
            </w:tcMar>
          </w:tcPr>
          <w:p>
            <w:pPr>
              <w:spacing w:before="0" w:after="40"/>
            </w:pPr>
            <w:r>
              <w:rPr>
                <w:rFonts w:ascii="Arial" w:cs="Arial" w:eastAsia="Arial" w:hAnsi="Arial"/>
                <w:b/>
                <w:bCs/>
                <w:caps/>
                <w:color w:val="AA3333"/>
                <w:sz w:val="17"/>
                <w:szCs w:val="17"/>
              </w:rPr>
              <w:t xml:space="preserve">Structural Limit</w:t>
            </w:r>
          </w:p>
          <w:p>
            <w:pPr>
              <w:spacing w:before="0" w:after="0"/>
              <w:jc w:val="left"/>
            </w:pPr>
            <w:r>
              <w:rPr>
                <w:rFonts w:ascii="Georgia" w:cs="Georgia" w:eastAsia="Georgia" w:hAnsi="Georgia"/>
                <w:color w:val="1A1A1A"/>
                <w:sz w:val="21"/>
                <w:szCs w:val="21"/>
              </w:rPr>
              <w:t xml:space="preserve">Degree-centric structures resist modularity. Slow to adapt. Poor interoperability between institutions. Designed for traditional cohorts, not lifelong learners.</w:t>
            </w:r>
          </w:p>
        </w:tc>
        <w:tc>
          <w:tcPr>
            <w:tcW w:type="dxa" w:w="3010"/>
            <w:tcBorders>
              <w:top w:val="none"/>
              <w:left w:val="none"/>
              <w:bottom w:val="none"/>
              <w:right w:val="none"/>
            </w:tcBorders>
            <w:shd w:fill="FFFFFF" w:val="clear"/>
            <w:tcMar>
              <w:top w:type="dxa" w:w="80"/>
              <w:left w:type="dxa" w:w="160"/>
              <w:bottom w:type="dxa" w:w="120"/>
              <w:right w:type="dxa" w:w="120"/>
            </w:tcMar>
          </w:tcPr>
          <w:p>
            <w:pPr>
              <w:spacing w:before="0" w:after="40"/>
            </w:pPr>
            <w:r>
              <w:rPr>
                <w:rFonts w:ascii="Arial" w:cs="Arial" w:eastAsia="Arial" w:hAnsi="Arial"/>
                <w:b/>
                <w:bCs/>
                <w:caps/>
                <w:color w:val="AA3333"/>
                <w:sz w:val="17"/>
                <w:szCs w:val="17"/>
              </w:rPr>
              <w:t xml:space="preserve">Structural Limit</w:t>
            </w:r>
          </w:p>
          <w:p>
            <w:pPr>
              <w:spacing w:before="0" w:after="0"/>
              <w:jc w:val="left"/>
            </w:pPr>
            <w:r>
              <w:rPr>
                <w:rFonts w:ascii="Georgia" w:cs="Georgia" w:eastAsia="Georgia" w:hAnsi="Georgia"/>
                <w:color w:val="1A1A1A"/>
                <w:sz w:val="21"/>
                <w:szCs w:val="21"/>
              </w:rPr>
              <w:t xml:space="preserve">Disconnected from actual learning ecosystems. Bureaucratic pace. Cannot create trust — can only codify it after the fact.</w:t>
            </w:r>
          </w:p>
        </w:tc>
      </w:tr>
    </w:tbl>
    <w:p>
      <w:pPr>
        <w:spacing w:before="0" w:after="100"/>
      </w:pPr>
    </w:p>
    <w:p>
      <w:pPr>
        <w:spacing w:before="0" w:after="190"/>
        <w:ind/>
        <w:jc w:val="both"/>
      </w:pPr>
      <w:r>
        <w:rPr>
          <w:rFonts w:ascii="Georgia" w:cs="Georgia" w:eastAsia="Georgia" w:hAnsi="Georgia"/>
          <w:b w:val="false"/>
          <w:bCs w:val="false"/>
          <w:i w:val="false"/>
          <w:iCs w:val="false"/>
          <w:color w:val="1A1A1A"/>
          <w:sz w:val="23"/>
          <w:szCs w:val="23"/>
        </w:rPr>
        <w:t xml:space="preserve">The logic of failure is the same in each case. Platform models solve the distribution problem but not the trust problem. University models hold trust but cannot scale it beyond their own walls. Government registries can standardise what already exists but cannot generate the institutional layer that creates meaning in the first place.</w:t>
      </w:r>
    </w:p>
    <w:p>
      <w:pPr>
        <w:spacing w:before="0" w:after="190"/>
        <w:ind/>
        <w:jc w:val="both"/>
      </w:pPr>
      <w:r>
        <w:rPr>
          <w:rFonts w:ascii="Georgia" w:cs="Georgia" w:eastAsia="Georgia" w:hAnsi="Georgia"/>
          <w:b w:val="false"/>
          <w:bCs w:val="false"/>
          <w:i w:val="false"/>
          <w:iCs w:val="false"/>
          <w:color w:val="1A1A1A"/>
          <w:sz w:val="23"/>
          <w:szCs w:val="23"/>
        </w:rPr>
        <w:t xml:space="preserve">What is missing is not a better version of any of these three models. What is missing is a fourth type of institution: one that combines academic legitimacy with federated architecture and public governance. An institution whose primary function is not to deliver learning — but to govern the infrastructure through which learning becomes trustworthy.</w:t>
      </w:r>
    </w:p>
    <w:p>
      <w:pPr>
        <w:spacing w:before="0" w:after="200"/>
      </w:pPr>
    </w:p>
    <w:p>
      <w:pPr>
        <w:pStyle w:val="Heading1"/>
        <w:spacing w:before="520" w:after="160"/>
      </w:pPr>
      <w:r>
        <w:rPr>
          <w:rFonts w:ascii="Georgia" w:cs="Georgia" w:eastAsia="Georgia" w:hAnsi="Georgia"/>
          <w:b/>
          <w:bCs/>
          <w:color w:val="1F3864"/>
          <w:sz w:val="32"/>
          <w:szCs w:val="32"/>
        </w:rPr>
        <w:t xml:space="preserve">III.  The Three-Layer Architecture of the Future Learning System</w:t>
      </w:r>
    </w:p>
    <w:p>
      <w:pPr>
        <w:spacing w:before="0" w:after="190"/>
        <w:ind/>
        <w:jc w:val="both"/>
      </w:pPr>
      <w:r>
        <w:rPr>
          <w:rFonts w:ascii="Georgia" w:cs="Georgia" w:eastAsia="Georgia" w:hAnsi="Georgia"/>
          <w:b w:val="false"/>
          <w:bCs w:val="false"/>
          <w:i w:val="false"/>
          <w:iCs w:val="false"/>
          <w:color w:val="1A1A1A"/>
          <w:sz w:val="23"/>
          <w:szCs w:val="23"/>
        </w:rPr>
        <w:t xml:space="preserve">The emerging architecture of skills-first education can be understood as three distinct but interdependent layers. Most institutional innovation is concentrated in the outermost layers. The middle layer remains structurally underdeveloped — and that is where the system breaks down.</w:t>
      </w: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A5298" w:val="clear"/>
            <w:tcMar>
              <w:top w:type="dxa" w:w="130"/>
              <w:left w:type="dxa" w:w="280"/>
              <w:bottom w:type="dxa" w:w="60"/>
              <w:right w:type="dxa" w:w="200"/>
            </w:tcMar>
          </w:tcPr>
          <w:p>
            <w:r>
              <w:rPr>
                <w:rFonts w:ascii="Georgia" w:cs="Georgia" w:eastAsia="Georgia" w:hAnsi="Georgia"/>
                <w:b/>
                <w:bCs/>
                <w:color w:val="FFFFFF"/>
                <w:sz w:val="25"/>
                <w:szCs w:val="25"/>
              </w:rPr>
              <w:t xml:space="preserve">Layer 1 — Learning</w:t>
            </w:r>
          </w:p>
          <w:p>
            <w:pPr>
              <w:spacing w:before="40" w:after="0"/>
            </w:pPr>
            <w:r>
              <w:rPr>
                <w:rFonts w:ascii="Arial" w:cs="Arial" w:eastAsia="Arial" w:hAnsi="Arial"/>
                <w:i/>
                <w:iCs/>
                <w:color w:val="CCCCCC"/>
                <w:sz w:val="19"/>
                <w:szCs w:val="19"/>
              </w:rPr>
              <w:t xml:space="preserve">Universities · Companies · Platforms · Bootcamps · Professional Communities</w:t>
            </w:r>
          </w:p>
        </w:tc>
      </w:tr>
      <w:tr>
        <w:tc>
          <w:tcPr>
            <w:tcW w:type="dxa" w:w="9026"/>
            <w:tcBorders>
              <w:top w:val="none"/>
              <w:left w:val="none"/>
              <w:bottom w:val="none"/>
              <w:right w:val="none"/>
            </w:tcBorders>
            <w:shd w:fill="F4F7FA" w:val="clear"/>
            <w:tcMar>
              <w:top w:type="dxa" w:w="80"/>
              <w:left w:type="dxa" w:w="280"/>
              <w:bottom w:type="dxa" w:w="80"/>
              <w:right w:type="dxa" w:w="200"/>
            </w:tcMar>
          </w:tcPr>
          <w:p>
            <w:pPr>
              <w:jc w:val="both"/>
            </w:pPr>
            <w:r>
              <w:rPr>
                <w:rFonts w:ascii="Georgia" w:cs="Georgia" w:eastAsia="Georgia" w:hAnsi="Georgia"/>
                <w:i/>
                <w:iCs/>
                <w:color w:val="1A1A1A"/>
                <w:sz w:val="21"/>
                <w:szCs w:val="21"/>
              </w:rPr>
              <w:t xml:space="preserve">Where learning actually happens. Increasingly distributed, modular, and continuous across the life course. Well-served by existing institutional diversity.</w:t>
            </w:r>
          </w:p>
        </w:tc>
      </w:tr>
      <w:tr>
        <w:tc>
          <w:tcPr>
            <w:tcW w:type="dxa" w:w="9026"/>
            <w:tcBorders>
              <w:top w:val="none"/>
              <w:left w:val="none"/>
              <w:bottom w:val="none"/>
              <w:right w:val="none"/>
            </w:tcBorders>
            <w:shd w:fill="FFFFFF" w:val="clear"/>
            <w:tcMar>
              <w:top w:type="dxa" w:w="60"/>
              <w:left w:type="dxa" w:w="280"/>
              <w:bottom w:type="dxa" w:w="60"/>
              <w:right w:type="dxa" w:w="200"/>
            </w:tcMar>
          </w:tcPr>
          <w:p>
            <w:pPr>
              <w:jc w:val="center"/>
            </w:pPr>
            <w:r>
              <w:rPr>
                <w:rFonts w:ascii="Georgia" w:cs="Georgia" w:eastAsia="Georgia" w:hAnsi="Georgia"/>
                <w:b/>
                <w:bCs/>
                <w:color w:val="2E75B6"/>
                <w:sz w:val="28"/>
                <w:szCs w:val="28"/>
              </w:rPr>
              <w:t xml:space="preserve">↓</w:t>
            </w:r>
          </w:p>
        </w:tc>
      </w:tr>
      <w:tr>
        <w:tc>
          <w:tcPr>
            <w:tcW w:type="dxa" w:w="9026"/>
            <w:tcBorders>
              <w:top w:val="none"/>
              <w:left w:val="none"/>
              <w:bottom w:val="none"/>
              <w:right w:val="none"/>
            </w:tcBorders>
            <w:shd w:fill="0D1F3C" w:val="clear"/>
            <w:tcMar>
              <w:top w:type="dxa" w:w="130"/>
              <w:left w:type="dxa" w:w="280"/>
              <w:bottom w:type="dxa" w:w="60"/>
              <w:right w:type="dxa" w:w="200"/>
            </w:tcMar>
          </w:tcPr>
          <w:p>
            <w:r>
              <w:rPr>
                <w:rFonts w:ascii="Georgia" w:cs="Georgia" w:eastAsia="Georgia" w:hAnsi="Georgia"/>
                <w:b/>
                <w:bCs/>
                <w:color w:val="FFFFFF"/>
                <w:sz w:val="25"/>
                <w:szCs w:val="25"/>
              </w:rPr>
              <w:t xml:space="preserve">Layer 2 — Credential Infrastructure</w:t>
            </w:r>
          </w:p>
          <w:p>
            <w:pPr>
              <w:spacing w:before="40" w:after="0"/>
            </w:pPr>
            <w:r>
              <w:rPr>
                <w:rFonts w:ascii="Arial" w:cs="Arial" w:eastAsia="Arial" w:hAnsi="Arial"/>
                <w:i/>
                <w:iCs/>
                <w:color w:val="CCCCCC"/>
                <w:sz w:val="19"/>
                <w:szCs w:val="19"/>
              </w:rPr>
              <w:t xml:space="preserve">Trust · Verification · Aggregation · Interoperability · Governance</w:t>
            </w:r>
          </w:p>
        </w:tc>
      </w:tr>
      <w:tr>
        <w:tc>
          <w:tcPr>
            <w:tcW w:type="dxa" w:w="9026"/>
            <w:tcBorders>
              <w:top w:val="none"/>
              <w:left w:val="none"/>
              <w:bottom w:val="none"/>
              <w:right w:val="none"/>
            </w:tcBorders>
            <w:shd w:fill="F4F7FA" w:val="clear"/>
            <w:tcMar>
              <w:top w:type="dxa" w:w="80"/>
              <w:left w:type="dxa" w:w="280"/>
              <w:bottom w:type="dxa" w:w="80"/>
              <w:right w:type="dxa" w:w="200"/>
            </w:tcMar>
          </w:tcPr>
          <w:p>
            <w:pPr>
              <w:jc w:val="both"/>
            </w:pPr>
            <w:r>
              <w:rPr>
                <w:rFonts w:ascii="Georgia" w:cs="Georgia" w:eastAsia="Georgia" w:hAnsi="Georgia"/>
                <w:i/>
                <w:iCs/>
                <w:color w:val="1A1A1A"/>
                <w:sz w:val="21"/>
                <w:szCs w:val="21"/>
              </w:rPr>
              <w:t xml:space="preserve">The translation layer between learning and the labour market. Answers: What does this credential mean? Is it trustworthy? Can it be combined with others? Currently underdeveloped and institutionally ungoverned. This is the missing layer.</w:t>
            </w:r>
          </w:p>
        </w:tc>
      </w:tr>
      <w:tr>
        <w:tc>
          <w:tcPr>
            <w:tcW w:type="dxa" w:w="9026"/>
            <w:tcBorders>
              <w:top w:val="none"/>
              <w:left w:val="none"/>
              <w:bottom w:val="none"/>
              <w:right w:val="none"/>
            </w:tcBorders>
            <w:shd w:fill="FFFFFF" w:val="clear"/>
            <w:tcMar>
              <w:top w:type="dxa" w:w="60"/>
              <w:left w:type="dxa" w:w="280"/>
              <w:bottom w:type="dxa" w:w="60"/>
              <w:right w:type="dxa" w:w="200"/>
            </w:tcMar>
          </w:tcPr>
          <w:p>
            <w:pPr>
              <w:jc w:val="center"/>
            </w:pPr>
            <w:r>
              <w:rPr>
                <w:rFonts w:ascii="Georgia" w:cs="Georgia" w:eastAsia="Georgia" w:hAnsi="Georgia"/>
                <w:b/>
                <w:bCs/>
                <w:color w:val="2E75B6"/>
                <w:sz w:val="28"/>
                <w:szCs w:val="28"/>
              </w:rPr>
              <w:t xml:space="preserve">↓</w:t>
            </w:r>
          </w:p>
        </w:tc>
      </w:tr>
      <w:tr>
        <w:tc>
          <w:tcPr>
            <w:tcW w:type="dxa" w:w="9026"/>
            <w:tcBorders>
              <w:top w:val="none"/>
              <w:left w:val="none"/>
              <w:bottom w:val="none"/>
              <w:right w:val="none"/>
            </w:tcBorders>
            <w:shd w:fill="2A5298" w:val="clear"/>
            <w:tcMar>
              <w:top w:type="dxa" w:w="130"/>
              <w:left w:type="dxa" w:w="280"/>
              <w:bottom w:type="dxa" w:w="60"/>
              <w:right w:type="dxa" w:w="200"/>
            </w:tcMar>
          </w:tcPr>
          <w:p>
            <w:r>
              <w:rPr>
                <w:rFonts w:ascii="Georgia" w:cs="Georgia" w:eastAsia="Georgia" w:hAnsi="Georgia"/>
                <w:b/>
                <w:bCs/>
                <w:color w:val="FFFFFF"/>
                <w:sz w:val="25"/>
                <w:szCs w:val="25"/>
              </w:rPr>
              <w:t xml:space="preserve">Layer 3 — Labour Market Matching</w:t>
            </w:r>
          </w:p>
          <w:p>
            <w:pPr>
              <w:spacing w:before="40" w:after="0"/>
            </w:pPr>
            <w:r>
              <w:rPr>
                <w:rFonts w:ascii="Arial" w:cs="Arial" w:eastAsia="Arial" w:hAnsi="Arial"/>
                <w:i/>
                <w:iCs/>
                <w:color w:val="CCCCCC"/>
                <w:sz w:val="19"/>
                <w:szCs w:val="19"/>
              </w:rPr>
              <w:t xml:space="preserve">Employers · Platforms · HR Systems · Skills Matching Engines</w:t>
            </w:r>
          </w:p>
        </w:tc>
      </w:tr>
      <w:tr>
        <w:tc>
          <w:tcPr>
            <w:tcW w:type="dxa" w:w="9026"/>
            <w:tcBorders>
              <w:top w:val="none"/>
              <w:left w:val="none"/>
              <w:bottom w:val="none"/>
              <w:right w:val="none"/>
            </w:tcBorders>
            <w:shd w:fill="F4F7FA" w:val="clear"/>
            <w:tcMar>
              <w:top w:type="dxa" w:w="80"/>
              <w:left w:type="dxa" w:w="280"/>
              <w:bottom w:type="dxa" w:w="80"/>
              <w:right w:type="dxa" w:w="200"/>
            </w:tcMar>
          </w:tcPr>
          <w:p>
            <w:pPr>
              <w:jc w:val="both"/>
            </w:pPr>
            <w:r>
              <w:rPr>
                <w:rFonts w:ascii="Georgia" w:cs="Georgia" w:eastAsia="Georgia" w:hAnsi="Georgia"/>
                <w:i/>
                <w:iCs/>
                <w:color w:val="1A1A1A"/>
                <w:sz w:val="21"/>
                <w:szCs w:val="21"/>
              </w:rPr>
              <w:t xml:space="preserve">Where skills meet roles. Well-served by digital infrastructure. Its effectiveness is entirely contingent on the quality of Layer 2 — which it currently cannot rely on.</w:t>
            </w:r>
          </w:p>
        </w:tc>
      </w:tr>
    </w:tbl>
    <w:p>
      <w:pPr>
        <w:spacing w:before="0" w:after="100"/>
      </w:pPr>
    </w:p>
    <w:p>
      <w:pPr>
        <w:spacing w:before="0" w:after="190"/>
        <w:ind/>
        <w:jc w:val="both"/>
      </w:pPr>
      <w:r>
        <w:rPr>
          <w:rFonts w:ascii="Georgia" w:cs="Georgia" w:eastAsia="Georgia" w:hAnsi="Georgia"/>
          <w:b w:val="false"/>
          <w:bCs w:val="false"/>
          <w:i w:val="false"/>
          <w:iCs w:val="false"/>
          <w:color w:val="1A1A1A"/>
          <w:sz w:val="23"/>
          <w:szCs w:val="23"/>
        </w:rPr>
        <w:t xml:space="preserve">The logic of this architecture clarifies why the current system produces frustration at every level. Learners accumulate credentials that do not aggregate into recognisable profiles. Employers invest in skills frameworks that are not connected to what learning providers actually certify. Governments mandate interoperability standards that institutions have no shared infrastructure to implement. These are not separate problems. They are the same problem, experienced from different positions in the architecture: the absence of a functioning Layer 2.</w:t>
      </w:r>
    </w:p>
    <w:p>
      <w:pPr>
        <w:spacing w:before="0" w:after="190"/>
        <w:ind/>
        <w:jc w:val="both"/>
      </w:pPr>
      <w:r>
        <w:rPr>
          <w:rFonts w:ascii="Georgia" w:cs="Georgia" w:eastAsia="Georgia" w:hAnsi="Georgia"/>
          <w:b w:val="false"/>
          <w:bCs w:val="false"/>
          <w:i w:val="false"/>
          <w:iCs w:val="false"/>
          <w:color w:val="1A1A1A"/>
          <w:sz w:val="23"/>
          <w:szCs w:val="23"/>
        </w:rPr>
        <w:t xml:space="preserve">Layer 2 cannot be built by any of the three existing model types. Platforms lack public legitimacy. Individual universities lack the reach to govern a shared standard. Governments lack the proximity to actual learning ecosystems needed to make governance credible. The only viable architecture for Layer 2 is federated: multiple trusted institutions, sharing governance of a common credential infrastructure, under a framework that maintains academic integrity while enabling interoperability.</w:t>
      </w:r>
    </w:p>
    <w:p>
      <w:pPr>
        <w:spacing w:before="0" w:after="200"/>
      </w:pPr>
    </w:p>
    <w:p>
      <w:pPr>
        <w:pStyle w:val="Heading1"/>
        <w:spacing w:before="520" w:after="160"/>
      </w:pPr>
      <w:r>
        <w:rPr>
          <w:rFonts w:ascii="Georgia" w:cs="Georgia" w:eastAsia="Georgia" w:hAnsi="Georgia"/>
          <w:b/>
          <w:bCs/>
          <w:color w:val="1F3864"/>
          <w:sz w:val="32"/>
          <w:szCs w:val="32"/>
        </w:rPr>
        <w:t xml:space="preserve">IV.  What the OUG Is, Precisely</w:t>
      </w:r>
    </w:p>
    <w:p>
      <w:pPr>
        <w:spacing w:before="0" w:after="190"/>
        <w:ind/>
        <w:jc w:val="both"/>
      </w:pPr>
      <w:r>
        <w:rPr>
          <w:rFonts w:ascii="Georgia" w:cs="Georgia" w:eastAsia="Georgia" w:hAnsi="Georgia"/>
          <w:b w:val="false"/>
          <w:bCs w:val="false"/>
          <w:i w:val="false"/>
          <w:iCs w:val="false"/>
          <w:color w:val="1A1A1A"/>
          <w:sz w:val="23"/>
          <w:szCs w:val="23"/>
        </w:rPr>
        <w:t xml:space="preserve">The Open University of Germany was designed to address a different but related problem: how to provide high-quality, accessible, degree-level education to learners that traditional universities structurally cannot reach. That remains the OUG's educational mission.</w:t>
      </w:r>
    </w:p>
    <w:p>
      <w:pPr>
        <w:spacing w:before="0" w:after="190"/>
        <w:ind/>
        <w:jc w:val="both"/>
      </w:pPr>
      <w:r>
        <w:rPr>
          <w:rFonts w:ascii="Georgia" w:cs="Georgia" w:eastAsia="Georgia" w:hAnsi="Georgia"/>
          <w:b w:val="false"/>
          <w:bCs w:val="false"/>
          <w:i w:val="false"/>
          <w:iCs w:val="false"/>
          <w:color w:val="1A1A1A"/>
          <w:sz w:val="23"/>
          <w:szCs w:val="23"/>
        </w:rPr>
        <w:t xml:space="preserve">What the analysis of the three-layer architecture reveals is that in solving this problem, the OUG has simultaneously built an institutional form that fills the structural gap in Layer 2. This was not accidental — the institutional choices required to make education genuinely accessible turn out to be exactly the institutional choices required to make credentials genuinely interoperable.</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2E75B6"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70"/>
              <w:left w:type="dxa" w:w="280"/>
              <w:bottom w:type="dxa" w:w="170"/>
              <w:right w:type="dxa" w:w="200"/>
            </w:tcMar>
          </w:tcPr>
          <w:p>
            <w:pPr>
              <w:jc w:val="both"/>
            </w:pPr>
            <w:r>
              <w:rPr>
                <w:rFonts w:ascii="Georgia" w:cs="Georgia" w:eastAsia="Georgia" w:hAnsi="Georgia"/>
                <w:i/>
                <w:iCs/>
                <w:color w:val="1A1A1A"/>
                <w:sz w:val="24"/>
                <w:szCs w:val="24"/>
              </w:rPr>
              <w:t xml:space="preserve">The OUG's educational mission and its systemic function are the same architecture viewed from two different directions. From the learner's perspective, the OUG provides access. From the system's perspective, the OUG provides the governed infrastructure that makes credentials from distributed learning mean something.</w:t>
            </w:r>
          </w:p>
        </w:tc>
      </w:tr>
    </w:tbl>
    <w:p>
      <w:pPr>
        <w:spacing w:before="0" w:after="120"/>
      </w:pPr>
    </w:p>
    <w:p>
      <w:pPr>
        <w:pStyle w:val="Heading2"/>
        <w:spacing w:before="340" w:after="110"/>
      </w:pPr>
      <w:r>
        <w:rPr>
          <w:rFonts w:ascii="Georgia" w:cs="Georgia" w:eastAsia="Georgia" w:hAnsi="Georgia"/>
          <w:b/>
          <w:bCs/>
          <w:color w:val="2E75B6"/>
          <w:sz w:val="26"/>
          <w:szCs w:val="26"/>
        </w:rPr>
        <w:t xml:space="preserve">The Four Institutional Characteristics That Define the OUG's Position</w:t>
      </w:r>
    </w:p>
    <w:p>
      <w:pPr>
        <w:spacing w:before="0" w:after="60"/>
      </w:pPr>
    </w:p>
    <w:p>
      <w:pPr>
        <w:spacing w:before="0" w:after="190"/>
        <w:jc w:val="both"/>
      </w:pPr>
      <w:r>
        <w:rPr>
          <w:rFonts w:ascii="Georgia" w:cs="Georgia" w:eastAsia="Georgia" w:hAnsi="Georgia"/>
          <w:b/>
          <w:bCs/>
          <w:i w:val="false"/>
          <w:iCs w:val="false"/>
          <w:color w:val="1A1A1A"/>
          <w:sz w:val="23"/>
          <w:szCs w:val="23"/>
        </w:rPr>
        <w:t xml:space="preserve">Federated governance, not a single institution. </w:t>
      </w:r>
      <w:r>
        <w:rPr>
          <w:rFonts w:ascii="Georgia" w:cs="Georgia" w:eastAsia="Georgia" w:hAnsi="Georgia"/>
          <w:b w:val="false"/>
          <w:bCs w:val="false"/>
          <w:i w:val="false"/>
          <w:iCs w:val="false"/>
          <w:color w:val="1A1A1A"/>
          <w:sz w:val="23"/>
          <w:szCs w:val="23"/>
        </w:rPr>
        <w:t xml:space="preserve">The OUG does not claim to be the only source of learning. It claims to be the institutional layer through which learning from multiple providers — partner universities, external contributors, research clusters — is aggregated, quality-assured, and credentialled. This federated architecture is precisely what Layer 2 requires: governance that spans providers rather than belonging to one.</w:t>
      </w:r>
    </w:p>
    <w:p>
      <w:pPr>
        <w:spacing w:before="0" w:after="80"/>
      </w:pPr>
    </w:p>
    <w:p>
      <w:pPr>
        <w:spacing w:before="0" w:after="190"/>
        <w:jc w:val="both"/>
      </w:pPr>
      <w:r>
        <w:rPr>
          <w:rFonts w:ascii="Georgia" w:cs="Georgia" w:eastAsia="Georgia" w:hAnsi="Georgia"/>
          <w:b/>
          <w:bCs/>
          <w:i w:val="false"/>
          <w:iCs w:val="false"/>
          <w:color w:val="1A1A1A"/>
          <w:sz w:val="23"/>
          <w:szCs w:val="23"/>
        </w:rPr>
        <w:t xml:space="preserve">Degree-awarding authority with modular architecture. </w:t>
      </w:r>
      <w:r>
        <w:rPr>
          <w:rFonts w:ascii="Georgia" w:cs="Georgia" w:eastAsia="Georgia" w:hAnsi="Georgia"/>
          <w:b w:val="false"/>
          <w:bCs w:val="false"/>
          <w:i w:val="false"/>
          <w:iCs w:val="false"/>
          <w:color w:val="1A1A1A"/>
          <w:sz w:val="23"/>
          <w:szCs w:val="23"/>
        </w:rPr>
        <w:t xml:space="preserve">The OUG holds the credential — the degree — while allowing the learning that leads to it to be assembled from modules contributed by multiple sources. This combination is structurally rare. It is what enables credentials to be both interoperable (modular) and trustworthy (degree-level, accredited, governed by a single quality standard).</w:t>
      </w:r>
    </w:p>
    <w:p>
      <w:pPr>
        <w:spacing w:before="0" w:after="80"/>
      </w:pPr>
    </w:p>
    <w:p>
      <w:pPr>
        <w:spacing w:before="0" w:after="190"/>
        <w:jc w:val="both"/>
      </w:pPr>
      <w:r>
        <w:rPr>
          <w:rFonts w:ascii="Georgia" w:cs="Georgia" w:eastAsia="Georgia" w:hAnsi="Georgia"/>
          <w:b/>
          <w:bCs/>
          <w:i w:val="false"/>
          <w:iCs w:val="false"/>
          <w:color w:val="1A1A1A"/>
          <w:sz w:val="23"/>
          <w:szCs w:val="23"/>
        </w:rPr>
        <w:t xml:space="preserve">Public legitimacy without bureaucratic closure. </w:t>
      </w:r>
      <w:r>
        <w:rPr>
          <w:rFonts w:ascii="Georgia" w:cs="Georgia" w:eastAsia="Georgia" w:hAnsi="Georgia"/>
          <w:b w:val="false"/>
          <w:bCs w:val="false"/>
          <w:i w:val="false"/>
          <w:iCs w:val="false"/>
          <w:color w:val="1A1A1A"/>
          <w:sz w:val="23"/>
          <w:szCs w:val="23"/>
        </w:rPr>
        <w:t xml:space="preserve">The OUG operates under German higher education law and the European accreditation framework. Its credentials carry the public legitimacy that platform certificates lack. But its federated, modular architecture allows it to operate at a pace and with a flexibility that government registries cannot match. It is institutionally public without being institutionally slow.</w:t>
      </w:r>
    </w:p>
    <w:p>
      <w:pPr>
        <w:spacing w:before="0" w:after="80"/>
      </w:pPr>
    </w:p>
    <w:p>
      <w:pPr>
        <w:spacing w:before="0" w:after="190"/>
        <w:jc w:val="both"/>
      </w:pPr>
      <w:r>
        <w:rPr>
          <w:rFonts w:ascii="Georgia" w:cs="Georgia" w:eastAsia="Georgia" w:hAnsi="Georgia"/>
          <w:b/>
          <w:bCs/>
          <w:i w:val="false"/>
          <w:iCs w:val="false"/>
          <w:color w:val="1A1A1A"/>
          <w:sz w:val="23"/>
          <w:szCs w:val="23"/>
        </w:rPr>
        <w:t xml:space="preserve">Designed for interoperability from the start. </w:t>
      </w:r>
      <w:r>
        <w:rPr>
          <w:rFonts w:ascii="Georgia" w:cs="Georgia" w:eastAsia="Georgia" w:hAnsi="Georgia"/>
          <w:b w:val="false"/>
          <w:bCs w:val="false"/>
          <w:i w:val="false"/>
          <w:iCs w:val="false"/>
          <w:color w:val="1A1A1A"/>
          <w:sz w:val="23"/>
          <w:szCs w:val="23"/>
        </w:rPr>
        <w:t xml:space="preserve">ECTS-based modular structures, European Digital Credentials compatibility, alignment with ESCO skill taxonomies, and integration with EU micro-credential frameworks are not retrofit additions to the OUG's design. They are constitutive features. The OUG's credential architecture is natively interoperable in a way that traditional universities, retrofitting modular offerings onto degree-centric structures, cannot easily achieve.</w:t>
      </w:r>
    </w:p>
    <w:p>
      <w:pPr>
        <w:spacing w:before="0" w:after="200"/>
      </w:pPr>
    </w:p>
    <w:p>
      <w:pPr>
        <w:pStyle w:val="Heading1"/>
        <w:spacing w:before="520" w:after="160"/>
      </w:pPr>
      <w:r>
        <w:rPr>
          <w:rFonts w:ascii="Georgia" w:cs="Georgia" w:eastAsia="Georgia" w:hAnsi="Georgia"/>
          <w:b/>
          <w:bCs/>
          <w:color w:val="1F3864"/>
          <w:sz w:val="32"/>
          <w:szCs w:val="32"/>
        </w:rPr>
        <w:t xml:space="preserve">V.  How the OUG's Existing Initiatives Map to the Architecture</w:t>
      </w:r>
    </w:p>
    <w:p>
      <w:pPr>
        <w:spacing w:before="0" w:after="190"/>
        <w:ind/>
        <w:jc w:val="both"/>
      </w:pPr>
      <w:r>
        <w:rPr>
          <w:rFonts w:ascii="Georgia" w:cs="Georgia" w:eastAsia="Georgia" w:hAnsi="Georgia"/>
          <w:b w:val="false"/>
          <w:bCs w:val="false"/>
          <w:i w:val="false"/>
          <w:iCs w:val="false"/>
          <w:color w:val="1A1A1A"/>
          <w:sz w:val="23"/>
          <w:szCs w:val="23"/>
        </w:rPr>
        <w:t xml:space="preserve">The OUG's institutional history — and the projects that preceded and informed its formal establishment — can now be read as an implicit, distributed construction of all three layers of the architecture. What appeared as a set of pedagogical experiments and accessibility initiatives was simultaneously a piece-by-piece assembly of the infrastructure described above.</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DDDDDD" w:sz="1"/>
              <w:left w:val="single" w:color="DDDDDD" w:sz="1"/>
              <w:bottom w:val="single" w:color="DDDDDD" w:sz="1"/>
              <w:right w:val="single" w:color="DDDDDD" w:sz="1"/>
            </w:tcBorders>
            <w:shd w:fill="0D1F3C" w:val="clear"/>
            <w:tcMar>
              <w:top w:type="dxa" w:w="90"/>
              <w:left w:type="dxa" w:w="140"/>
              <w:bottom w:type="dxa" w:w="90"/>
              <w:right w:type="dxa" w:w="100"/>
            </w:tcMar>
          </w:tcPr>
          <w:p>
            <w:r>
              <w:rPr>
                <w:rFonts w:ascii="Arial" w:cs="Arial" w:eastAsia="Arial" w:hAnsi="Arial"/>
                <w:b/>
                <w:bCs/>
                <w:color w:val="FFFFFF"/>
                <w:sz w:val="18"/>
                <w:szCs w:val="18"/>
              </w:rPr>
              <w:t xml:space="preserve">Initiative</w:t>
            </w:r>
          </w:p>
        </w:tc>
        <w:tc>
          <w:tcPr>
            <w:tcW w:type="dxa" w:w="3113"/>
            <w:tcBorders>
              <w:top w:val="single" w:color="DDDDDD" w:sz="1"/>
              <w:left w:val="single" w:color="DDDDDD" w:sz="1"/>
              <w:bottom w:val="single" w:color="DDDDDD" w:sz="1"/>
              <w:right w:val="single" w:color="DDDDDD" w:sz="1"/>
            </w:tcBorders>
            <w:shd w:fill="0D1F3C" w:val="clear"/>
            <w:tcMar>
              <w:top w:type="dxa" w:w="90"/>
              <w:left w:type="dxa" w:w="140"/>
              <w:bottom w:type="dxa" w:w="90"/>
              <w:right w:type="dxa" w:w="100"/>
            </w:tcMar>
          </w:tcPr>
          <w:p>
            <w:r>
              <w:rPr>
                <w:rFonts w:ascii="Arial" w:cs="Arial" w:eastAsia="Arial" w:hAnsi="Arial"/>
                <w:b/>
                <w:bCs/>
                <w:color w:val="FFFFFF"/>
                <w:sz w:val="18"/>
                <w:szCs w:val="18"/>
              </w:rPr>
              <w:t xml:space="preserve">System Layer</w:t>
            </w:r>
          </w:p>
        </w:tc>
        <w:tc>
          <w:tcPr>
            <w:tcW w:type="dxa" w:w="3113"/>
            <w:tcBorders>
              <w:top w:val="single" w:color="DDDDDD" w:sz="1"/>
              <w:left w:val="single" w:color="DDDDDD" w:sz="1"/>
              <w:bottom w:val="single" w:color="DDDDDD" w:sz="1"/>
              <w:right w:val="single" w:color="DDDDDD" w:sz="1"/>
            </w:tcBorders>
            <w:shd w:fill="0D1F3C" w:val="clear"/>
            <w:tcMar>
              <w:top w:type="dxa" w:w="90"/>
              <w:left w:type="dxa" w:w="140"/>
              <w:bottom w:type="dxa" w:w="90"/>
              <w:right w:type="dxa" w:w="100"/>
            </w:tcMar>
          </w:tcPr>
          <w:p>
            <w:r>
              <w:rPr>
                <w:rFonts w:ascii="Arial" w:cs="Arial" w:eastAsia="Arial" w:hAnsi="Arial"/>
                <w:b/>
                <w:bCs/>
                <w:color w:val="FFFFFF"/>
                <w:sz w:val="18"/>
                <w:szCs w:val="18"/>
              </w:rPr>
              <w:t xml:space="preserve">Function in the Architecture</w:t>
            </w:r>
          </w:p>
        </w:tc>
      </w:tr>
      <w:tr>
        <w:tc>
          <w:tcPr>
            <w:tcW w:type="dxa" w:w="28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9"/>
                <w:szCs w:val="19"/>
              </w:rPr>
              <w:t xml:space="preserve">New Study (DHBW)</w:t>
            </w:r>
          </w:p>
        </w:tc>
        <w:tc>
          <w:tcPr>
            <w:tcW w:type="dxa" w:w="3113"/>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Layer 1 — Learning</w:t>
            </w:r>
          </w:p>
        </w:tc>
        <w:tc>
          <w:tcPr>
            <w:tcW w:type="dxa" w:w="3113"/>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Proof of concept for online-first, English-language degree programmes in the German HE system. Demonstrated that non-traditional formats can meet accreditation standards.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Open Pathways</w:t>
            </w:r>
          </w:p>
        </w:tc>
        <w:tc>
          <w:tcPr>
            <w:tcW w:type="dxa" w:w="31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Layer 2 — Credential Infrastructure</w:t>
            </w:r>
          </w:p>
        </w:tc>
        <w:tc>
          <w:tcPr>
            <w:tcW w:type="dxa" w:w="31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Direct work on learning pathway interoperability across institutional and national boundaries. The institutional expression of the missing layer problem.</w:t>
            </w:r>
          </w:p>
        </w:tc>
      </w:tr>
      <w:tr>
        <w:tc>
          <w:tcPr>
            <w:tcW w:type="dxa" w:w="28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9"/>
                <w:szCs w:val="19"/>
              </w:rPr>
              <w:t xml:space="preserve">STIL Application</w:t>
            </w:r>
          </w:p>
        </w:tc>
        <w:tc>
          <w:tcPr>
            <w:tcW w:type="dxa" w:w="3113"/>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Layer 1 + Layer 2</w:t>
            </w:r>
          </w:p>
        </w:tc>
        <w:tc>
          <w:tcPr>
            <w:tcW w:type="dxa" w:w="3113"/>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Cross-institutional will demonstrated in application phase. Showed that collaborative curriculum development is institutionally possible. Established coalition infrastructure for the federation.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EU Alliance Erasmus Projects</w:t>
            </w:r>
          </w:p>
        </w:tc>
        <w:tc>
          <w:tcPr>
            <w:tcW w:type="dxa" w:w="31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Layer 2 — Credential Infrastructure</w:t>
            </w:r>
          </w:p>
        </w:tc>
        <w:tc>
          <w:tcPr>
            <w:tcW w:type="dxa" w:w="31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AI integration, open pathways, and university culture work embedded in European interoperability frameworks. Positioned OUG concept within the EU policy architecture.</w:t>
            </w:r>
          </w:p>
        </w:tc>
      </w:tr>
      <w:tr>
        <w:tc>
          <w:tcPr>
            <w:tcW w:type="dxa" w:w="28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9"/>
                <w:szCs w:val="19"/>
              </w:rPr>
              <w:t xml:space="preserve">OUG Federation Model</w:t>
            </w:r>
          </w:p>
        </w:tc>
        <w:tc>
          <w:tcPr>
            <w:tcW w:type="dxa" w:w="3113"/>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Layer 2 — Full Architecture</w:t>
            </w:r>
          </w:p>
        </w:tc>
        <w:tc>
          <w:tcPr>
            <w:tcW w:type="dxa" w:w="3113"/>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The institutional synthesis: federated governance, shared credential standards, modular pathways, quality-assured interoperability. The complete Layer 2 institution.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Doctoral &amp; Research Framework</w:t>
            </w:r>
          </w:p>
        </w:tc>
        <w:tc>
          <w:tcPr>
            <w:tcW w:type="dxa" w:w="31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Layer 1 — Learning (advanced)</w:t>
            </w:r>
          </w:p>
        </w:tc>
        <w:tc>
          <w:tcPr>
            <w:tcW w:type="dxa" w:w="31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Knowledge creation as a Layer 1 function, integrated into the federated model. Research legitimacy that reinforces credential authority.</w:t>
            </w:r>
          </w:p>
        </w:tc>
      </w:tr>
    </w:tbl>
    <w:p>
      <w:pPr>
        <w:spacing w:before="0" w:after="100"/>
      </w:pPr>
    </w:p>
    <w:p>
      <w:pPr>
        <w:spacing w:before="0" w:after="190"/>
        <w:ind/>
        <w:jc w:val="both"/>
      </w:pPr>
      <w:r>
        <w:rPr>
          <w:rFonts w:ascii="Georgia" w:cs="Georgia" w:eastAsia="Georgia" w:hAnsi="Georgia"/>
          <w:b w:val="false"/>
          <w:bCs w:val="false"/>
          <w:i w:val="false"/>
          <w:iCs w:val="false"/>
          <w:color w:val="1A1A1A"/>
          <w:sz w:val="23"/>
          <w:szCs w:val="23"/>
        </w:rPr>
        <w:t xml:space="preserve">The pattern that emerges is not one of planned system architecture. It is one of convergent institutional logic: independent initiatives, responding to real access and quality problems, arriving at structures that collectively constitute a Layer 2 institution. The OUG's institutional design captures and formalises what these initiatives were already building toward.</w:t>
      </w:r>
    </w:p>
    <w:p>
      <w:pPr>
        <w:spacing w:before="0" w:after="200"/>
      </w:pPr>
    </w:p>
    <w:p>
      <w:pPr>
        <w:pStyle w:val="Heading1"/>
        <w:spacing w:before="520" w:after="160"/>
      </w:pPr>
      <w:r>
        <w:rPr>
          <w:rFonts w:ascii="Georgia" w:cs="Georgia" w:eastAsia="Georgia" w:hAnsi="Georgia"/>
          <w:b/>
          <w:bCs/>
          <w:color w:val="1F3864"/>
          <w:sz w:val="32"/>
          <w:szCs w:val="32"/>
        </w:rPr>
        <w:t xml:space="preserve">VI.  Why the OUG Is the Answer the Policy Debate Is Looking For</w:t>
      </w:r>
    </w:p>
    <w:p>
      <w:pPr>
        <w:spacing w:before="0" w:after="190"/>
        <w:ind/>
        <w:jc w:val="both"/>
      </w:pPr>
      <w:r>
        <w:rPr>
          <w:rFonts w:ascii="Georgia" w:cs="Georgia" w:eastAsia="Georgia" w:hAnsi="Georgia"/>
          <w:b w:val="false"/>
          <w:bCs w:val="false"/>
          <w:i w:val="false"/>
          <w:iCs w:val="false"/>
          <w:color w:val="1A1A1A"/>
          <w:sz w:val="23"/>
          <w:szCs w:val="23"/>
        </w:rPr>
        <w:t xml:space="preserve">The international policy discussion on skills-first education, micro-credentials, and lifelong learning has produced impressive analytical consensus and limited institutional progress. The gap between recommendation and implementation is not primarily technical. It is institutional: there is no agreed model for what kind of organisation should govern the credential infrastructure layer.</w:t>
      </w:r>
    </w:p>
    <w:p>
      <w:pPr>
        <w:spacing w:before="0" w:after="190"/>
        <w:ind/>
        <w:jc w:val="both"/>
      </w:pPr>
      <w:r>
        <w:rPr>
          <w:rFonts w:ascii="Georgia" w:cs="Georgia" w:eastAsia="Georgia" w:hAnsi="Georgia"/>
          <w:b w:val="false"/>
          <w:bCs w:val="false"/>
          <w:i w:val="false"/>
          <w:iCs w:val="false"/>
          <w:color w:val="1A1A1A"/>
          <w:sz w:val="23"/>
          <w:szCs w:val="23"/>
        </w:rPr>
        <w:t xml:space="preserve">The OUG provides that model — not as a proposal, but as a functioning institutional design, legally grounded in the German higher education framework and architecturally aligned with European interoperability standards.</w:t>
      </w:r>
    </w:p>
    <w:p>
      <w:pPr>
        <w:spacing w:before="0" w:after="80"/>
      </w:pPr>
    </w:p>
    <w:p>
      <w:pPr>
        <w:pStyle w:val="Heading2"/>
        <w:spacing w:before="340" w:after="110"/>
      </w:pPr>
      <w:r>
        <w:rPr>
          <w:rFonts w:ascii="Georgia" w:cs="Georgia" w:eastAsia="Georgia" w:hAnsi="Georgia"/>
          <w:b/>
          <w:bCs/>
          <w:color w:val="2E75B6"/>
          <w:sz w:val="26"/>
          <w:szCs w:val="26"/>
        </w:rPr>
        <w:t xml:space="preserve">For European Alliances and Micro-Credential Frameworks</w:t>
      </w:r>
    </w:p>
    <w:p>
      <w:pPr>
        <w:spacing w:before="0" w:after="190"/>
        <w:ind/>
        <w:jc w:val="both"/>
      </w:pPr>
      <w:r>
        <w:rPr>
          <w:rFonts w:ascii="Georgia" w:cs="Georgia" w:eastAsia="Georgia" w:hAnsi="Georgia"/>
          <w:b w:val="false"/>
          <w:bCs w:val="false"/>
          <w:i w:val="false"/>
          <w:iCs w:val="false"/>
          <w:color w:val="1A1A1A"/>
          <w:sz w:val="23"/>
          <w:szCs w:val="23"/>
        </w:rPr>
        <w:t xml:space="preserve">The EU micro-credential recommendation of 2022, the European Learning Model, ESCO, and Europass digital credentials all presuppose a trusted institutional layer that can issue, verify, and aggregate credentials across providers. The OUG's federated architecture is designed to be that layer — at national scale initially, with the structural capacity to operate as a European node as the interoperability infrastructure matures.</w:t>
      </w:r>
    </w:p>
    <w:p>
      <w:pPr>
        <w:spacing w:before="0" w:after="80"/>
      </w:pPr>
    </w:p>
    <w:p>
      <w:pPr>
        <w:pStyle w:val="Heading2"/>
        <w:spacing w:before="340" w:after="110"/>
      </w:pPr>
      <w:r>
        <w:rPr>
          <w:rFonts w:ascii="Georgia" w:cs="Georgia" w:eastAsia="Georgia" w:hAnsi="Georgia"/>
          <w:b/>
          <w:bCs/>
          <w:color w:val="2E75B6"/>
          <w:sz w:val="26"/>
          <w:szCs w:val="26"/>
        </w:rPr>
        <w:t xml:space="preserve">For National Skills and Workforce Policy</w:t>
      </w:r>
    </w:p>
    <w:p>
      <w:pPr>
        <w:spacing w:before="0" w:after="190"/>
        <w:ind/>
        <w:jc w:val="both"/>
      </w:pPr>
      <w:r>
        <w:rPr>
          <w:rFonts w:ascii="Georgia" w:cs="Georgia" w:eastAsia="Georgia" w:hAnsi="Georgia"/>
          <w:b w:val="false"/>
          <w:bCs w:val="false"/>
          <w:i w:val="false"/>
          <w:iCs w:val="false"/>
          <w:color w:val="1A1A1A"/>
          <w:sz w:val="23"/>
          <w:szCs w:val="23"/>
        </w:rPr>
        <w:t xml:space="preserve">Germany's workforce challenge — an ageing labour force, rapid technological change, and a structural undersupply of flexible qualification pathways for working adults — is precisely the demand profile that the OUG's learning architecture addresses. The OUG provides what workforce policy requires but cannot itself create: a trusted institutional pathway for adults to build and signal new competences without leaving employment or relocating.</w:t>
      </w:r>
    </w:p>
    <w:p>
      <w:pPr>
        <w:spacing w:before="0" w:after="80"/>
      </w:pPr>
    </w:p>
    <w:p>
      <w:pPr>
        <w:pStyle w:val="Heading2"/>
        <w:spacing w:before="340" w:after="110"/>
      </w:pPr>
      <w:r>
        <w:rPr>
          <w:rFonts w:ascii="Georgia" w:cs="Georgia" w:eastAsia="Georgia" w:hAnsi="Georgia"/>
          <w:b/>
          <w:bCs/>
          <w:color w:val="2E75B6"/>
          <w:sz w:val="26"/>
          <w:szCs w:val="26"/>
        </w:rPr>
        <w:t xml:space="preserve">For Higher Education Policy and Accreditation</w:t>
      </w:r>
    </w:p>
    <w:p>
      <w:pPr>
        <w:spacing w:before="0" w:after="190"/>
        <w:ind/>
        <w:jc w:val="both"/>
      </w:pPr>
      <w:r>
        <w:rPr>
          <w:rFonts w:ascii="Georgia" w:cs="Georgia" w:eastAsia="Georgia" w:hAnsi="Georgia"/>
          <w:b w:val="false"/>
          <w:bCs w:val="false"/>
          <w:i w:val="false"/>
          <w:iCs w:val="false"/>
          <w:color w:val="1A1A1A"/>
          <w:sz w:val="23"/>
          <w:szCs w:val="23"/>
        </w:rPr>
        <w:t xml:space="preserve">The OUG does not threaten the existing higher education landscape. It complements it — by reaching the learners that existing institutions structurally cannot serve, and by providing a governance layer through which existing institutions can extend their reach without sacrificing their quality standards. This is the argument that matters in accreditation and ministry conversations: the OUG makes the system more capable without making any part of it less legitimate.</w:t>
      </w:r>
    </w:p>
    <w:p>
      <w:pPr>
        <w:spacing w:before="0" w:after="200"/>
      </w:pPr>
    </w:p>
    <w:p>
      <w:pPr>
        <w:pStyle w:val="Heading1"/>
        <w:spacing w:before="520" w:after="160"/>
      </w:pPr>
      <w:r>
        <w:rPr>
          <w:rFonts w:ascii="Georgia" w:cs="Georgia" w:eastAsia="Georgia" w:hAnsi="Georgia"/>
          <w:b/>
          <w:bCs/>
          <w:color w:val="1F3864"/>
          <w:sz w:val="32"/>
          <w:szCs w:val="32"/>
        </w:rPr>
        <w:t xml:space="preserve">VII.  The Deeper Transformation: From Degree Institutions to Learning Infrastructure</w:t>
      </w:r>
    </w:p>
    <w:p>
      <w:pPr>
        <w:spacing w:before="0" w:after="190"/>
        <w:ind/>
        <w:jc w:val="both"/>
      </w:pPr>
      <w:r>
        <w:rPr>
          <w:rFonts w:ascii="Georgia" w:cs="Georgia" w:eastAsia="Georgia" w:hAnsi="Georgia"/>
          <w:b w:val="false"/>
          <w:bCs w:val="false"/>
          <w:i w:val="false"/>
          <w:iCs w:val="false"/>
          <w:color w:val="1A1A1A"/>
          <w:sz w:val="23"/>
          <w:szCs w:val="23"/>
        </w:rPr>
        <w:t xml:space="preserve">Behind the specific arguments about credential interoperability and federated governance lies a larger transformation in what universities are. Historically, universities combined three functions that were assumed to belong together: teaching, certification, and knowledge creation. The physical campus, the degree ceremony, the professorial chair — these were all expressions of an institutional logic in which all three functions were bundled.</w:t>
      </w:r>
    </w:p>
    <w:p>
      <w:pPr>
        <w:spacing w:before="0" w:after="190"/>
        <w:ind/>
        <w:jc w:val="both"/>
      </w:pPr>
      <w:r>
        <w:rPr>
          <w:rFonts w:ascii="Georgia" w:cs="Georgia" w:eastAsia="Georgia" w:hAnsi="Georgia"/>
          <w:b w:val="false"/>
          <w:bCs w:val="false"/>
          <w:i w:val="false"/>
          <w:iCs w:val="false"/>
          <w:color w:val="1A1A1A"/>
          <w:sz w:val="23"/>
          <w:szCs w:val="23"/>
        </w:rPr>
        <w:t xml:space="preserve">Digital learning and lifelong learning are decoupling these functions. Teaching can happen in many places. Knowledge creation happens in research institutions of many kinds. What remains distinctively institutional — and what the disruption of the last twenty years has not replaced — is the certification function: the trusted social assertion that a person has demonstrated defined competences to a standard that others can rely on.</w:t>
      </w:r>
    </w:p>
    <w:p>
      <w:pPr>
        <w:spacing w:before="0" w:after="190"/>
        <w:ind/>
        <w:jc w:val="both"/>
      </w:pPr>
      <w:r>
        <w:rPr>
          <w:rFonts w:ascii="Georgia" w:cs="Georgia" w:eastAsia="Georgia" w:hAnsi="Georgia"/>
          <w:b w:val="false"/>
          <w:bCs w:val="false"/>
          <w:i w:val="false"/>
          <w:iCs w:val="false"/>
          <w:color w:val="1A1A1A"/>
          <w:sz w:val="23"/>
          <w:szCs w:val="23"/>
        </w:rPr>
        <w:t xml:space="preserve">This means that the future of universities is not — as some have argued — their displacement by platforms. It is their transformation. Universities that understand what they actually provide — not content, not even teaching, but trusted credentialling within a governance framework — will discover that this function is more important in a distributed learning world than it was in a campus-centric one. The question is whether they can extend that function across the new architecture, or whether they will defend an increasingly irrelevant bundle.</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2E75B6"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70"/>
              <w:left w:type="dxa" w:w="280"/>
              <w:bottom w:type="dxa" w:w="170"/>
              <w:right w:type="dxa" w:w="200"/>
            </w:tcMar>
          </w:tcPr>
          <w:p>
            <w:pPr>
              <w:jc w:val="both"/>
            </w:pPr>
            <w:r>
              <w:rPr>
                <w:rFonts w:ascii="Georgia" w:cs="Georgia" w:eastAsia="Georgia" w:hAnsi="Georgia"/>
                <w:i/>
                <w:iCs/>
                <w:color w:val="1A1A1A"/>
                <w:sz w:val="24"/>
                <w:szCs w:val="24"/>
              </w:rPr>
              <w:t xml:space="preserve">The university of the future does not primarily teach. It primarily governs: the standards, the credentials, the quality assurance, and the interoperability that make distributed learning meaningful. The OUG is designed for exactly this function — which is why it is not a compromise between old and new models. It is the institutional form that the new architecture requires.</w:t>
            </w:r>
          </w:p>
        </w:tc>
      </w:tr>
    </w:tbl>
    <w:p>
      <w:pPr>
        <w:spacing w:before="0" w:after="200"/>
      </w:pPr>
    </w:p>
    <w:p>
      <w:pPr>
        <w:pStyle w:val="Heading1"/>
        <w:spacing w:before="520" w:after="160"/>
      </w:pPr>
      <w:r>
        <w:rPr>
          <w:rFonts w:ascii="Georgia" w:cs="Georgia" w:eastAsia="Georgia" w:hAnsi="Georgia"/>
          <w:b/>
          <w:bCs/>
          <w:color w:val="1F3864"/>
          <w:sz w:val="32"/>
          <w:szCs w:val="32"/>
        </w:rPr>
        <w:t xml:space="preserve">VIII.  Positioning Statement</w:t>
      </w:r>
    </w:p>
    <w:p>
      <w:pPr>
        <w:spacing w:before="0" w:after="190"/>
        <w:ind/>
        <w:jc w:val="both"/>
      </w:pPr>
      <w:r>
        <w:rPr>
          <w:rFonts w:ascii="Georgia" w:cs="Georgia" w:eastAsia="Georgia" w:hAnsi="Georgia"/>
          <w:b w:val="false"/>
          <w:bCs w:val="false"/>
          <w:i w:val="false"/>
          <w:iCs w:val="false"/>
          <w:color w:val="1A1A1A"/>
          <w:sz w:val="23"/>
          <w:szCs w:val="23"/>
        </w:rPr>
        <w:t xml:space="preserve">The Open University of Germany occupies a unique institutional position in the German and European higher education landscape. It is:</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E75B6" w:val="clear"/>
            <w:tcMar>
              <w:top w:type="dxa" w:w="0"/>
              <w:left w:type="dxa" w:w="0"/>
              <w:bottom w:type="dxa" w:w="0"/>
              <w:right w:type="dxa" w:w="0"/>
            </w:tcMar>
          </w:tcPr>
          <w:p/>
        </w:tc>
        <w:tc>
          <w:tcPr>
            <w:tcW w:type="dxa" w:w="8846"/>
            <w:tcBorders>
              <w:top w:val="none"/>
              <w:left w:val="none"/>
              <w:bottom w:val="none"/>
              <w:right w:val="none"/>
            </w:tcBorders>
            <w:shd w:fill="EEF4FB" w:val="clear"/>
            <w:tcMar>
              <w:top w:type="dxa" w:w="130"/>
              <w:left w:type="dxa" w:w="240"/>
              <w:bottom w:type="dxa" w:w="130"/>
              <w:right w:type="dxa" w:w="180"/>
            </w:tcMar>
          </w:tcPr>
          <w:p>
            <w:pPr>
              <w:spacing w:before="0" w:after="60"/>
            </w:pPr>
            <w:r>
              <w:rPr>
                <w:rFonts w:ascii="Arial" w:cs="Arial" w:eastAsia="Arial" w:hAnsi="Arial"/>
                <w:b/>
                <w:bCs/>
                <w:caps/>
                <w:color w:val="2E75B6"/>
                <w:sz w:val="17"/>
                <w:szCs w:val="17"/>
              </w:rPr>
              <w:t xml:space="preserve">Not a Distance Learning Platform</w:t>
            </w:r>
          </w:p>
          <w:p>
            <w:pPr>
              <w:spacing w:before="0" w:after="0"/>
              <w:jc w:val="both"/>
            </w:pPr>
            <w:r>
              <w:rPr>
                <w:rFonts w:ascii="Georgia" w:cs="Georgia" w:eastAsia="Georgia" w:hAnsi="Georgia"/>
                <w:color w:val="1A1A1A"/>
                <w:sz w:val="22"/>
                <w:szCs w:val="22"/>
              </w:rPr>
              <w:t xml:space="preserve">The OUG holds degree-awarding authority, operates under German higher education law, and is governed by the academic quality standards of the national accreditation system. It is an institution, not a delivery mechanism.</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1F3864" w:val="clear"/>
            <w:tcMar>
              <w:top w:type="dxa" w:w="0"/>
              <w:left w:type="dxa" w:w="0"/>
              <w:bottom w:type="dxa" w:w="0"/>
              <w:right w:type="dxa" w:w="0"/>
            </w:tcMar>
          </w:tcPr>
          <w:p/>
        </w:tc>
        <w:tc>
          <w:tcPr>
            <w:tcW w:type="dxa" w:w="8846"/>
            <w:tcBorders>
              <w:top w:val="none"/>
              <w:left w:val="none"/>
              <w:bottom w:val="none"/>
              <w:right w:val="none"/>
            </w:tcBorders>
            <w:shd w:fill="EEF4FB" w:val="clear"/>
            <w:tcMar>
              <w:top w:type="dxa" w:w="130"/>
              <w:left w:type="dxa" w:w="240"/>
              <w:bottom w:type="dxa" w:w="130"/>
              <w:right w:type="dxa" w:w="180"/>
            </w:tcMar>
          </w:tcPr>
          <w:p>
            <w:pPr>
              <w:spacing w:before="0" w:after="60"/>
            </w:pPr>
            <w:r>
              <w:rPr>
                <w:rFonts w:ascii="Arial" w:cs="Arial" w:eastAsia="Arial" w:hAnsi="Arial"/>
                <w:b/>
                <w:bCs/>
                <w:caps/>
                <w:color w:val="1F3864"/>
                <w:sz w:val="17"/>
                <w:szCs w:val="17"/>
              </w:rPr>
              <w:t xml:space="preserve">Not a Traditional University with Online Offerings</w:t>
            </w:r>
          </w:p>
          <w:p>
            <w:pPr>
              <w:spacing w:before="0" w:after="0"/>
              <w:jc w:val="both"/>
            </w:pPr>
            <w:r>
              <w:rPr>
                <w:rFonts w:ascii="Georgia" w:cs="Georgia" w:eastAsia="Georgia" w:hAnsi="Georgia"/>
                <w:color w:val="1A1A1A"/>
                <w:sz w:val="22"/>
                <w:szCs w:val="22"/>
              </w:rPr>
              <w:t xml:space="preserve">The OUG was designed from the start for distributed, federated, modular operation. It does not adapt a campus model for digital delivery. It builds a different institutional type from the ground up.</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0D1F3C" w:val="clear"/>
            <w:tcMar>
              <w:top w:type="dxa" w:w="0"/>
              <w:left w:type="dxa" w:w="0"/>
              <w:bottom w:type="dxa" w:w="0"/>
              <w:right w:type="dxa" w:w="0"/>
            </w:tcMar>
          </w:tcPr>
          <w:p/>
        </w:tc>
        <w:tc>
          <w:tcPr>
            <w:tcW w:type="dxa" w:w="8846"/>
            <w:tcBorders>
              <w:top w:val="none"/>
              <w:left w:val="none"/>
              <w:bottom w:val="none"/>
              <w:right w:val="none"/>
            </w:tcBorders>
            <w:shd w:fill="EEF4FB" w:val="clear"/>
            <w:tcMar>
              <w:top w:type="dxa" w:w="130"/>
              <w:left w:type="dxa" w:w="240"/>
              <w:bottom w:type="dxa" w:w="130"/>
              <w:right w:type="dxa" w:w="180"/>
            </w:tcMar>
          </w:tcPr>
          <w:p>
            <w:pPr>
              <w:spacing w:before="0" w:after="60"/>
            </w:pPr>
            <w:r>
              <w:rPr>
                <w:rFonts w:ascii="Arial" w:cs="Arial" w:eastAsia="Arial" w:hAnsi="Arial"/>
                <w:b/>
                <w:bCs/>
                <w:caps/>
                <w:color w:val="0D1F3C"/>
                <w:sz w:val="17"/>
                <w:szCs w:val="17"/>
              </w:rPr>
              <w:t xml:space="preserve">Not a Micro-Credential Experiment</w:t>
            </w:r>
          </w:p>
          <w:p>
            <w:pPr>
              <w:spacing w:before="0" w:after="0"/>
              <w:jc w:val="both"/>
            </w:pPr>
            <w:r>
              <w:rPr>
                <w:rFonts w:ascii="Georgia" w:cs="Georgia" w:eastAsia="Georgia" w:hAnsi="Georgia"/>
                <w:color w:val="1A1A1A"/>
                <w:sz w:val="22"/>
                <w:szCs w:val="22"/>
              </w:rPr>
              <w:t xml:space="preserve">Micro-credentials are one component of the OUG's offering. The OUG's distinctive contribution is the governance layer in which those credentials are embedded — the framework that makes them trustworthy, stackable, and interoperable.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1A5C38" w:val="clear"/>
            <w:tcMar>
              <w:top w:type="dxa" w:w="0"/>
              <w:left w:type="dxa" w:w="0"/>
              <w:bottom w:type="dxa" w:w="0"/>
              <w:right w:type="dxa" w:w="0"/>
            </w:tcMar>
          </w:tcPr>
          <w:p/>
        </w:tc>
        <w:tc>
          <w:tcPr>
            <w:tcW w:type="dxa" w:w="8846"/>
            <w:tcBorders>
              <w:top w:val="none"/>
              <w:left w:val="none"/>
              <w:bottom w:val="none"/>
              <w:right w:val="none"/>
            </w:tcBorders>
            <w:shd w:fill="EEF4FB" w:val="clear"/>
            <w:tcMar>
              <w:top w:type="dxa" w:w="130"/>
              <w:left w:type="dxa" w:w="240"/>
              <w:bottom w:type="dxa" w:w="130"/>
              <w:right w:type="dxa" w:w="180"/>
            </w:tcMar>
          </w:tcPr>
          <w:p>
            <w:pPr>
              <w:spacing w:before="0" w:after="60"/>
            </w:pPr>
            <w:r>
              <w:rPr>
                <w:rFonts w:ascii="Arial" w:cs="Arial" w:eastAsia="Arial" w:hAnsi="Arial"/>
                <w:b/>
                <w:bCs/>
                <w:caps/>
                <w:color w:val="1A5C38"/>
                <w:sz w:val="17"/>
                <w:szCs w:val="17"/>
              </w:rPr>
              <w:t xml:space="preserve">A Federated Credential Infrastructure Institution</w:t>
            </w:r>
          </w:p>
          <w:p>
            <w:pPr>
              <w:spacing w:before="0" w:after="0"/>
              <w:jc w:val="both"/>
            </w:pPr>
            <w:r>
              <w:rPr>
                <w:rFonts w:ascii="Georgia" w:cs="Georgia" w:eastAsia="Georgia" w:hAnsi="Georgia"/>
                <w:color w:val="1A1A1A"/>
                <w:sz w:val="22"/>
                <w:szCs w:val="22"/>
              </w:rPr>
              <w:t xml:space="preserve">The OUG is designed to function as the trusted governance and verification layer between distributed learning and the labour market — the institutional architecture that the skills-first policy agenda requires but has not yet produced.</w:t>
            </w:r>
          </w:p>
        </w:tc>
      </w:tr>
    </w:tbl>
    <w:p>
      <w:pPr>
        <w:spacing w:before="0" w:after="100"/>
      </w:pPr>
    </w:p>
    <w:p>
      <w:pPr>
        <w:spacing w:before="0" w:after="190"/>
        <w:ind/>
        <w:jc w:val="both"/>
      </w:pPr>
      <w:r>
        <w:rPr>
          <w:rFonts w:ascii="Georgia" w:cs="Georgia" w:eastAsia="Georgia" w:hAnsi="Georgia"/>
          <w:b w:val="false"/>
          <w:bCs w:val="false"/>
          <w:i w:val="false"/>
          <w:iCs w:val="false"/>
          <w:color w:val="1A1A1A"/>
          <w:sz w:val="23"/>
          <w:szCs w:val="23"/>
        </w:rPr>
        <w:t xml:space="preserve">This positioning is not a marketing claim. It follows from the structural analysis of what the OUG's institutional design actually does, why the existing model types cannot do it, and where the most significant unmet need in the global learning system currently lies.</w:t>
      </w:r>
    </w:p>
    <w:p>
      <w:pPr>
        <w:spacing w:before="0" w:after="190"/>
        <w:ind/>
        <w:jc w:val="both"/>
      </w:pPr>
      <w:r>
        <w:rPr>
          <w:rFonts w:ascii="Georgia" w:cs="Georgia" w:eastAsia="Georgia" w:hAnsi="Georgia"/>
          <w:b w:val="false"/>
          <w:bCs w:val="false"/>
          <w:i w:val="false"/>
          <w:iCs w:val="false"/>
          <w:color w:val="1A1A1A"/>
          <w:sz w:val="23"/>
          <w:szCs w:val="23"/>
        </w:rPr>
        <w:t xml:space="preserve">The OUG did not set out to be a piece of infrastructure. It set out to make high-quality education accessible to people who need it. The discovery — and the opportunity — is that these two aims turn out to require the same institutional design.</w:t>
      </w:r>
    </w:p>
    <w:p>
      <w:pPr>
        <w:spacing w:before="0" w:after="200"/>
      </w:pPr>
    </w:p>
    <w:p>
      <w:pPr>
        <w:pBdr>
          <w:bottom w:val="single" w:color="2E75B6" w:sz="4" w:space="1"/>
        </w:pBdr>
        <w:spacing w:before="0" w:after="200"/>
      </w:pPr>
    </w:p>
    <w:p>
      <w:pPr>
        <w:spacing w:before="0" w:after="80"/>
        <w:jc w:val="center"/>
      </w:pPr>
      <w:r>
        <w:rPr>
          <w:rFonts w:ascii="Georgia" w:cs="Georgia" w:eastAsia="Georgia" w:hAnsi="Georgia"/>
          <w:b/>
          <w:bCs/>
          <w:color w:val="1F3864"/>
          <w:sz w:val="26"/>
          <w:szCs w:val="26"/>
        </w:rPr>
        <w:t xml:space="preserve">The Question the System Is Already Asking</w:t>
      </w:r>
    </w:p>
    <w:p>
      <w:pPr>
        <w:spacing w:before="0" w:after="190"/>
        <w:ind/>
        <w:jc w:val="both"/>
      </w:pPr>
      <w:r>
        <w:rPr>
          <w:rFonts w:ascii="Georgia" w:cs="Georgia" w:eastAsia="Georgia" w:hAnsi="Georgia"/>
          <w:b w:val="false"/>
          <w:bCs w:val="false"/>
          <w:i w:val="false"/>
          <w:iCs w:val="false"/>
          <w:color w:val="1A1A1A"/>
          <w:sz w:val="23"/>
          <w:szCs w:val="23"/>
        </w:rPr>
        <w:t xml:space="preserve">The skills-first movement has correctly identified what the learning system needs to become. It has not identified the institution that makes the transition possible. That institution needs academic legitimacy, federated architecture, modular credential design, public governance, and the capacity to operate at scale without sacrificing quality. The OUG was designed with exactly these properties — not because someone predicted this policy moment, but because genuine accessibility requires exactly the same institutional infrastructure that genuine interoperability requires.</w:t>
      </w:r>
    </w:p>
    <w:p>
      <w:pPr>
        <w:spacing w:before="0" w:after="190"/>
        <w:ind/>
        <w:jc w:val="both"/>
      </w:pPr>
      <w:r>
        <w:rPr>
          <w:rFonts w:ascii="Georgia" w:cs="Georgia" w:eastAsia="Georgia" w:hAnsi="Georgia"/>
          <w:b w:val="false"/>
          <w:bCs w:val="false"/>
          <w:i w:val="false"/>
          <w:iCs w:val="false"/>
          <w:color w:val="1A1A1A"/>
          <w:sz w:val="23"/>
          <w:szCs w:val="23"/>
        </w:rPr>
        <w:t xml:space="preserve">The question the policy debate is asking is: who governs the trust layer of lifelong learning? The OUG is the answer.</w:t>
      </w:r>
    </w:p>
    <w:p>
      <w:pPr>
        <w:spacing w:before="0" w:after="200"/>
      </w:pPr>
    </w:p>
    <w:p>
      <w:pPr>
        <w:pBdr>
          <w:bottom w:val="single" w:color="CCCCCC" w:sz="2" w:space="1"/>
        </w:pBdr>
        <w:spacing w:before="200" w:after="200"/>
      </w:pPr>
    </w:p>
    <w:p>
      <w:pPr>
        <w:spacing w:before="160" w:after="0"/>
        <w:jc w:val="right"/>
      </w:pPr>
      <w:r>
        <w:rPr>
          <w:rFonts w:ascii="Arial" w:cs="Arial" w:eastAsia="Arial" w:hAnsi="Arial"/>
          <w:i/>
          <w:iCs/>
          <w:color w:val="BBBBBB"/>
          <w:sz w:val="17"/>
          <w:szCs w:val="17"/>
        </w:rPr>
        <w:t xml:space="preserve">Open University of Germany  ·  Strategic Positioning  ·  2026</w:t>
      </w:r>
    </w:p>
    <w:sectPr>
      <w:pgSz w:w="11906" w:h="16838" w:orient="portrait"/>
      <w:pgMar w:top="13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60"/>
      <w:outlineLvl w:val="0"/>
    </w:pPr>
    <w:rPr>
      <w:rFonts w:ascii="Georgia" w:cs="Georgia" w:eastAsia="Georgia" w:hAnsi="Georgia"/>
      <w:b/>
      <w:bCs/>
      <w:color w:val="1F3864"/>
      <w:sz w:val="32"/>
      <w:szCs w:val="32"/>
    </w:rPr>
  </w:style>
  <w:style w:type="paragraph" w:styleId="Heading2">
    <w:name w:val="Heading 2"/>
    <w:basedOn w:val="Normal"/>
    <w:next w:val="Normal"/>
    <w:qFormat/>
    <w:pPr>
      <w:spacing w:before="340" w:after="110"/>
      <w:outlineLvl w:val="1"/>
    </w:pPr>
    <w:rPr>
      <w:rFonts w:ascii="Georgia" w:cs="Georgia" w:eastAsia="Georgia" w:hAnsi="Georgia"/>
      <w:b/>
      <w:bCs/>
      <w:color w:val="2E75B6"/>
      <w:sz w:val="26"/>
      <w:szCs w:val="26"/>
    </w:rPr>
  </w:style>
  <w:style w:type="paragraph" w:styleId="Heading3">
    <w:name w:val="Heading 3"/>
    <w:basedOn w:val="Normal"/>
    <w:next w:val="Normal"/>
    <w:qFormat/>
    <w:pPr>
      <w:spacing w:before="26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2026-03-14T21:31:05.112Z</dcterms:created>
  <dcterms:modified xsi:type="dcterms:W3CDTF">2026-03-14T21:31:05.113Z</dcterms:modified>
</cp:coreProperties>
</file>

<file path=docProps/custom.xml><?xml version="1.0" encoding="utf-8"?>
<Properties xmlns="http://schemas.openxmlformats.org/officeDocument/2006/custom-properties" xmlns:vt="http://schemas.openxmlformats.org/officeDocument/2006/docPropsVTypes"/>
</file>