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none"/>
              <w:bottom w:val="none"/>
              <w:right w:val="none"/>
            </w:tcBorders>
            <w:shd w:fill="FFF8E1" w:val="clear"/>
            <w:tcMar>
              <w:top w:type="dxa" w:w="120"/>
              <w:left w:type="dxa" w:w="240"/>
              <w:bottom w:type="dxa" w:w="120"/>
              <w:right w:type="dxa" w:w="240"/>
            </w:tcMar>
          </w:tcPr>
          <w:p>
            <w:r>
              <w:rPr>
                <w:rFonts w:ascii="Arial" w:cs="Arial" w:eastAsia="Arial" w:hAnsi="Arial"/>
                <w:b/>
                <w:bCs/>
                <w:color w:val="7A4A00"/>
                <w:sz w:val="16"/>
                <w:szCs w:val="16"/>
              </w:rPr>
              <w:t xml:space="preserve">⚠  Rechtlicher Hinweis:  </w:t>
            </w:r>
            <w:r>
              <w:rPr>
                <w:rFonts w:ascii="Georgia" w:cs="Georgia" w:eastAsia="Georgia" w:hAnsi="Georgia"/>
                <w:color w:val="1A1A1A"/>
                <w:sz w:val="20"/>
                <w:szCs w:val="20"/>
              </w:rPr>
              <w:t xml:space="preserve">Dieses Dokument ist eine strukturierte Rechtsargumentation auf Basis öffentlich zugänglicher Rechtsnormen und Rechtsprechung. Es ersetzt kein anwaltliches Gutachten. Vor der Verwendung im Akkreditierungsverfahren ist die Prüfung durch einen spezialisierten Hochschulrechtler mit Kenntnissen im europäischen Beihilferecht zwingend erforderlich.</w:t>
            </w:r>
          </w:p>
        </w:tc>
      </w:tr>
    </w:tbl>
    <w:p>
      <w:pPr>
        <w:spacing w:after="80" w:before="0"/>
      </w:pPr>
    </w:p>
    <w:p>
      <w:pPr>
        <w:spacing w:after="50" w:before="0"/>
      </w:pPr>
      <w:r>
        <w:rPr>
          <w:rFonts w:ascii="Arial" w:cs="Arial" w:eastAsia="Arial" w:hAnsi="Arial"/>
          <w:b/>
          <w:bCs/>
          <w:caps/>
          <w:color w:val="2E75B6"/>
          <w:sz w:val="17"/>
          <w:szCs w:val="17"/>
        </w:rPr>
        <w:t xml:space="preserve">OPEN UNIVERSITY OF GERMANY  ·  GRÜNDUNGSDOKUMENT</w:t>
      </w:r>
    </w:p>
    <w:p>
      <w:pPr>
        <w:spacing w:after="60" w:before="0"/>
      </w:pPr>
      <w:r>
        <w:rPr>
          <w:rFonts w:ascii="Arial" w:cs="Arial" w:eastAsia="Arial" w:hAnsi="Arial"/>
          <w:color w:val="AAAAAA"/>
          <w:sz w:val="17"/>
          <w:szCs w:val="17"/>
        </w:rPr>
        <w:t xml:space="preserve">Rechtliche Grundlage und institutionelle Verfassung  ·  2026</w:t>
      </w:r>
    </w:p>
    <w:p>
      <w:pPr>
        <w:pBdr>
          <w:bottom w:val="single" w:color="2E75B6" w:sz="10" w:space="1"/>
        </w:pBdr>
        <w:spacing w:after="280" w:before="0"/>
      </w:pPr>
    </w:p>
    <w:p>
      <w:pPr>
        <w:spacing w:after="40" w:before="0"/>
      </w:pPr>
      <w:r>
        <w:rPr>
          <w:rFonts w:ascii="Georgia" w:cs="Georgia" w:eastAsia="Georgia" w:hAnsi="Georgia"/>
          <w:b/>
          <w:bCs/>
          <w:color w:val="0D1F3C"/>
          <w:sz w:val="38"/>
          <w:szCs w:val="38"/>
        </w:rPr>
        <w:t xml:space="preserve">Die OUG als Einrichtung des Allgemeinwohls:</w:t>
      </w:r>
    </w:p>
    <w:p>
      <w:pPr>
        <w:spacing w:after="280" w:before="0"/>
      </w:pPr>
      <w:r>
        <w:rPr>
          <w:rFonts w:ascii="Georgia" w:cs="Georgia" w:eastAsia="Georgia" w:hAnsi="Georgia"/>
          <w:i/>
          <w:iCs/>
          <w:color w:val="1F3864"/>
          <w:sz w:val="24"/>
          <w:szCs w:val="24"/>
        </w:rPr>
        <w:t xml:space="preserve">Rechtliche Grundlage, institutionelle Verfassung und praktische Umsetzung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none"/>
              <w:bottom w:val="none"/>
              <w:right w:val="none"/>
            </w:tcBorders>
            <w:shd w:fill="F4F7FA" w:val="clear"/>
            <w:tcMar>
              <w:top w:type="dxa" w:w="200"/>
              <w:left w:type="dxa" w:w="280"/>
              <w:bottom w:type="dxa" w:w="200"/>
              <w:right w:type="dxa" w:w="280"/>
            </w:tcMar>
          </w:tcPr>
          <w:p>
            <w:pPr>
              <w:spacing w:after="70" w:before="0"/>
            </w:pPr>
            <w:r>
              <w:rPr>
                <w:rFonts w:ascii="Arial" w:cs="Arial" w:eastAsia="Arial" w:hAnsi="Arial"/>
                <w:b/>
                <w:bCs/>
                <w:color w:val="1F3864"/>
                <w:sz w:val="18"/>
                <w:szCs w:val="18"/>
              </w:rPr>
              <w:t xml:space="preserve">Kurzfassung</w:t>
            </w:r>
          </w:p>
          <w:p>
            <w:pPr>
              <w:spacing w:after="90" w:before="0"/>
              <w:jc w:val="both"/>
            </w:pPr>
            <w:r>
              <w:rPr>
                <w:rFonts w:ascii="Georgia" w:cs="Georgia" w:eastAsia="Georgia" w:hAnsi="Georgia"/>
                <w:color w:val="1A1A1A"/>
                <w:sz w:val="22"/>
                <w:szCs w:val="22"/>
              </w:rPr>
              <w:t xml:space="preserve">Die Open University of Germany (OUG) konstituiert sich ausdrücklich als Einrichtung des Allgemeinwohls — nicht als wirtschaftliches Unternehmen, das Bildung verkauft. Die Studiengebühr von €25 pro ECTS-Punkt ist kein Marktpreis, sondern ein Kostenbeitrag der Lernenden zu einer gemeinwohlorientierten Dienstleistung. Diese Verfassung ist keine Formalität: Sie ist die rechtliche Grundlage, auf der der günstige Preis, die öffentliche Förderung und die Ressourcen aus der Hochschulföderationen wettbewerbs- und beihilferechtlich zulässig sind.</w:t>
            </w:r>
          </w:p>
          <w:p>
            <w:pPr>
              <w:spacing w:after="0" w:before="0"/>
              <w:jc w:val="both"/>
            </w:pPr>
            <w:r>
              <w:rPr>
                <w:rFonts w:ascii="Georgia" w:cs="Georgia" w:eastAsia="Georgia" w:hAnsi="Georgia"/>
                <w:i/>
                <w:iCs/>
                <w:color w:val="4A5568"/>
                <w:sz w:val="22"/>
                <w:szCs w:val="22"/>
              </w:rPr>
              <w:t xml:space="preserve">Dieses Dokument erklärt: was eine Einrichtung des Allgemeinwohls ist; warum die OUG diese Einstufung beansprucht und beanspruchen kann; welche Rechtsnormen die Grundlage bilden; wie die Verfassung konkret umgesetzt wird; und was sie für jeden Stakeholder — Studierende, Partnerhochschulen, Ministerium, Steuerzahler und Governance — bedeutet.</w:t>
            </w:r>
          </w:p>
        </w:tc>
      </w:tr>
    </w:tbl>
    <w:p>
      <w:pPr>
        <w:spacing w:after="280" w:before="0"/>
      </w:pPr>
    </w:p>
    <w:p>
      <w:pPr>
        <w:pStyle w:val="Heading1"/>
        <w:spacing w:after="140" w:before="480"/>
      </w:pPr>
      <w:r>
        <w:rPr>
          <w:rFonts w:ascii="Georgia" w:cs="Georgia" w:eastAsia="Georgia" w:hAnsi="Georgia"/>
          <w:b/>
          <w:bCs/>
          <w:color w:val="1F3864"/>
          <w:sz w:val="30"/>
          <w:szCs w:val="30"/>
        </w:rPr>
        <w:t xml:space="preserve">I.  Was ist eine Einrichtung des Allgemeinwohls?</w:t>
      </w:r>
    </w:p>
    <w:p>
      <w:pPr>
        <w:spacing w:after="185" w:before="0"/>
        <w:jc w:val="both"/>
      </w:pPr>
      <w:r>
        <w:rPr>
          <w:rFonts w:ascii="Georgia" w:cs="Georgia" w:eastAsia="Georgia" w:hAnsi="Georgia"/>
          <w:b w:val="false"/>
          <w:bCs w:val="false"/>
          <w:i w:val="false"/>
          <w:iCs w:val="false"/>
          <w:color w:val="1A1A1A"/>
          <w:sz w:val="23"/>
          <w:szCs w:val="23"/>
        </w:rPr>
        <w:t xml:space="preserve">Eine Einrichtung des Allgemeinwohls — im europäischen Recht als Einrichtung zur Erbringung von Dienstleistungen von allgemeinem wirtschaftlichem Interesse (DAWI) bezeichnet — ist eine Organisation, die Aufgaben erfüllt, die der Markt allein nicht oder nicht zu gesellschaftlich akzeptablen Bedingungen erbringen würde. Der entscheidende Unterschied zu einem gewöhnlichen Unternehmen liegt nicht in der Rechtsform, sondern im Zweck: Eine Allgemeinwohleinrichtung handelt primär im Interesse der Gesellschaft, nicht zur Gewinnerzielung.</w:t>
      </w:r>
    </w:p>
    <w:p>
      <w:pPr>
        <w:spacing w:after="185" w:before="0"/>
        <w:jc w:val="both"/>
      </w:pPr>
      <w:r>
        <w:rPr>
          <w:rFonts w:ascii="Georgia" w:cs="Georgia" w:eastAsia="Georgia" w:hAnsi="Georgia"/>
          <w:b w:val="false"/>
          <w:bCs w:val="false"/>
          <w:i w:val="false"/>
          <w:iCs w:val="false"/>
          <w:color w:val="1A1A1A"/>
          <w:sz w:val="23"/>
          <w:szCs w:val="23"/>
        </w:rPr>
        <w:t xml:space="preserve">Im deutschen Recht wird dieser Begriff vor allem im Gemeinnützigkeitsrecht (§ 52 AO), im Hochschulrecht (LHG) und im Kontext des europäischen Beihilferechts (Art. 106 Abs. 2 AEUV) verwendet. Die drei Rechtsebenen greifen ineinander: Das deutsche Steuerrecht definiert, was als gemeinnützig gilt. Das europäische Recht definiert, unter welchen Bedingungen öffentliche Förderung für solche Einrichtungen zulässig ist. Das Hochschulrecht definiert, welche Aufgaben öffentliche Hochschulen in diesem Rahmen wahrnehmen dürfen.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left w:val="none"/>
              <w:bottom w:val="none"/>
              <w:right w:val="none"/>
            </w:tcBorders>
            <w:shd w:fill="1A5C4A" w:val="clear"/>
            <w:tcMar>
              <w:top w:type="dxa" w:w="0"/>
              <w:left w:type="dxa" w:w="0"/>
              <w:bottom w:type="dxa" w:w="0"/>
              <w:right w:type="dxa" w:w="0"/>
            </w:tcMar>
          </w:tcPr>
          <w:p/>
        </w:tc>
        <w:tc>
          <w:tcPr>
            <w:tcW w:type="dxa" w:w="8826"/>
            <w:tcBorders>
              <w:top w:val="none"/>
              <w:left w:val="none"/>
              <w:bottom w:val="none"/>
              <w:right w:val="none"/>
            </w:tcBorders>
            <w:shd w:fill="F4F7FA" w:val="clear"/>
            <w:tcMar>
              <w:top w:type="dxa" w:w="160"/>
              <w:left w:type="dxa" w:w="280"/>
              <w:bottom w:type="dxa" w:w="160"/>
              <w:right w:type="dxa" w:w="200"/>
            </w:tcMar>
          </w:tcPr>
          <w:p>
            <w:pPr>
              <w:jc w:val="both"/>
            </w:pPr>
            <w:r>
              <w:rPr>
                <w:rFonts w:ascii="Georgia" w:cs="Georgia" w:eastAsia="Georgia" w:hAnsi="Georgia"/>
                <w:i/>
                <w:iCs/>
                <w:color w:val="1A1A1A"/>
                <w:sz w:val="23"/>
                <w:szCs w:val="23"/>
              </w:rPr>
              <w:t xml:space="preserve">Der Unterschied zwischen einem Unternehmen, das Bildung verkauft, und einer Einrichtung des Allgemeinwohls, die Bildung ermöglicht, ist nicht semantisch. Er ist rechtlich konstitutiv — und für die OUG existenziell.</w:t>
            </w:r>
          </w:p>
        </w:tc>
      </w:tr>
    </w:tbl>
    <w:p>
      <w:pPr>
        <w:spacing w:after="200" w:before="0"/>
      </w:pPr>
    </w:p>
    <w:p>
      <w:pPr>
        <w:pBdr>
          <w:bottom w:val="single" w:color="CCCCCC" w:sz="2" w:space="1"/>
        </w:pBdr>
        <w:spacing w:after="200" w:before="200"/>
      </w:pPr>
    </w:p>
    <w:p>
      <w:pPr>
        <w:pStyle w:val="Heading1"/>
        <w:spacing w:after="140" w:before="480"/>
      </w:pPr>
      <w:r>
        <w:rPr>
          <w:rFonts w:ascii="Georgia" w:cs="Georgia" w:eastAsia="Georgia" w:hAnsi="Georgia"/>
          <w:b/>
          <w:bCs/>
          <w:color w:val="1F3864"/>
          <w:sz w:val="30"/>
          <w:szCs w:val="30"/>
        </w:rPr>
        <w:t xml:space="preserve">II.  Warum die OUG diese Verfassung beansprucht — und beanspruchen kann</w:t>
      </w:r>
    </w:p>
    <w:p>
      <w:pPr>
        <w:pStyle w:val="Heading2"/>
        <w:spacing w:after="100" w:before="320"/>
      </w:pPr>
      <w:r>
        <w:rPr>
          <w:rFonts w:ascii="Georgia" w:cs="Georgia" w:eastAsia="Georgia" w:hAnsi="Georgia"/>
          <w:b/>
          <w:bCs/>
          <w:color w:val="2E75B6"/>
          <w:sz w:val="25"/>
          <w:szCs w:val="25"/>
        </w:rPr>
        <w:t xml:space="preserve">Das Marktversagen das die OUG adressiert</w:t>
      </w:r>
    </w:p>
    <w:p>
      <w:pPr>
        <w:spacing w:after="185" w:before="0"/>
        <w:jc w:val="both"/>
      </w:pPr>
      <w:r>
        <w:rPr>
          <w:rFonts w:ascii="Georgia" w:cs="Georgia" w:eastAsia="Georgia" w:hAnsi="Georgia"/>
          <w:b w:val="false"/>
          <w:bCs w:val="false"/>
          <w:i w:val="false"/>
          <w:iCs w:val="false"/>
          <w:color w:val="1A1A1A"/>
          <w:sz w:val="23"/>
          <w:szCs w:val="23"/>
        </w:rPr>
        <w:t xml:space="preserve">Der europäische Hochschulmarkt versagt systematisch für eine große Gruppe von Erwachsenen: Menschen, die berufstätig sind, Betreuungsaufgaben wahrnehmen, geographisch eingeschränkt sind oder deren zeitliche Kapazität nicht mit dem Vollzeitstudium vereinbar ist. Für diese Gruppe bietet der Markt entweder gar keine Angebote oder solche zu Preisen — häufig €14.000 bis €20.000 für einen Bachelor — die für viele unerschwinglich sind. Dies ist eine klassische Situation des Marktversagens: Eine gesellschaftlich erwünschte Leistung wird ohne öffentliche Intervention nicht in ausreichendem Umfang und zu akzeptablen Preisen bereitgestellt.</w:t>
      </w:r>
    </w:p>
    <w:p>
      <w:pPr>
        <w:spacing w:after="185" w:before="0"/>
        <w:jc w:val="both"/>
      </w:pPr>
      <w:r>
        <w:rPr>
          <w:rFonts w:ascii="Georgia" w:cs="Georgia" w:eastAsia="Georgia" w:hAnsi="Georgia"/>
          <w:b w:val="false"/>
          <w:bCs w:val="false"/>
          <w:i w:val="false"/>
          <w:iCs w:val="false"/>
          <w:color w:val="1A1A1A"/>
          <w:sz w:val="23"/>
          <w:szCs w:val="23"/>
        </w:rPr>
        <w:t xml:space="preserve">Die OUG adressiert genau dieses Marktversagen. Ihre Zielgruppe — berufstätige Erwachsene, Pflegende, Menschen in bildungsfernen Regionen, Berufsumorientierte — wird vom bestehenden öffentlichen Hochschulsystem strukturell nicht bedient, weil dessen Präsenzformate, Prüfungszeiten und Studienstrukturen diese Lebensrealitäten nicht berücksichtigen. Die OUG ist nicht eine günstigere Version von etwas, das es schon gibt. Sie ist das Angebot für Menschen, für die es bisher nichts gibt.</w:t>
      </w:r>
    </w:p>
    <w:p>
      <w:pPr>
        <w:pStyle w:val="Heading2"/>
        <w:spacing w:after="100" w:before="320"/>
      </w:pPr>
      <w:r>
        <w:rPr>
          <w:rFonts w:ascii="Georgia" w:cs="Georgia" w:eastAsia="Georgia" w:hAnsi="Georgia"/>
          <w:b/>
          <w:bCs/>
          <w:color w:val="2E75B6"/>
          <w:sz w:val="25"/>
          <w:szCs w:val="25"/>
        </w:rPr>
        <w:t xml:space="preserve">Die drei strukturellen Argumente für die Allgemeinwohlverfassung</w:t>
      </w:r>
    </w:p>
    <w:p>
      <w:pPr>
        <w:spacing w:after="185" w:before="0"/>
        <w:jc w:val="both"/>
      </w:pPr>
      <w:r>
        <w:rPr>
          <w:rFonts w:ascii="Georgia" w:cs="Georgia" w:eastAsia="Georgia" w:hAnsi="Georgia"/>
          <w:b w:val="false"/>
          <w:bCs w:val="false"/>
          <w:i w:val="false"/>
          <w:iCs w:val="false"/>
          <w:color w:val="1A1A1A"/>
          <w:sz w:val="23"/>
          <w:szCs w:val="23"/>
        </w:rPr>
        <w:t xml:space="preserve">Erstens: Die OUG erbringt eine Leistung, die der Markt nicht erbringt. Private Hochschulen bedienen zahlungsfähige Vollzeitstudierende. Öffentliche Hochschulen bedienen den traditionellen Studierenden. Die OUG bedient die Lücke — strukturell, nicht als Restgruppe. Wo keine Marktüberschneidung besteht, kann auch kein Wettbewerbsnachteil entstehen.</w:t>
      </w:r>
    </w:p>
    <w:p>
      <w:pPr>
        <w:spacing w:after="185" w:before="0"/>
        <w:jc w:val="both"/>
      </w:pPr>
      <w:r>
        <w:rPr>
          <w:rFonts w:ascii="Georgia" w:cs="Georgia" w:eastAsia="Georgia" w:hAnsi="Georgia"/>
          <w:b w:val="false"/>
          <w:bCs w:val="false"/>
          <w:i w:val="false"/>
          <w:iCs w:val="false"/>
          <w:color w:val="1A1A1A"/>
          <w:sz w:val="23"/>
          <w:szCs w:val="23"/>
        </w:rPr>
        <w:t xml:space="preserve">Zweitens: Die €25/ECTS sind kein Dumping-Preis. Sie sind der kostendeckende Beitrag einer Einrichtung, deren Kostenstruktur grundlegend anders ist als die eines Campus-Betriebs. Keine Gebäude. Zentralisiertes Curriculum. Dezentralisierte Lehre durch Partner. Die Kostenbasis der OUG ist strukturell niedriger — nicht weil öffentliche Gelder Verluste ausgleichen, sondern weil das Modell effizienter ist. Der Kostenbeitrag der Studierenden deckt die Kosten dieses Modells.</w:t>
      </w:r>
    </w:p>
    <w:p>
      <w:pPr>
        <w:spacing w:after="185" w:before="0"/>
        <w:jc w:val="both"/>
      </w:pPr>
      <w:r>
        <w:rPr>
          <w:rFonts w:ascii="Georgia" w:cs="Georgia" w:eastAsia="Georgia" w:hAnsi="Georgia"/>
          <w:b w:val="false"/>
          <w:bCs w:val="false"/>
          <w:i w:val="false"/>
          <w:iCs w:val="false"/>
          <w:color w:val="1A1A1A"/>
          <w:sz w:val="23"/>
          <w:szCs w:val="23"/>
        </w:rPr>
        <w:t xml:space="preserve">Drittens: Die Ressourcen aus der Hochschulförderung — Module, Lehrpersonal, Infrastruktur öffentlicher Hochschulen — werden vertraglich als Sachleistungen mit gemeinnützigem Charakter eingebracht, bewertet nach dem Prinzip der Marktkonformität. Kein Beitrag fließt als verdeckte Subvention; jeder Beitrag ist Gegenstand einer vertraglichen Regelung die den Wert der Leistung und die Gegenleistung dokumentiert.</w:t>
      </w:r>
    </w:p>
    <w:p>
      <w:pPr>
        <w:spacing w:after="200" w:before="0"/>
      </w:pPr>
    </w:p>
    <w:p>
      <w:pPr>
        <w:pBdr>
          <w:bottom w:val="single" w:color="CCCCCC" w:sz="2" w:space="1"/>
        </w:pBdr>
        <w:spacing w:after="200" w:before="200"/>
      </w:pPr>
    </w:p>
    <w:p>
      <w:pPr>
        <w:pStyle w:val="Heading1"/>
        <w:spacing w:after="140" w:before="480"/>
      </w:pPr>
      <w:r>
        <w:rPr>
          <w:rFonts w:ascii="Georgia" w:cs="Georgia" w:eastAsia="Georgia" w:hAnsi="Georgia"/>
          <w:b/>
          <w:bCs/>
          <w:color w:val="1F3864"/>
          <w:sz w:val="30"/>
          <w:szCs w:val="30"/>
        </w:rPr>
        <w:t xml:space="preserve">III.  Die rechtlichen Grundlagen im Detail</w:t>
      </w:r>
    </w:p>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D1F3C" w:val="clear"/>
            <w:tcMar>
              <w:top w:type="dxa" w:w="80"/>
              <w:left w:type="dxa" w:w="200"/>
              <w:bottom w:type="dxa" w:w="80"/>
              <w:right w:type="dxa" w:w="160"/>
            </w:tcMar>
          </w:tcPr>
          <w:p>
            <w:r>
              <w:rPr>
                <w:rFonts w:ascii="Arial" w:cs="Arial" w:eastAsia="Arial" w:hAnsi="Arial"/>
                <w:color w:val="8899BB"/>
                <w:sz w:val="15"/>
                <w:szCs w:val="15"/>
              </w:rPr>
              <w:t xml:space="preserve">Rechtsnorm:  </w:t>
            </w:r>
            <w:r>
              <w:rPr>
                <w:rFonts w:ascii="Georgia" w:cs="Georgia" w:eastAsia="Georgia" w:hAnsi="Georgia"/>
                <w:b/>
                <w:bCs/>
                <w:color w:val="FFFFFF"/>
                <w:sz w:val="22"/>
                <w:szCs w:val="22"/>
              </w:rPr>
              <w:t xml:space="preserve">Art. 107 Abs. 1 AEUV — Beihilfeverbot</w:t>
            </w:r>
          </w:p>
        </w:tc>
      </w:tr>
      <w:tr>
        <w:tc>
          <w:tcPr>
            <w:tcW w:type="dxa" w:w="9026"/>
            <w:tcBorders>
              <w:top w:val="none"/>
              <w:left w:val="none"/>
              <w:bottom w:val="none"/>
              <w:right w:val="none"/>
            </w:tcBorders>
            <w:shd w:fill="EEF4FB" w:val="clear"/>
            <w:tcMar>
              <w:top w:type="dxa" w:w="90"/>
              <w:left w:type="dxa" w:w="200"/>
              <w:bottom w:type="dxa" w:w="90"/>
              <w:right w:type="dxa" w:w="160"/>
            </w:tcMar>
          </w:tcPr>
          <w:p>
            <w:pPr>
              <w:spacing w:after="30" w:before="0"/>
            </w:pPr>
            <w:r>
              <w:rPr>
                <w:rFonts w:ascii="Arial" w:cs="Arial" w:eastAsia="Arial" w:hAnsi="Arial"/>
                <w:b/>
                <w:bCs/>
                <w:caps/>
                <w:color w:val="2E75B6"/>
                <w:sz w:val="14"/>
                <w:szCs w:val="14"/>
              </w:rPr>
              <w:t xml:space="preserve">Wortlaut (Auszug)</w:t>
            </w:r>
          </w:p>
          <w:p>
            <w:pPr>
              <w:spacing w:after="0" w:before="0"/>
              <w:jc w:val="both"/>
            </w:pPr>
            <w:r>
              <w:rPr>
                <w:rFonts w:ascii="Georgia" w:cs="Georgia" w:eastAsia="Georgia" w:hAnsi="Georgia"/>
                <w:i/>
                <w:iCs/>
                <w:color w:val="1A1A1A"/>
                <w:sz w:val="21"/>
                <w:szCs w:val="21"/>
              </w:rPr>
              <w:t xml:space="preserve">"Soweit in den Verträgen nicht etwas anderes bestimmt ist, sind staatliche oder aus staatlichen Mitteln gewährte Beihilfen gleich welcher Art, die durch die Begünstigung bestimmter Unternehmen oder Produktionszweige den Wettbewerb verfälschen oder zu verfälschen drohen, mit dem Binnenmarkt unvereinbar, soweit sie den Handel zwischen Mitgliedstaaten beeinträchtigen."</w:t>
            </w:r>
          </w:p>
        </w:tc>
      </w:tr>
      <w:tr>
        <w:tc>
          <w:tcPr>
            <w:tcW w:type="dxa" w:w="9026"/>
            <w:tcBorders>
              <w:top w:val="none"/>
              <w:left w:val="none"/>
              <w:bottom w:val="none"/>
              <w:right w:val="none"/>
            </w:tcBorders>
            <w:shd w:fill="FFFFFF" w:val="clear"/>
            <w:tcMar>
              <w:top w:type="dxa" w:w="90"/>
              <w:left w:type="dxa" w:w="200"/>
              <w:bottom w:type="dxa" w:w="90"/>
              <w:right w:type="dxa" w:w="160"/>
            </w:tcMar>
          </w:tcPr>
          <w:p>
            <w:pPr>
              <w:spacing w:after="30" w:before="0"/>
            </w:pPr>
            <w:r>
              <w:rPr>
                <w:rFonts w:ascii="Arial" w:cs="Arial" w:eastAsia="Arial" w:hAnsi="Arial"/>
                <w:b/>
                <w:bCs/>
                <w:caps/>
                <w:color w:val="1A5C4A"/>
                <w:sz w:val="14"/>
                <w:szCs w:val="14"/>
              </w:rPr>
              <w:t xml:space="preserve">Bedeutung für die OUG</w:t>
            </w:r>
          </w:p>
          <w:p>
            <w:pPr>
              <w:spacing w:after="0" w:before="0"/>
              <w:jc w:val="both"/>
            </w:pPr>
            <w:r>
              <w:rPr>
                <w:rFonts w:ascii="Georgia" w:cs="Georgia" w:eastAsia="Georgia" w:hAnsi="Georgia"/>
                <w:color w:val="1A1A1A"/>
                <w:sz w:val="22"/>
                <w:szCs w:val="22"/>
              </w:rPr>
              <w:t xml:space="preserve">Das Beihilfeverbot gilt nur für 'Unternehmen' im Sinne des EU-Rechts. Der EuGH hat in ständiger Rechtsprechung klargestellt, dass Einrichtungen, die keine wirtschaftliche Tätigkeit ausüben, keine Unternehmen im Sinne des Beihilferechts sind. Wenn die OUG als Allgemeinwohleinrichtung konstituiert ist und ihre Tätigkeit nicht primär wirtschaftlicher Natur ist, fällt die öffentliche Förderung nicht unter Art. 107 Abs. 1 AEUV.</w:t>
            </w:r>
          </w:p>
        </w:tc>
      </w:tr>
    </w:tbl>
    <w:p>
      <w:pPr>
        <w:spacing w:after="5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D1F3C" w:val="clear"/>
            <w:tcMar>
              <w:top w:type="dxa" w:w="80"/>
              <w:left w:type="dxa" w:w="200"/>
              <w:bottom w:type="dxa" w:w="80"/>
              <w:right w:type="dxa" w:w="160"/>
            </w:tcMar>
          </w:tcPr>
          <w:p>
            <w:r>
              <w:rPr>
                <w:rFonts w:ascii="Arial" w:cs="Arial" w:eastAsia="Arial" w:hAnsi="Arial"/>
                <w:color w:val="8899BB"/>
                <w:sz w:val="15"/>
                <w:szCs w:val="15"/>
              </w:rPr>
              <w:t xml:space="preserve">Rechtsnorm:  </w:t>
            </w:r>
            <w:r>
              <w:rPr>
                <w:rFonts w:ascii="Georgia" w:cs="Georgia" w:eastAsia="Georgia" w:hAnsi="Georgia"/>
                <w:b/>
                <w:bCs/>
                <w:color w:val="FFFFFF"/>
                <w:sz w:val="22"/>
                <w:szCs w:val="22"/>
              </w:rPr>
              <w:t xml:space="preserve">Art. 106 Abs. 2 AEUV — DAWI-Ausnahme</w:t>
            </w:r>
          </w:p>
        </w:tc>
      </w:tr>
      <w:tr>
        <w:tc>
          <w:tcPr>
            <w:tcW w:type="dxa" w:w="9026"/>
            <w:tcBorders>
              <w:top w:val="none"/>
              <w:left w:val="none"/>
              <w:bottom w:val="none"/>
              <w:right w:val="none"/>
            </w:tcBorders>
            <w:shd w:fill="EEF4FB" w:val="clear"/>
            <w:tcMar>
              <w:top w:type="dxa" w:w="90"/>
              <w:left w:type="dxa" w:w="200"/>
              <w:bottom w:type="dxa" w:w="90"/>
              <w:right w:type="dxa" w:w="160"/>
            </w:tcMar>
          </w:tcPr>
          <w:p>
            <w:pPr>
              <w:spacing w:after="30" w:before="0"/>
            </w:pPr>
            <w:r>
              <w:rPr>
                <w:rFonts w:ascii="Arial" w:cs="Arial" w:eastAsia="Arial" w:hAnsi="Arial"/>
                <w:b/>
                <w:bCs/>
                <w:caps/>
                <w:color w:val="2E75B6"/>
                <w:sz w:val="14"/>
                <w:szCs w:val="14"/>
              </w:rPr>
              <w:t xml:space="preserve">Wortlaut (Auszug)</w:t>
            </w:r>
          </w:p>
          <w:p>
            <w:pPr>
              <w:spacing w:after="0" w:before="0"/>
              <w:jc w:val="both"/>
            </w:pPr>
            <w:r>
              <w:rPr>
                <w:rFonts w:ascii="Georgia" w:cs="Georgia" w:eastAsia="Georgia" w:hAnsi="Georgia"/>
                <w:i/>
                <w:iCs/>
                <w:color w:val="1A1A1A"/>
                <w:sz w:val="21"/>
                <w:szCs w:val="21"/>
              </w:rPr>
              <w:t xml:space="preserve">"Für Unternehmen, die mit Dienstleistungen von allgemeinem wirtschaftlichem Interesse betraut sind oder den Charakter eines Finanzmonopols haben, gelten die Vorschriften der Verträge, insbesondere die Wettbewerbsregeln, soweit die Anwendung dieser Vorschriften nicht die Erfüllung der ihnen übertragenen besonderen Aufgabe rechtlich oder tatsächlich verhindert."</w:t>
            </w:r>
          </w:p>
        </w:tc>
      </w:tr>
      <w:tr>
        <w:tc>
          <w:tcPr>
            <w:tcW w:type="dxa" w:w="9026"/>
            <w:tcBorders>
              <w:top w:val="none"/>
              <w:left w:val="none"/>
              <w:bottom w:val="none"/>
              <w:right w:val="none"/>
            </w:tcBorders>
            <w:shd w:fill="FFFFFF" w:val="clear"/>
            <w:tcMar>
              <w:top w:type="dxa" w:w="90"/>
              <w:left w:type="dxa" w:w="200"/>
              <w:bottom w:type="dxa" w:w="90"/>
              <w:right w:type="dxa" w:w="160"/>
            </w:tcMar>
          </w:tcPr>
          <w:p>
            <w:pPr>
              <w:spacing w:after="30" w:before="0"/>
            </w:pPr>
            <w:r>
              <w:rPr>
                <w:rFonts w:ascii="Arial" w:cs="Arial" w:eastAsia="Arial" w:hAnsi="Arial"/>
                <w:b/>
                <w:bCs/>
                <w:caps/>
                <w:color w:val="1A5C4A"/>
                <w:sz w:val="14"/>
                <w:szCs w:val="14"/>
              </w:rPr>
              <w:t xml:space="preserve">Bedeutung für die OUG</w:t>
            </w:r>
          </w:p>
          <w:p>
            <w:pPr>
              <w:spacing w:after="0" w:before="0"/>
              <w:jc w:val="both"/>
            </w:pPr>
            <w:r>
              <w:rPr>
                <w:rFonts w:ascii="Georgia" w:cs="Georgia" w:eastAsia="Georgia" w:hAnsi="Georgia"/>
                <w:color w:val="1A1A1A"/>
                <w:sz w:val="22"/>
                <w:szCs w:val="22"/>
              </w:rPr>
              <w:t xml:space="preserve">Selbst wenn die OUG als Unternehmen eingestuft würde, greift die DAWI-Ausnahme: Sie ist mit der Erbringung einer Dienstleistung von allgemeinem wirtschaftlichem Interesse betraut — der Hochschulbildung für Bevölkerungsgruppen, die der Markt nicht bedient. Die öffentliche Förderung ist dann zulässig, soweit sie zur Erfüllung dieser Aufgabe erforderlich ist und die Anforderungen des Altmark-Urteils und des DAWI-Beschlusses 2012 erfüllt sind.</w:t>
            </w:r>
          </w:p>
        </w:tc>
      </w:tr>
    </w:tbl>
    <w:p>
      <w:pPr>
        <w:spacing w:after="5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D1F3C" w:val="clear"/>
            <w:tcMar>
              <w:top w:type="dxa" w:w="80"/>
              <w:left w:type="dxa" w:w="200"/>
              <w:bottom w:type="dxa" w:w="80"/>
              <w:right w:type="dxa" w:w="160"/>
            </w:tcMar>
          </w:tcPr>
          <w:p>
            <w:r>
              <w:rPr>
                <w:rFonts w:ascii="Arial" w:cs="Arial" w:eastAsia="Arial" w:hAnsi="Arial"/>
                <w:color w:val="8899BB"/>
                <w:sz w:val="15"/>
                <w:szCs w:val="15"/>
              </w:rPr>
              <w:t xml:space="preserve">Rechtsnorm:  </w:t>
            </w:r>
            <w:r>
              <w:rPr>
                <w:rFonts w:ascii="Georgia" w:cs="Georgia" w:eastAsia="Georgia" w:hAnsi="Georgia"/>
                <w:b/>
                <w:bCs/>
                <w:color w:val="FFFFFF"/>
                <w:sz w:val="22"/>
                <w:szCs w:val="22"/>
              </w:rPr>
              <w:t xml:space="preserve">EuGH — Urteil Humbel (1988) / Wirth (1993) — Bildung als nicht-wirtschaftliche Tätigkeit</w:t>
            </w:r>
          </w:p>
        </w:tc>
      </w:tr>
      <w:tr>
        <w:tc>
          <w:tcPr>
            <w:tcW w:type="dxa" w:w="9026"/>
            <w:tcBorders>
              <w:top w:val="none"/>
              <w:left w:val="none"/>
              <w:bottom w:val="none"/>
              <w:right w:val="none"/>
            </w:tcBorders>
            <w:shd w:fill="EEF4FB" w:val="clear"/>
            <w:tcMar>
              <w:top w:type="dxa" w:w="90"/>
              <w:left w:type="dxa" w:w="200"/>
              <w:bottom w:type="dxa" w:w="90"/>
              <w:right w:type="dxa" w:w="160"/>
            </w:tcMar>
          </w:tcPr>
          <w:p>
            <w:pPr>
              <w:spacing w:after="30" w:before="0"/>
            </w:pPr>
            <w:r>
              <w:rPr>
                <w:rFonts w:ascii="Arial" w:cs="Arial" w:eastAsia="Arial" w:hAnsi="Arial"/>
                <w:b/>
                <w:bCs/>
                <w:caps/>
                <w:color w:val="2E75B6"/>
                <w:sz w:val="14"/>
                <w:szCs w:val="14"/>
              </w:rPr>
              <w:t xml:space="preserve">Wortlaut (Auszug)</w:t>
            </w:r>
          </w:p>
          <w:p>
            <w:pPr>
              <w:spacing w:after="0" w:before="0"/>
              <w:jc w:val="both"/>
            </w:pPr>
            <w:r>
              <w:rPr>
                <w:rFonts w:ascii="Georgia" w:cs="Georgia" w:eastAsia="Georgia" w:hAnsi="Georgia"/>
                <w:i/>
                <w:iCs/>
                <w:color w:val="1A1A1A"/>
                <w:sz w:val="21"/>
                <w:szCs w:val="21"/>
              </w:rPr>
              <w:t xml:space="preserve">Der EuGH hat in Humbel (Rs. 263/86) und Wirth (Rs. C-109/92) grundlegend entschieden: Ein nationales Bildungssystem, das der Staat einrichtet und finanziert und das nicht darauf ausgerichtet ist, eine Vergütung zu erzielen, ist keine wirtschaftliche Tätigkeit im Sinne des EU-Rechts.</w:t>
            </w:r>
          </w:p>
        </w:tc>
      </w:tr>
      <w:tr>
        <w:tc>
          <w:tcPr>
            <w:tcW w:type="dxa" w:w="9026"/>
            <w:tcBorders>
              <w:top w:val="none"/>
              <w:left w:val="none"/>
              <w:bottom w:val="none"/>
              <w:right w:val="none"/>
            </w:tcBorders>
            <w:shd w:fill="FFFFFF" w:val="clear"/>
            <w:tcMar>
              <w:top w:type="dxa" w:w="90"/>
              <w:left w:type="dxa" w:w="200"/>
              <w:bottom w:type="dxa" w:w="90"/>
              <w:right w:type="dxa" w:w="160"/>
            </w:tcMar>
          </w:tcPr>
          <w:p>
            <w:pPr>
              <w:spacing w:after="30" w:before="0"/>
            </w:pPr>
            <w:r>
              <w:rPr>
                <w:rFonts w:ascii="Arial" w:cs="Arial" w:eastAsia="Arial" w:hAnsi="Arial"/>
                <w:b/>
                <w:bCs/>
                <w:caps/>
                <w:color w:val="1A5C4A"/>
                <w:sz w:val="14"/>
                <w:szCs w:val="14"/>
              </w:rPr>
              <w:t xml:space="preserve">Bedeutung für die OUG</w:t>
            </w:r>
          </w:p>
          <w:p>
            <w:pPr>
              <w:spacing w:after="0" w:before="0"/>
              <w:jc w:val="both"/>
            </w:pPr>
            <w:r>
              <w:rPr>
                <w:rFonts w:ascii="Georgia" w:cs="Georgia" w:eastAsia="Georgia" w:hAnsi="Georgia"/>
                <w:color w:val="1A1A1A"/>
                <w:sz w:val="22"/>
                <w:szCs w:val="22"/>
              </w:rPr>
              <w:t xml:space="preserve">Diese Rechtsprechung ist für die OUG von zentraler Bedeutung. Solange die OUG: (1) überwiegend aus öffentlichen Mitteln finanziert wird; (2) keine Gewinnerzielungsabsicht verfolgt; und (3) eine Aufgabe erfüllt, die der Staat als gesellschaftlich notwendig definiert — ist sie keine wirtschaftliche Einrichtung im EU-rechtlichen Sinne. Die €25/ECTS sind dann keine 'Vergütung' im Rechtssinne, sondern ein Kostenbeitrag.</w:t>
            </w:r>
          </w:p>
        </w:tc>
      </w:tr>
    </w:tbl>
    <w:p>
      <w:pPr>
        <w:spacing w:after="5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D1F3C" w:val="clear"/>
            <w:tcMar>
              <w:top w:type="dxa" w:w="80"/>
              <w:left w:type="dxa" w:w="200"/>
              <w:bottom w:type="dxa" w:w="80"/>
              <w:right w:type="dxa" w:w="160"/>
            </w:tcMar>
          </w:tcPr>
          <w:p>
            <w:r>
              <w:rPr>
                <w:rFonts w:ascii="Arial" w:cs="Arial" w:eastAsia="Arial" w:hAnsi="Arial"/>
                <w:color w:val="8899BB"/>
                <w:sz w:val="15"/>
                <w:szCs w:val="15"/>
              </w:rPr>
              <w:t xml:space="preserve">Rechtsnorm:  </w:t>
            </w:r>
            <w:r>
              <w:rPr>
                <w:rFonts w:ascii="Georgia" w:cs="Georgia" w:eastAsia="Georgia" w:hAnsi="Georgia"/>
                <w:b/>
                <w:bCs/>
                <w:color w:val="FFFFFF"/>
                <w:sz w:val="22"/>
                <w:szCs w:val="22"/>
              </w:rPr>
              <w:t xml:space="preserve">EuGH — Urteil Altmark Trans (2003), Rs. C-280/00 — Vier Kriterien für beihilfefreie öffentliche Förderung</w:t>
            </w:r>
          </w:p>
        </w:tc>
      </w:tr>
      <w:tr>
        <w:tc>
          <w:tcPr>
            <w:tcW w:type="dxa" w:w="9026"/>
            <w:tcBorders>
              <w:top w:val="none"/>
              <w:left w:val="none"/>
              <w:bottom w:val="none"/>
              <w:right w:val="none"/>
            </w:tcBorders>
            <w:shd w:fill="EEF4FB" w:val="clear"/>
            <w:tcMar>
              <w:top w:type="dxa" w:w="90"/>
              <w:left w:type="dxa" w:w="200"/>
              <w:bottom w:type="dxa" w:w="90"/>
              <w:right w:type="dxa" w:w="160"/>
            </w:tcMar>
          </w:tcPr>
          <w:p>
            <w:pPr>
              <w:spacing w:after="30" w:before="0"/>
            </w:pPr>
            <w:r>
              <w:rPr>
                <w:rFonts w:ascii="Arial" w:cs="Arial" w:eastAsia="Arial" w:hAnsi="Arial"/>
                <w:b/>
                <w:bCs/>
                <w:caps/>
                <w:color w:val="2E75B6"/>
                <w:sz w:val="14"/>
                <w:szCs w:val="14"/>
              </w:rPr>
              <w:t xml:space="preserve">Wortlaut (Auszug)</w:t>
            </w:r>
          </w:p>
          <w:p>
            <w:pPr>
              <w:spacing w:after="0" w:before="0"/>
              <w:jc w:val="both"/>
            </w:pPr>
            <w:r>
              <w:rPr>
                <w:rFonts w:ascii="Georgia" w:cs="Georgia" w:eastAsia="Georgia" w:hAnsi="Georgia"/>
                <w:i/>
                <w:iCs/>
                <w:color w:val="1A1A1A"/>
                <w:sz w:val="21"/>
                <w:szCs w:val="21"/>
              </w:rPr>
              <w:t xml:space="preserve">Das Altmark-Urteil definiert vier Bedingungen, unter denen ein Ausgleich für gemeinwirtschaftliche Verpflichtungen keine staatliche Beihilfe darstellt: (1) Das Unternehmen ist tatsächlich mit gemeinwirtschaftlichen Verpflichtungen betraut; (2) die Berechnungsgrundlage für den Ausgleich ist zuvor objektiv und transparent festgestellt worden; (3) der Ausgleich übersteigt nicht die Kosten der Aufgabenerfüllung; (4) der Betrag wird auf Basis der Kosten eines effizienten Unternehmens bestimmt.</w:t>
            </w:r>
          </w:p>
        </w:tc>
      </w:tr>
      <w:tr>
        <w:tc>
          <w:tcPr>
            <w:tcW w:type="dxa" w:w="9026"/>
            <w:tcBorders>
              <w:top w:val="none"/>
              <w:left w:val="none"/>
              <w:bottom w:val="none"/>
              <w:right w:val="none"/>
            </w:tcBorders>
            <w:shd w:fill="FFFFFF" w:val="clear"/>
            <w:tcMar>
              <w:top w:type="dxa" w:w="90"/>
              <w:left w:type="dxa" w:w="200"/>
              <w:bottom w:type="dxa" w:w="90"/>
              <w:right w:type="dxa" w:w="160"/>
            </w:tcMar>
          </w:tcPr>
          <w:p>
            <w:pPr>
              <w:spacing w:after="30" w:before="0"/>
            </w:pPr>
            <w:r>
              <w:rPr>
                <w:rFonts w:ascii="Arial" w:cs="Arial" w:eastAsia="Arial" w:hAnsi="Arial"/>
                <w:b/>
                <w:bCs/>
                <w:caps/>
                <w:color w:val="1A5C4A"/>
                <w:sz w:val="14"/>
                <w:szCs w:val="14"/>
              </w:rPr>
              <w:t xml:space="preserve">Bedeutung für die OUG</w:t>
            </w:r>
          </w:p>
          <w:p>
            <w:pPr>
              <w:spacing w:after="0" w:before="0"/>
              <w:jc w:val="both"/>
            </w:pPr>
            <w:r>
              <w:rPr>
                <w:rFonts w:ascii="Georgia" w:cs="Georgia" w:eastAsia="Georgia" w:hAnsi="Georgia"/>
                <w:color w:val="1A1A1A"/>
                <w:sz w:val="22"/>
                <w:szCs w:val="22"/>
              </w:rPr>
              <w:t xml:space="preserve">Die OUG kann alle vier Altmark-Kriterien erfüllen: (1) Betrauungsakt durch das Landesministerium; (2) transparente Kostenrechnung mit dokumentierter Berechnungsmethodik; (3) €25/ECTS deckt die tatsächlichen Kosten des OUG-Modells — kein Verlustausgleich; (4) das OUG-Modell ist nachweislich effizienter als traditionelle Hochschulen (kein Campus, zentralisiertes Curriculum). Der Nachweis dieser Effizienz ist in der Kostenstrukturanalyse (Finanzmodell v3) dokumentiert.</w:t>
            </w:r>
          </w:p>
        </w:tc>
      </w:tr>
    </w:tbl>
    <w:p>
      <w:pPr>
        <w:spacing w:after="5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D1F3C" w:val="clear"/>
            <w:tcMar>
              <w:top w:type="dxa" w:w="80"/>
              <w:left w:type="dxa" w:w="200"/>
              <w:bottom w:type="dxa" w:w="80"/>
              <w:right w:type="dxa" w:w="160"/>
            </w:tcMar>
          </w:tcPr>
          <w:p>
            <w:r>
              <w:rPr>
                <w:rFonts w:ascii="Arial" w:cs="Arial" w:eastAsia="Arial" w:hAnsi="Arial"/>
                <w:color w:val="8899BB"/>
                <w:sz w:val="15"/>
                <w:szCs w:val="15"/>
              </w:rPr>
              <w:t xml:space="preserve">Rechtsnorm:  </w:t>
            </w:r>
            <w:r>
              <w:rPr>
                <w:rFonts w:ascii="Georgia" w:cs="Georgia" w:eastAsia="Georgia" w:hAnsi="Georgia"/>
                <w:b/>
                <w:bCs/>
                <w:color w:val="FFFFFF"/>
                <w:sz w:val="22"/>
                <w:szCs w:val="22"/>
              </w:rPr>
              <w:t xml:space="preserve">Beschluss 2012/21/EU — DAWI-Beschluss der Kommission</w:t>
            </w:r>
          </w:p>
        </w:tc>
      </w:tr>
      <w:tr>
        <w:tc>
          <w:tcPr>
            <w:tcW w:type="dxa" w:w="9026"/>
            <w:tcBorders>
              <w:top w:val="none"/>
              <w:left w:val="none"/>
              <w:bottom w:val="none"/>
              <w:right w:val="none"/>
            </w:tcBorders>
            <w:shd w:fill="EEF4FB" w:val="clear"/>
            <w:tcMar>
              <w:top w:type="dxa" w:w="90"/>
              <w:left w:type="dxa" w:w="200"/>
              <w:bottom w:type="dxa" w:w="90"/>
              <w:right w:type="dxa" w:w="160"/>
            </w:tcMar>
          </w:tcPr>
          <w:p>
            <w:pPr>
              <w:spacing w:after="30" w:before="0"/>
            </w:pPr>
            <w:r>
              <w:rPr>
                <w:rFonts w:ascii="Arial" w:cs="Arial" w:eastAsia="Arial" w:hAnsi="Arial"/>
                <w:b/>
                <w:bCs/>
                <w:caps/>
                <w:color w:val="2E75B6"/>
                <w:sz w:val="14"/>
                <w:szCs w:val="14"/>
              </w:rPr>
              <w:t xml:space="preserve">Wortlaut (Auszug)</w:t>
            </w:r>
          </w:p>
          <w:p>
            <w:pPr>
              <w:spacing w:after="0" w:before="0"/>
              <w:jc w:val="both"/>
            </w:pPr>
            <w:r>
              <w:rPr>
                <w:rFonts w:ascii="Georgia" w:cs="Georgia" w:eastAsia="Georgia" w:hAnsi="Georgia"/>
                <w:i/>
                <w:iCs/>
                <w:color w:val="1A1A1A"/>
                <w:sz w:val="21"/>
                <w:szCs w:val="21"/>
              </w:rPr>
              <w:t xml:space="preserve">Der DAWI-Beschluss der Europäischen Kommission vom 20. Dezember 2011 erklärt bestimmte Kategorien von Ausgleichsleistungen für gemeinwirtschaftliche Verpflichtungen für mit dem Binnenmarkt vereinbar, ohne dass eine vorherige Anmeldung bei der Kommission erforderlich ist. Soziale Dienstleistungen — einschließlich Bildung — fallen unter den vereinfachten Rahmen.</w:t>
            </w:r>
          </w:p>
        </w:tc>
      </w:tr>
      <w:tr>
        <w:tc>
          <w:tcPr>
            <w:tcW w:type="dxa" w:w="9026"/>
            <w:tcBorders>
              <w:top w:val="none"/>
              <w:left w:val="none"/>
              <w:bottom w:val="none"/>
              <w:right w:val="none"/>
            </w:tcBorders>
            <w:shd w:fill="FFFFFF" w:val="clear"/>
            <w:tcMar>
              <w:top w:type="dxa" w:w="90"/>
              <w:left w:type="dxa" w:w="200"/>
              <w:bottom w:type="dxa" w:w="90"/>
              <w:right w:type="dxa" w:w="160"/>
            </w:tcMar>
          </w:tcPr>
          <w:p>
            <w:pPr>
              <w:spacing w:after="30" w:before="0"/>
            </w:pPr>
            <w:r>
              <w:rPr>
                <w:rFonts w:ascii="Arial" w:cs="Arial" w:eastAsia="Arial" w:hAnsi="Arial"/>
                <w:b/>
                <w:bCs/>
                <w:caps/>
                <w:color w:val="1A5C4A"/>
                <w:sz w:val="14"/>
                <w:szCs w:val="14"/>
              </w:rPr>
              <w:t xml:space="preserve">Bedeutung für die OUG</w:t>
            </w:r>
          </w:p>
          <w:p>
            <w:pPr>
              <w:spacing w:after="0" w:before="0"/>
              <w:jc w:val="both"/>
            </w:pPr>
            <w:r>
              <w:rPr>
                <w:rFonts w:ascii="Georgia" w:cs="Georgia" w:eastAsia="Georgia" w:hAnsi="Georgia"/>
                <w:color w:val="1A1A1A"/>
                <w:sz w:val="22"/>
                <w:szCs w:val="22"/>
              </w:rPr>
              <w:t xml:space="preserve">Wenn die OUG als Einrichtung eingestuft wird, die soziale Dienstleistungen im Sinne des DAWI-Beschlusses erbringt, entfällt die Notwendigkeit einer individuellen Beihilfegenehmigung. Der Beschluss setzt voraus: klaren Betrauungsakt, transparente Buchführung, kein Überausgleich. Alle drei Voraussetzungen sind in der OUG-Governance-Architektur strukturell verankert.</w:t>
            </w:r>
          </w:p>
        </w:tc>
      </w:tr>
    </w:tbl>
    <w:p>
      <w:pPr>
        <w:spacing w:after="5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D1F3C" w:val="clear"/>
            <w:tcMar>
              <w:top w:type="dxa" w:w="80"/>
              <w:left w:type="dxa" w:w="200"/>
              <w:bottom w:type="dxa" w:w="80"/>
              <w:right w:type="dxa" w:w="160"/>
            </w:tcMar>
          </w:tcPr>
          <w:p>
            <w:r>
              <w:rPr>
                <w:rFonts w:ascii="Arial" w:cs="Arial" w:eastAsia="Arial" w:hAnsi="Arial"/>
                <w:color w:val="8899BB"/>
                <w:sz w:val="15"/>
                <w:szCs w:val="15"/>
              </w:rPr>
              <w:t xml:space="preserve">Rechtsnorm:  </w:t>
            </w:r>
            <w:r>
              <w:rPr>
                <w:rFonts w:ascii="Georgia" w:cs="Georgia" w:eastAsia="Georgia" w:hAnsi="Georgia"/>
                <w:b/>
                <w:bCs/>
                <w:color w:val="FFFFFF"/>
                <w:sz w:val="22"/>
                <w:szCs w:val="22"/>
              </w:rPr>
              <w:t xml:space="preserve">§ 52 AO — Gemeinnützigkeit im deutschen Steuerrecht</w:t>
            </w:r>
          </w:p>
        </w:tc>
      </w:tr>
      <w:tr>
        <w:tc>
          <w:tcPr>
            <w:tcW w:type="dxa" w:w="9026"/>
            <w:tcBorders>
              <w:top w:val="none"/>
              <w:left w:val="none"/>
              <w:bottom w:val="none"/>
              <w:right w:val="none"/>
            </w:tcBorders>
            <w:shd w:fill="EEF4FB" w:val="clear"/>
            <w:tcMar>
              <w:top w:type="dxa" w:w="90"/>
              <w:left w:type="dxa" w:w="200"/>
              <w:bottom w:type="dxa" w:w="90"/>
              <w:right w:type="dxa" w:w="160"/>
            </w:tcMar>
          </w:tcPr>
          <w:p>
            <w:pPr>
              <w:spacing w:after="30" w:before="0"/>
            </w:pPr>
            <w:r>
              <w:rPr>
                <w:rFonts w:ascii="Arial" w:cs="Arial" w:eastAsia="Arial" w:hAnsi="Arial"/>
                <w:b/>
                <w:bCs/>
                <w:caps/>
                <w:color w:val="2E75B6"/>
                <w:sz w:val="14"/>
                <w:szCs w:val="14"/>
              </w:rPr>
              <w:t xml:space="preserve">Wortlaut (Auszug)</w:t>
            </w:r>
          </w:p>
          <w:p>
            <w:pPr>
              <w:spacing w:after="0" w:before="0"/>
              <w:jc w:val="both"/>
            </w:pPr>
            <w:r>
              <w:rPr>
                <w:rFonts w:ascii="Georgia" w:cs="Georgia" w:eastAsia="Georgia" w:hAnsi="Georgia"/>
                <w:i/>
                <w:iCs/>
                <w:color w:val="1A1A1A"/>
                <w:sz w:val="21"/>
                <w:szCs w:val="21"/>
              </w:rPr>
              <w:t xml:space="preserve">"Eine Körperschaft verfolgt gemeinnützige Zwecke, wenn ihre Tätigkeit darauf gerichtet ist, die Allgemeinheit auf materiellem, geistigem oder sittlichem Gebiet selbstlos zu fördern. [...] Als Förderung der Allgemeinheit ist [...] anzusehen: [...] die Förderung von Wissenschaft und Forschung [...] und die Förderung der Bildung."</w:t>
            </w:r>
          </w:p>
        </w:tc>
      </w:tr>
      <w:tr>
        <w:tc>
          <w:tcPr>
            <w:tcW w:type="dxa" w:w="9026"/>
            <w:tcBorders>
              <w:top w:val="none"/>
              <w:left w:val="none"/>
              <w:bottom w:val="none"/>
              <w:right w:val="none"/>
            </w:tcBorders>
            <w:shd w:fill="FFFFFF" w:val="clear"/>
            <w:tcMar>
              <w:top w:type="dxa" w:w="90"/>
              <w:left w:type="dxa" w:w="200"/>
              <w:bottom w:type="dxa" w:w="90"/>
              <w:right w:type="dxa" w:w="160"/>
            </w:tcMar>
          </w:tcPr>
          <w:p>
            <w:pPr>
              <w:spacing w:after="30" w:before="0"/>
            </w:pPr>
            <w:r>
              <w:rPr>
                <w:rFonts w:ascii="Arial" w:cs="Arial" w:eastAsia="Arial" w:hAnsi="Arial"/>
                <w:b/>
                <w:bCs/>
                <w:caps/>
                <w:color w:val="1A5C4A"/>
                <w:sz w:val="14"/>
                <w:szCs w:val="14"/>
              </w:rPr>
              <w:t xml:space="preserve">Bedeutung für die OUG</w:t>
            </w:r>
          </w:p>
          <w:p>
            <w:pPr>
              <w:spacing w:after="0" w:before="0"/>
              <w:jc w:val="both"/>
            </w:pPr>
            <w:r>
              <w:rPr>
                <w:rFonts w:ascii="Georgia" w:cs="Georgia" w:eastAsia="Georgia" w:hAnsi="Georgia"/>
                <w:color w:val="1A1A1A"/>
                <w:sz w:val="22"/>
                <w:szCs w:val="22"/>
              </w:rPr>
              <w:t xml:space="preserve">Die OUG erfüllt die Voraussetzungen des § 52 AO: Sie fördert Bildung und Wissenschaft; sie handelt selbstlos (keine Gewinnausschüttung); sie fördert die Allgemeinheit (nicht nur einen geschlossenen Kreis). Die Anerkennung als gemeinnützige Körperschaft durch das Finanzamt ist der erste formelle Schritt der Allgemeinwohlkonstituierung und Voraussetzung für alle weiteren rechtlichen Privilegierungen.</w:t>
            </w:r>
          </w:p>
        </w:tc>
      </w:tr>
    </w:tbl>
    <w:p>
      <w:pPr>
        <w:spacing w:after="5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D1F3C" w:val="clear"/>
            <w:tcMar>
              <w:top w:type="dxa" w:w="80"/>
              <w:left w:type="dxa" w:w="200"/>
              <w:bottom w:type="dxa" w:w="80"/>
              <w:right w:type="dxa" w:w="160"/>
            </w:tcMar>
          </w:tcPr>
          <w:p>
            <w:r>
              <w:rPr>
                <w:rFonts w:ascii="Arial" w:cs="Arial" w:eastAsia="Arial" w:hAnsi="Arial"/>
                <w:color w:val="8899BB"/>
                <w:sz w:val="15"/>
                <w:szCs w:val="15"/>
              </w:rPr>
              <w:t xml:space="preserve">Rechtsnorm:  </w:t>
            </w:r>
            <w:r>
              <w:rPr>
                <w:rFonts w:ascii="Georgia" w:cs="Georgia" w:eastAsia="Georgia" w:hAnsi="Georgia"/>
                <w:b/>
                <w:bCs/>
                <w:color w:val="FFFFFF"/>
                <w:sz w:val="22"/>
                <w:szCs w:val="22"/>
              </w:rPr>
              <w:t xml:space="preserve">§ 1 LHG BW — Aufgaben der Hochschulen</w:t>
            </w:r>
          </w:p>
        </w:tc>
      </w:tr>
      <w:tr>
        <w:tc>
          <w:tcPr>
            <w:tcW w:type="dxa" w:w="9026"/>
            <w:tcBorders>
              <w:top w:val="none"/>
              <w:left w:val="none"/>
              <w:bottom w:val="none"/>
              <w:right w:val="none"/>
            </w:tcBorders>
            <w:shd w:fill="EEF4FB" w:val="clear"/>
            <w:tcMar>
              <w:top w:type="dxa" w:w="90"/>
              <w:left w:type="dxa" w:w="200"/>
              <w:bottom w:type="dxa" w:w="90"/>
              <w:right w:type="dxa" w:w="160"/>
            </w:tcMar>
          </w:tcPr>
          <w:p>
            <w:pPr>
              <w:spacing w:after="30" w:before="0"/>
            </w:pPr>
            <w:r>
              <w:rPr>
                <w:rFonts w:ascii="Arial" w:cs="Arial" w:eastAsia="Arial" w:hAnsi="Arial"/>
                <w:b/>
                <w:bCs/>
                <w:caps/>
                <w:color w:val="2E75B6"/>
                <w:sz w:val="14"/>
                <w:szCs w:val="14"/>
              </w:rPr>
              <w:t xml:space="preserve">Wortlaut (Auszug)</w:t>
            </w:r>
          </w:p>
          <w:p>
            <w:pPr>
              <w:spacing w:after="0" w:before="0"/>
              <w:jc w:val="both"/>
            </w:pPr>
            <w:r>
              <w:rPr>
                <w:rFonts w:ascii="Georgia" w:cs="Georgia" w:eastAsia="Georgia" w:hAnsi="Georgia"/>
                <w:i/>
                <w:iCs/>
                <w:color w:val="1A1A1A"/>
                <w:sz w:val="21"/>
                <w:szCs w:val="21"/>
              </w:rPr>
              <w:t xml:space="preserve">"Die Hochschulen dienen der Pflege und der Entwicklung der Wissenschaften und der Künste durch Forschung, Lehre und Studium. Sie bereiten auf berufliche Tätigkeiten vor, die die Anwendung wissenschaftlicher Erkenntnisse und wissenschaftlicher Methoden oder die Fähigkeit zu künstlerischer Gestaltung erfordern. [...] Die Hochschulen fördern entsprechend ihrer Aufgabenstellung den wissenschaftlichen und künstlerischen Nachwuchs."</w:t>
            </w:r>
          </w:p>
        </w:tc>
      </w:tr>
      <w:tr>
        <w:tc>
          <w:tcPr>
            <w:tcW w:type="dxa" w:w="9026"/>
            <w:tcBorders>
              <w:top w:val="none"/>
              <w:left w:val="none"/>
              <w:bottom w:val="none"/>
              <w:right w:val="none"/>
            </w:tcBorders>
            <w:shd w:fill="FFFFFF" w:val="clear"/>
            <w:tcMar>
              <w:top w:type="dxa" w:w="90"/>
              <w:left w:type="dxa" w:w="200"/>
              <w:bottom w:type="dxa" w:w="90"/>
              <w:right w:type="dxa" w:w="160"/>
            </w:tcMar>
          </w:tcPr>
          <w:p>
            <w:pPr>
              <w:spacing w:after="30" w:before="0"/>
            </w:pPr>
            <w:r>
              <w:rPr>
                <w:rFonts w:ascii="Arial" w:cs="Arial" w:eastAsia="Arial" w:hAnsi="Arial"/>
                <w:b/>
                <w:bCs/>
                <w:caps/>
                <w:color w:val="1A5C4A"/>
                <w:sz w:val="14"/>
                <w:szCs w:val="14"/>
              </w:rPr>
              <w:t xml:space="preserve">Bedeutung für die OUG</w:t>
            </w:r>
          </w:p>
          <w:p>
            <w:pPr>
              <w:spacing w:after="0" w:before="0"/>
              <w:jc w:val="both"/>
            </w:pPr>
            <w:r>
              <w:rPr>
                <w:rFonts w:ascii="Georgia" w:cs="Georgia" w:eastAsia="Georgia" w:hAnsi="Georgia"/>
                <w:color w:val="1A1A1A"/>
                <w:sz w:val="22"/>
                <w:szCs w:val="22"/>
              </w:rPr>
              <w:t xml:space="preserve">Das LHG definiert Hochschulen als Einrichtungen mit einem gesetzlichen Bildungsauftrag — nicht als wirtschaftliche Unternehmen. Die OUG nimmt diesen Auftrag wahr und ist damit in die gesetzliche Aufgabendefinition eingebettet, die ihre Tätigkeit als nicht-wirtschaftlich qualifiziert. Die Föderationsmitglieder — öffentliche Hochschulen — handeln im Rahmen ihres gesetzlichen Auftrags, wenn sie Module und Ressourcen in die OUG einbringen.</w:t>
            </w:r>
          </w:p>
        </w:tc>
      </w:tr>
    </w:tbl>
    <w:p>
      <w:pPr>
        <w:spacing w:after="200" w:before="0"/>
      </w:pPr>
    </w:p>
    <w:p>
      <w:pPr>
        <w:pBdr>
          <w:bottom w:val="single" w:color="CCCCCC" w:sz="2" w:space="1"/>
        </w:pBdr>
        <w:spacing w:after="200" w:before="200"/>
      </w:pPr>
    </w:p>
    <w:p>
      <w:pPr>
        <w:pStyle w:val="Heading1"/>
        <w:spacing w:after="140" w:before="480"/>
      </w:pPr>
      <w:r>
        <w:rPr>
          <w:rFonts w:ascii="Georgia" w:cs="Georgia" w:eastAsia="Georgia" w:hAnsi="Georgia"/>
          <w:b/>
          <w:bCs/>
          <w:color w:val="1F3864"/>
          <w:sz w:val="30"/>
          <w:szCs w:val="30"/>
        </w:rPr>
        <w:t xml:space="preserve">IV.  Konkrete Umsetzung — Die sieben Schritte der Allgemeinwohlkonstituierung</w:t>
      </w:r>
    </w:p>
    <w:p>
      <w:pPr>
        <w:spacing w:after="185" w:before="0"/>
        <w:jc w:val="both"/>
      </w:pPr>
      <w:r>
        <w:rPr>
          <w:rFonts w:ascii="Georgia" w:cs="Georgia" w:eastAsia="Georgia" w:hAnsi="Georgia"/>
          <w:b w:val="false"/>
          <w:bCs w:val="false"/>
          <w:i w:val="false"/>
          <w:iCs w:val="false"/>
          <w:color w:val="1A1A1A"/>
          <w:sz w:val="23"/>
          <w:szCs w:val="23"/>
        </w:rPr>
        <w:t xml:space="preserve">Die Allgemeinwohlverfassung der OUG ist kein einmaliger Rechtsakt, sondern ein strukturierter Prozess der in sieben Schritten vollzogen wird. Jeder Schritt ist gleichzeitig eine rechtliche Absicherung und ein institutionelles Bekenntnis.</w:t>
      </w:r>
    </w:p>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3000"/>
        <w:gridCol w:w="3126"/>
      </w:tblGrid>
      <w:tr>
        <w:tc>
          <w:tcPr>
            <w:tcW w:type="dxa" w:w="400"/>
            <w:tcBorders>
              <w:top w:val="none"/>
              <w:left w:val="none"/>
              <w:bottom w:val="none"/>
              <w:right w:val="none"/>
            </w:tcBorders>
            <w:shd w:fill="0D1F3C" w:val="clear"/>
            <w:tcMar>
              <w:top w:type="dxa" w:w="70"/>
              <w:left w:type="dxa" w:w="100"/>
              <w:bottom w:type="dxa" w:w="70"/>
              <w:right w:type="dxa" w:w="80"/>
            </w:tcMar>
          </w:tcPr>
          <w:p>
            <w:r>
              <w:rPr>
                <w:rFonts w:ascii="Arial" w:cs="Arial" w:eastAsia="Arial" w:hAnsi="Arial"/>
                <w:b/>
                <w:bCs/>
                <w:color w:val="FFFFFF"/>
                <w:sz w:val="16"/>
                <w:szCs w:val="16"/>
              </w:rPr>
              <w:t xml:space="preserve">Nr.</w:t>
            </w:r>
          </w:p>
        </w:tc>
        <w:tc>
          <w:tcPr>
            <w:tcW w:type="dxa" w:w="2500"/>
            <w:tcBorders>
              <w:top w:val="none"/>
              <w:left w:val="none"/>
              <w:bottom w:val="none"/>
              <w:right w:val="none"/>
            </w:tcBorders>
            <w:shd w:fill="0D1F3C" w:val="clear"/>
            <w:tcMar>
              <w:top w:type="dxa" w:w="70"/>
              <w:left w:type="dxa" w:w="100"/>
              <w:bottom w:type="dxa" w:w="70"/>
              <w:right w:type="dxa" w:w="80"/>
            </w:tcMar>
          </w:tcPr>
          <w:p>
            <w:r>
              <w:rPr>
                <w:rFonts w:ascii="Arial" w:cs="Arial" w:eastAsia="Arial" w:hAnsi="Arial"/>
                <w:b/>
                <w:bCs/>
                <w:color w:val="FFFFFF"/>
                <w:sz w:val="16"/>
                <w:szCs w:val="16"/>
              </w:rPr>
              <w:t xml:space="preserve">Schritt</w:t>
            </w:r>
          </w:p>
        </w:tc>
        <w:tc>
          <w:tcPr>
            <w:tcW w:type="dxa" w:w="3000"/>
            <w:tcBorders>
              <w:top w:val="none"/>
              <w:left w:val="none"/>
              <w:bottom w:val="none"/>
              <w:right w:val="none"/>
            </w:tcBorders>
            <w:shd w:fill="0D1F3C" w:val="clear"/>
            <w:tcMar>
              <w:top w:type="dxa" w:w="70"/>
              <w:left w:type="dxa" w:w="100"/>
              <w:bottom w:type="dxa" w:w="70"/>
              <w:right w:type="dxa" w:w="80"/>
            </w:tcMar>
          </w:tcPr>
          <w:p>
            <w:r>
              <w:rPr>
                <w:rFonts w:ascii="Arial" w:cs="Arial" w:eastAsia="Arial" w:hAnsi="Arial"/>
                <w:b/>
                <w:bCs/>
                <w:color w:val="FFFFFF"/>
                <w:sz w:val="16"/>
                <w:szCs w:val="16"/>
              </w:rPr>
              <w:t xml:space="preserve">Rechtsgrundlage</w:t>
            </w:r>
          </w:p>
        </w:tc>
        <w:tc>
          <w:tcPr>
            <w:tcW w:type="dxa" w:w="3126"/>
            <w:tcBorders>
              <w:top w:val="none"/>
              <w:left w:val="none"/>
              <w:bottom w:val="none"/>
              <w:right w:val="none"/>
            </w:tcBorders>
            <w:shd w:fill="0D1F3C" w:val="clear"/>
            <w:tcMar>
              <w:top w:type="dxa" w:w="70"/>
              <w:left w:type="dxa" w:w="100"/>
              <w:bottom w:type="dxa" w:w="70"/>
              <w:right w:type="dxa" w:w="80"/>
            </w:tcMar>
          </w:tcPr>
          <w:p>
            <w:r>
              <w:rPr>
                <w:rFonts w:ascii="Arial" w:cs="Arial" w:eastAsia="Arial" w:hAnsi="Arial"/>
                <w:b/>
                <w:bCs/>
                <w:color w:val="FFFFFF"/>
                <w:sz w:val="16"/>
                <w:szCs w:val="16"/>
              </w:rPr>
              <w:t xml:space="preserve">Verantwortung und Nachweis</w:t>
            </w:r>
          </w:p>
        </w:tc>
      </w:tr>
      <w:tr>
        <w:tc>
          <w:tcPr>
            <w:tcW w:type="dxa" w:w="400"/>
            <w:tcBorders>
              <w:top w:val="none"/>
              <w:left w:val="none"/>
              <w:bottom w:val="none"/>
              <w:right w:val="none"/>
            </w:tcBorders>
            <w:shd w:fill="0D1F3C" w:val="clear"/>
            <w:tcMar>
              <w:top w:type="dxa" w:w="70"/>
              <w:left w:type="dxa" w:w="100"/>
              <w:bottom w:type="dxa" w:w="70"/>
              <w:right w:type="dxa" w:w="80"/>
            </w:tcMar>
          </w:tcPr>
          <w:p>
            <w:pPr>
              <w:jc w:val="center"/>
            </w:pPr>
            <w:r>
              <w:rPr>
                <w:rFonts w:ascii="Georgia" w:cs="Georgia" w:eastAsia="Georgia" w:hAnsi="Georgia"/>
                <w:b/>
                <w:bCs/>
                <w:color w:val="FFFFFF"/>
                <w:sz w:val="22"/>
                <w:szCs w:val="22"/>
              </w:rPr>
              <w:t xml:space="preserve">1</w:t>
            </w:r>
          </w:p>
        </w:tc>
        <w:tc>
          <w:tcPr>
            <w:tcW w:type="dxa" w:w="2500"/>
            <w:tcBorders>
              <w:top w:val="none"/>
              <w:left w:val="none"/>
              <w:bottom w:val="none"/>
              <w:right w:val="none"/>
            </w:tcBorders>
            <w:shd w:fill="FFFFFF" w:val="clear"/>
            <w:tcMar>
              <w:top w:type="dxa" w:w="70"/>
              <w:left w:type="dxa" w:w="120"/>
              <w:bottom w:type="dxa" w:w="70"/>
              <w:right w:type="dxa" w:w="80"/>
            </w:tcMar>
          </w:tcPr>
          <w:p>
            <w:r>
              <w:rPr>
                <w:rFonts w:ascii="Georgia" w:cs="Georgia" w:eastAsia="Georgia" w:hAnsi="Georgia"/>
                <w:b/>
                <w:bCs/>
                <w:color w:val="1F3864"/>
                <w:sz w:val="20"/>
                <w:szCs w:val="20"/>
              </w:rPr>
              <w:t xml:space="preserve">Anerkennung als gemeinnützige Körperschaft</w:t>
            </w:r>
          </w:p>
        </w:tc>
        <w:tc>
          <w:tcPr>
            <w:tcW w:type="dxa" w:w="3000"/>
            <w:tcBorders>
              <w:top w:val="none"/>
              <w:left w:val="none"/>
              <w:bottom w:val="none"/>
              <w:right w:val="none"/>
            </w:tcBorders>
            <w:shd w:fill="FFFFFF" w:val="clear"/>
            <w:tcMar>
              <w:top w:type="dxa" w:w="70"/>
              <w:left w:type="dxa" w:w="120"/>
              <w:bottom w:type="dxa" w:w="70"/>
              <w:right w:type="dxa" w:w="80"/>
            </w:tcMar>
          </w:tcPr>
          <w:p>
            <w:pPr>
              <w:jc w:val="both"/>
            </w:pPr>
            <w:r>
              <w:rPr>
                <w:rFonts w:ascii="Georgia" w:cs="Georgia" w:eastAsia="Georgia" w:hAnsi="Georgia"/>
                <w:i/>
                <w:iCs/>
                <w:color w:val="4A5568"/>
                <w:sz w:val="19"/>
                <w:szCs w:val="19"/>
              </w:rPr>
              <w:t xml:space="preserve">§ 52 AO; Satzung der OUG</w:t>
            </w:r>
          </w:p>
        </w:tc>
        <w:tc>
          <w:tcPr>
            <w:tcW w:type="dxa" w:w="3126"/>
            <w:tcBorders>
              <w:top w:val="none"/>
              <w:left w:val="none"/>
              <w:bottom w:val="none"/>
              <w:right w:val="none"/>
            </w:tcBorders>
            <w:shd w:fill="FFFFFF" w:val="clear"/>
            <w:tcMar>
              <w:top w:type="dxa" w:w="70"/>
              <w:left w:type="dxa" w:w="120"/>
              <w:bottom w:type="dxa" w:w="70"/>
              <w:right w:type="dxa" w:w="80"/>
            </w:tcMar>
          </w:tcPr>
          <w:p>
            <w:pPr>
              <w:jc w:val="both"/>
            </w:pPr>
            <w:r>
              <w:rPr>
                <w:rFonts w:ascii="Georgia" w:cs="Georgia" w:eastAsia="Georgia" w:hAnsi="Georgia"/>
                <w:color w:val="1A1A1A"/>
                <w:sz w:val="19"/>
                <w:szCs w:val="19"/>
              </w:rPr>
              <w:t xml:space="preserve">Finanzamt; Satzung enthält expliziten Allgemeinwohlzweck, Selbstlosigkeitsgebot und Vermögensbindungsklausel. Freistellungsbescheid als Nachweis.</w:t>
            </w:r>
          </w:p>
        </w:tc>
      </w:tr>
      <w:tr>
        <w:tc>
          <w:tcPr>
            <w:tcW w:type="dxa" w:w="400"/>
            <w:tcBorders>
              <w:top w:val="none"/>
              <w:left w:val="none"/>
              <w:bottom w:val="none"/>
              <w:right w:val="none"/>
            </w:tcBorders>
            <w:shd w:fill="0D1F3C" w:val="clear"/>
            <w:tcMar>
              <w:top w:type="dxa" w:w="70"/>
              <w:left w:type="dxa" w:w="100"/>
              <w:bottom w:type="dxa" w:w="70"/>
              <w:right w:type="dxa" w:w="80"/>
            </w:tcMar>
          </w:tcPr>
          <w:p>
            <w:pPr>
              <w:jc w:val="center"/>
            </w:pPr>
            <w:r>
              <w:rPr>
                <w:rFonts w:ascii="Georgia" w:cs="Georgia" w:eastAsia="Georgia" w:hAnsi="Georgia"/>
                <w:b/>
                <w:bCs/>
                <w:color w:val="FFFFFF"/>
                <w:sz w:val="22"/>
                <w:szCs w:val="22"/>
              </w:rPr>
              <w:t xml:space="preserve">2</w:t>
            </w:r>
          </w:p>
        </w:tc>
        <w:tc>
          <w:tcPr>
            <w:tcW w:type="dxa" w:w="2500"/>
            <w:tcBorders>
              <w:top w:val="none"/>
              <w:left w:val="none"/>
              <w:bottom w:val="none"/>
              <w:right w:val="none"/>
            </w:tcBorders>
            <w:shd w:fill="F4F7FA" w:val="clear"/>
            <w:tcMar>
              <w:top w:type="dxa" w:w="70"/>
              <w:left w:type="dxa" w:w="120"/>
              <w:bottom w:type="dxa" w:w="70"/>
              <w:right w:type="dxa" w:w="80"/>
            </w:tcMar>
          </w:tcPr>
          <w:p>
            <w:r>
              <w:rPr>
                <w:rFonts w:ascii="Georgia" w:cs="Georgia" w:eastAsia="Georgia" w:hAnsi="Georgia"/>
                <w:b/>
                <w:bCs/>
                <w:color w:val="1F3864"/>
                <w:sz w:val="20"/>
                <w:szCs w:val="20"/>
              </w:rPr>
              <w:t xml:space="preserve">Formeller Betrauungsakt durch das Landesministerium</w:t>
            </w:r>
          </w:p>
        </w:tc>
        <w:tc>
          <w:tcPr>
            <w:tcW w:type="dxa" w:w="3000"/>
            <w:tcBorders>
              <w:top w:val="none"/>
              <w:left w:val="none"/>
              <w:bottom w:val="none"/>
              <w:right w:val="none"/>
            </w:tcBorders>
            <w:shd w:fill="F4F7FA" w:val="clear"/>
            <w:tcMar>
              <w:top w:type="dxa" w:w="70"/>
              <w:left w:type="dxa" w:w="120"/>
              <w:bottom w:type="dxa" w:w="70"/>
              <w:right w:type="dxa" w:w="80"/>
            </w:tcMar>
          </w:tcPr>
          <w:p>
            <w:pPr>
              <w:jc w:val="both"/>
            </w:pPr>
            <w:r>
              <w:rPr>
                <w:rFonts w:ascii="Georgia" w:cs="Georgia" w:eastAsia="Georgia" w:hAnsi="Georgia"/>
                <w:i/>
                <w:iCs/>
                <w:color w:val="4A5568"/>
                <w:sz w:val="19"/>
                <w:szCs w:val="19"/>
              </w:rPr>
              <w:t xml:space="preserve">Art. 106 Abs. 2 AEUV; DAWI-Beschluss 2012/21/EU</w:t>
            </w:r>
          </w:p>
        </w:tc>
        <w:tc>
          <w:tcPr>
            <w:tcW w:type="dxa" w:w="3126"/>
            <w:tcBorders>
              <w:top w:val="none"/>
              <w:left w:val="none"/>
              <w:bottom w:val="none"/>
              <w:right w:val="none"/>
            </w:tcBorders>
            <w:shd w:fill="F4F7FA" w:val="clear"/>
            <w:tcMar>
              <w:top w:type="dxa" w:w="70"/>
              <w:left w:type="dxa" w:w="120"/>
              <w:bottom w:type="dxa" w:w="70"/>
              <w:right w:type="dxa" w:w="80"/>
            </w:tcMar>
          </w:tcPr>
          <w:p>
            <w:pPr>
              <w:jc w:val="both"/>
            </w:pPr>
            <w:r>
              <w:rPr>
                <w:rFonts w:ascii="Georgia" w:cs="Georgia" w:eastAsia="Georgia" w:hAnsi="Georgia"/>
                <w:color w:val="1A1A1A"/>
                <w:sz w:val="19"/>
                <w:szCs w:val="19"/>
              </w:rPr>
              <w:t xml:space="preserve">Ministerium für Wissenschaft, Forschung und Kunst BW; schriftlicher Betrauungsbeschluss definiert gemeinwirtschaftliche Verpflichtung, Ausgleichsmechanismus und Kontrolle.</w:t>
            </w:r>
          </w:p>
        </w:tc>
      </w:tr>
      <w:tr>
        <w:tc>
          <w:tcPr>
            <w:tcW w:type="dxa" w:w="400"/>
            <w:tcBorders>
              <w:top w:val="none"/>
              <w:left w:val="none"/>
              <w:bottom w:val="none"/>
              <w:right w:val="none"/>
            </w:tcBorders>
            <w:shd w:fill="0D1F3C" w:val="clear"/>
            <w:tcMar>
              <w:top w:type="dxa" w:w="70"/>
              <w:left w:type="dxa" w:w="100"/>
              <w:bottom w:type="dxa" w:w="70"/>
              <w:right w:type="dxa" w:w="80"/>
            </w:tcMar>
          </w:tcPr>
          <w:p>
            <w:pPr>
              <w:jc w:val="center"/>
            </w:pPr>
            <w:r>
              <w:rPr>
                <w:rFonts w:ascii="Georgia" w:cs="Georgia" w:eastAsia="Georgia" w:hAnsi="Georgia"/>
                <w:b/>
                <w:bCs/>
                <w:color w:val="FFFFFF"/>
                <w:sz w:val="22"/>
                <w:szCs w:val="22"/>
              </w:rPr>
              <w:t xml:space="preserve">3</w:t>
            </w:r>
          </w:p>
        </w:tc>
        <w:tc>
          <w:tcPr>
            <w:tcW w:type="dxa" w:w="2500"/>
            <w:tcBorders>
              <w:top w:val="none"/>
              <w:left w:val="none"/>
              <w:bottom w:val="none"/>
              <w:right w:val="none"/>
            </w:tcBorders>
            <w:shd w:fill="FFFFFF" w:val="clear"/>
            <w:tcMar>
              <w:top w:type="dxa" w:w="70"/>
              <w:left w:type="dxa" w:w="120"/>
              <w:bottom w:type="dxa" w:w="70"/>
              <w:right w:type="dxa" w:w="80"/>
            </w:tcMar>
          </w:tcPr>
          <w:p>
            <w:r>
              <w:rPr>
                <w:rFonts w:ascii="Georgia" w:cs="Georgia" w:eastAsia="Georgia" w:hAnsi="Georgia"/>
                <w:b/>
                <w:bCs/>
                <w:color w:val="1F3864"/>
                <w:sz w:val="20"/>
                <w:szCs w:val="20"/>
              </w:rPr>
              <w:t xml:space="preserve">Transparente Kostenrechnung und Ausgleichsberechnung</w:t>
            </w:r>
          </w:p>
        </w:tc>
        <w:tc>
          <w:tcPr>
            <w:tcW w:type="dxa" w:w="3000"/>
            <w:tcBorders>
              <w:top w:val="none"/>
              <w:left w:val="none"/>
              <w:bottom w:val="none"/>
              <w:right w:val="none"/>
            </w:tcBorders>
            <w:shd w:fill="FFFFFF" w:val="clear"/>
            <w:tcMar>
              <w:top w:type="dxa" w:w="70"/>
              <w:left w:type="dxa" w:w="120"/>
              <w:bottom w:type="dxa" w:w="70"/>
              <w:right w:type="dxa" w:w="80"/>
            </w:tcMar>
          </w:tcPr>
          <w:p>
            <w:pPr>
              <w:jc w:val="both"/>
            </w:pPr>
            <w:r>
              <w:rPr>
                <w:rFonts w:ascii="Georgia" w:cs="Georgia" w:eastAsia="Georgia" w:hAnsi="Georgia"/>
                <w:i/>
                <w:iCs/>
                <w:color w:val="4A5568"/>
                <w:sz w:val="19"/>
                <w:szCs w:val="19"/>
              </w:rPr>
              <w:t xml:space="preserve">Altmark-Kriterium 2 und 3; DAWI-Beschluss Art. 5</w:t>
            </w:r>
          </w:p>
        </w:tc>
        <w:tc>
          <w:tcPr>
            <w:tcW w:type="dxa" w:w="3126"/>
            <w:tcBorders>
              <w:top w:val="none"/>
              <w:left w:val="none"/>
              <w:bottom w:val="none"/>
              <w:right w:val="none"/>
            </w:tcBorders>
            <w:shd w:fill="FFFFFF" w:val="clear"/>
            <w:tcMar>
              <w:top w:type="dxa" w:w="70"/>
              <w:left w:type="dxa" w:w="120"/>
              <w:bottom w:type="dxa" w:w="70"/>
              <w:right w:type="dxa" w:w="80"/>
            </w:tcMar>
          </w:tcPr>
          <w:p>
            <w:pPr>
              <w:jc w:val="both"/>
            </w:pPr>
            <w:r>
              <w:rPr>
                <w:rFonts w:ascii="Georgia" w:cs="Georgia" w:eastAsia="Georgia" w:hAnsi="Georgia"/>
                <w:color w:val="1A1A1A"/>
                <w:sz w:val="19"/>
                <w:szCs w:val="19"/>
              </w:rPr>
              <w:t xml:space="preserve">OUG-Finanzfunktion; jährliche Kostenstellenrechnung dokumentiert Kosten pro ECTS, Quersubventionierungsfreiheit, und maximalen Ausgleichsbetrag.</w:t>
            </w:r>
          </w:p>
        </w:tc>
      </w:tr>
      <w:tr>
        <w:tc>
          <w:tcPr>
            <w:tcW w:type="dxa" w:w="400"/>
            <w:tcBorders>
              <w:top w:val="none"/>
              <w:left w:val="none"/>
              <w:bottom w:val="none"/>
              <w:right w:val="none"/>
            </w:tcBorders>
            <w:shd w:fill="0D1F3C" w:val="clear"/>
            <w:tcMar>
              <w:top w:type="dxa" w:w="70"/>
              <w:left w:type="dxa" w:w="100"/>
              <w:bottom w:type="dxa" w:w="70"/>
              <w:right w:type="dxa" w:w="80"/>
            </w:tcMar>
          </w:tcPr>
          <w:p>
            <w:pPr>
              <w:jc w:val="center"/>
            </w:pPr>
            <w:r>
              <w:rPr>
                <w:rFonts w:ascii="Georgia" w:cs="Georgia" w:eastAsia="Georgia" w:hAnsi="Georgia"/>
                <w:b/>
                <w:bCs/>
                <w:color w:val="FFFFFF"/>
                <w:sz w:val="22"/>
                <w:szCs w:val="22"/>
              </w:rPr>
              <w:t xml:space="preserve">4</w:t>
            </w:r>
          </w:p>
        </w:tc>
        <w:tc>
          <w:tcPr>
            <w:tcW w:type="dxa" w:w="2500"/>
            <w:tcBorders>
              <w:top w:val="none"/>
              <w:left w:val="none"/>
              <w:bottom w:val="none"/>
              <w:right w:val="none"/>
            </w:tcBorders>
            <w:shd w:fill="F4F7FA" w:val="clear"/>
            <w:tcMar>
              <w:top w:type="dxa" w:w="70"/>
              <w:left w:type="dxa" w:w="120"/>
              <w:bottom w:type="dxa" w:w="70"/>
              <w:right w:type="dxa" w:w="80"/>
            </w:tcMar>
          </w:tcPr>
          <w:p>
            <w:r>
              <w:rPr>
                <w:rFonts w:ascii="Georgia" w:cs="Georgia" w:eastAsia="Georgia" w:hAnsi="Georgia"/>
                <w:b/>
                <w:bCs/>
                <w:color w:val="1F3864"/>
                <w:sz w:val="20"/>
                <w:szCs w:val="20"/>
              </w:rPr>
              <w:t xml:space="preserve">Marktkonformitätsprüfung der Föderationsressourcen</w:t>
            </w:r>
          </w:p>
        </w:tc>
        <w:tc>
          <w:tcPr>
            <w:tcW w:type="dxa" w:w="3000"/>
            <w:tcBorders>
              <w:top w:val="none"/>
              <w:left w:val="none"/>
              <w:bottom w:val="none"/>
              <w:right w:val="none"/>
            </w:tcBorders>
            <w:shd w:fill="F4F7FA" w:val="clear"/>
            <w:tcMar>
              <w:top w:type="dxa" w:w="70"/>
              <w:left w:type="dxa" w:w="120"/>
              <w:bottom w:type="dxa" w:w="70"/>
              <w:right w:type="dxa" w:w="80"/>
            </w:tcMar>
          </w:tcPr>
          <w:p>
            <w:pPr>
              <w:jc w:val="both"/>
            </w:pPr>
            <w:r>
              <w:rPr>
                <w:rFonts w:ascii="Georgia" w:cs="Georgia" w:eastAsia="Georgia" w:hAnsi="Georgia"/>
                <w:i/>
                <w:iCs/>
                <w:color w:val="4A5568"/>
                <w:sz w:val="19"/>
                <w:szCs w:val="19"/>
              </w:rPr>
              <w:t xml:space="preserve">Art. 107 AEUV; Beihilfeleitlinien Hochschulbildung</w:t>
            </w:r>
          </w:p>
        </w:tc>
        <w:tc>
          <w:tcPr>
            <w:tcW w:type="dxa" w:w="3126"/>
            <w:tcBorders>
              <w:top w:val="none"/>
              <w:left w:val="none"/>
              <w:bottom w:val="none"/>
              <w:right w:val="none"/>
            </w:tcBorders>
            <w:shd w:fill="F4F7FA" w:val="clear"/>
            <w:tcMar>
              <w:top w:type="dxa" w:w="70"/>
              <w:left w:type="dxa" w:w="120"/>
              <w:bottom w:type="dxa" w:w="70"/>
              <w:right w:type="dxa" w:w="80"/>
            </w:tcMar>
          </w:tcPr>
          <w:p>
            <w:pPr>
              <w:jc w:val="both"/>
            </w:pPr>
            <w:r>
              <w:rPr>
                <w:rFonts w:ascii="Georgia" w:cs="Georgia" w:eastAsia="Georgia" w:hAnsi="Georgia"/>
                <w:color w:val="1A1A1A"/>
                <w:sz w:val="19"/>
                <w:szCs w:val="19"/>
              </w:rPr>
              <w:t xml:space="preserve">OUG Partnership Office; jede Ressourceneinbringung durch Partnerhochschulen wird vertraglich bewertet. Sachleistungen werden zum Markt- oder Selbstkostenpreis angesetzt. Keine verdeckten Subventionen.</w:t>
            </w:r>
          </w:p>
        </w:tc>
      </w:tr>
      <w:tr>
        <w:tc>
          <w:tcPr>
            <w:tcW w:type="dxa" w:w="400"/>
            <w:tcBorders>
              <w:top w:val="none"/>
              <w:left w:val="none"/>
              <w:bottom w:val="none"/>
              <w:right w:val="none"/>
            </w:tcBorders>
            <w:shd w:fill="0D1F3C" w:val="clear"/>
            <w:tcMar>
              <w:top w:type="dxa" w:w="70"/>
              <w:left w:type="dxa" w:w="100"/>
              <w:bottom w:type="dxa" w:w="70"/>
              <w:right w:type="dxa" w:w="80"/>
            </w:tcMar>
          </w:tcPr>
          <w:p>
            <w:pPr>
              <w:jc w:val="center"/>
            </w:pPr>
            <w:r>
              <w:rPr>
                <w:rFonts w:ascii="Georgia" w:cs="Georgia" w:eastAsia="Georgia" w:hAnsi="Georgia"/>
                <w:b/>
                <w:bCs/>
                <w:color w:val="FFFFFF"/>
                <w:sz w:val="22"/>
                <w:szCs w:val="22"/>
              </w:rPr>
              <w:t xml:space="preserve">5</w:t>
            </w:r>
          </w:p>
        </w:tc>
        <w:tc>
          <w:tcPr>
            <w:tcW w:type="dxa" w:w="2500"/>
            <w:tcBorders>
              <w:top w:val="none"/>
              <w:left w:val="none"/>
              <w:bottom w:val="none"/>
              <w:right w:val="none"/>
            </w:tcBorders>
            <w:shd w:fill="FFFFFF" w:val="clear"/>
            <w:tcMar>
              <w:top w:type="dxa" w:w="70"/>
              <w:left w:type="dxa" w:w="120"/>
              <w:bottom w:type="dxa" w:w="70"/>
              <w:right w:type="dxa" w:w="80"/>
            </w:tcMar>
          </w:tcPr>
          <w:p>
            <w:r>
              <w:rPr>
                <w:rFonts w:ascii="Georgia" w:cs="Georgia" w:eastAsia="Georgia" w:hAnsi="Georgia"/>
                <w:b/>
                <w:bCs/>
                <w:color w:val="1F3864"/>
                <w:sz w:val="20"/>
                <w:szCs w:val="20"/>
              </w:rPr>
              <w:t xml:space="preserve">Getrennte Buchführung OUG-Aktivitäten vs. wirtschaftliche Nebentätigkeiten</w:t>
            </w:r>
          </w:p>
        </w:tc>
        <w:tc>
          <w:tcPr>
            <w:tcW w:type="dxa" w:w="3000"/>
            <w:tcBorders>
              <w:top w:val="none"/>
              <w:left w:val="none"/>
              <w:bottom w:val="none"/>
              <w:right w:val="none"/>
            </w:tcBorders>
            <w:shd w:fill="FFFFFF" w:val="clear"/>
            <w:tcMar>
              <w:top w:type="dxa" w:w="70"/>
              <w:left w:type="dxa" w:w="120"/>
              <w:bottom w:type="dxa" w:w="70"/>
              <w:right w:type="dxa" w:w="80"/>
            </w:tcMar>
          </w:tcPr>
          <w:p>
            <w:pPr>
              <w:jc w:val="both"/>
            </w:pPr>
            <w:r>
              <w:rPr>
                <w:rFonts w:ascii="Georgia" w:cs="Georgia" w:eastAsia="Georgia" w:hAnsi="Georgia"/>
                <w:i/>
                <w:iCs/>
                <w:color w:val="4A5568"/>
                <w:sz w:val="19"/>
                <w:szCs w:val="19"/>
              </w:rPr>
              <w:t xml:space="preserve">DAWI-Beschluss Art. 5 Abs. 9; § 55 AO</w:t>
            </w:r>
          </w:p>
        </w:tc>
        <w:tc>
          <w:tcPr>
            <w:tcW w:type="dxa" w:w="3126"/>
            <w:tcBorders>
              <w:top w:val="none"/>
              <w:left w:val="none"/>
              <w:bottom w:val="none"/>
              <w:right w:val="none"/>
            </w:tcBorders>
            <w:shd w:fill="FFFFFF" w:val="clear"/>
            <w:tcMar>
              <w:top w:type="dxa" w:w="70"/>
              <w:left w:type="dxa" w:w="120"/>
              <w:bottom w:type="dxa" w:w="70"/>
              <w:right w:type="dxa" w:w="80"/>
            </w:tcMar>
          </w:tcPr>
          <w:p>
            <w:pPr>
              <w:jc w:val="both"/>
            </w:pPr>
            <w:r>
              <w:rPr>
                <w:rFonts w:ascii="Georgia" w:cs="Georgia" w:eastAsia="Georgia" w:hAnsi="Georgia"/>
                <w:color w:val="1A1A1A"/>
                <w:sz w:val="19"/>
                <w:szCs w:val="19"/>
              </w:rPr>
              <w:t xml:space="preserve">OUG-Finanzfunktion; strikte buchhalterische Trennung zwischen gemeinnütziger Kerntätigkeit (Lehre, Prüfung, Zertifizierung) und etwaigen wirtschaftlichen Nebentätigkeiten.</w:t>
            </w:r>
          </w:p>
        </w:tc>
      </w:tr>
      <w:tr>
        <w:tc>
          <w:tcPr>
            <w:tcW w:type="dxa" w:w="400"/>
            <w:tcBorders>
              <w:top w:val="none"/>
              <w:left w:val="none"/>
              <w:bottom w:val="none"/>
              <w:right w:val="none"/>
            </w:tcBorders>
            <w:shd w:fill="0D1F3C" w:val="clear"/>
            <w:tcMar>
              <w:top w:type="dxa" w:w="70"/>
              <w:left w:type="dxa" w:w="100"/>
              <w:bottom w:type="dxa" w:w="70"/>
              <w:right w:type="dxa" w:w="80"/>
            </w:tcMar>
          </w:tcPr>
          <w:p>
            <w:pPr>
              <w:jc w:val="center"/>
            </w:pPr>
            <w:r>
              <w:rPr>
                <w:rFonts w:ascii="Georgia" w:cs="Georgia" w:eastAsia="Georgia" w:hAnsi="Georgia"/>
                <w:b/>
                <w:bCs/>
                <w:color w:val="FFFFFF"/>
                <w:sz w:val="22"/>
                <w:szCs w:val="22"/>
              </w:rPr>
              <w:t xml:space="preserve">6</w:t>
            </w:r>
          </w:p>
        </w:tc>
        <w:tc>
          <w:tcPr>
            <w:tcW w:type="dxa" w:w="2500"/>
            <w:tcBorders>
              <w:top w:val="none"/>
              <w:left w:val="none"/>
              <w:bottom w:val="none"/>
              <w:right w:val="none"/>
            </w:tcBorders>
            <w:shd w:fill="F4F7FA" w:val="clear"/>
            <w:tcMar>
              <w:top w:type="dxa" w:w="70"/>
              <w:left w:type="dxa" w:w="120"/>
              <w:bottom w:type="dxa" w:w="70"/>
              <w:right w:type="dxa" w:w="80"/>
            </w:tcMar>
          </w:tcPr>
          <w:p>
            <w:r>
              <w:rPr>
                <w:rFonts w:ascii="Georgia" w:cs="Georgia" w:eastAsia="Georgia" w:hAnsi="Georgia"/>
                <w:b/>
                <w:bCs/>
                <w:color w:val="1F3864"/>
                <w:sz w:val="20"/>
                <w:szCs w:val="20"/>
              </w:rPr>
              <w:t xml:space="preserve">Jährlicher Allgemeinwohlbericht</w:t>
            </w:r>
          </w:p>
        </w:tc>
        <w:tc>
          <w:tcPr>
            <w:tcW w:type="dxa" w:w="3000"/>
            <w:tcBorders>
              <w:top w:val="none"/>
              <w:left w:val="none"/>
              <w:bottom w:val="none"/>
              <w:right w:val="none"/>
            </w:tcBorders>
            <w:shd w:fill="F4F7FA" w:val="clear"/>
            <w:tcMar>
              <w:top w:type="dxa" w:w="70"/>
              <w:left w:type="dxa" w:w="120"/>
              <w:bottom w:type="dxa" w:w="70"/>
              <w:right w:type="dxa" w:w="80"/>
            </w:tcMar>
          </w:tcPr>
          <w:p>
            <w:pPr>
              <w:jc w:val="both"/>
            </w:pPr>
            <w:r>
              <w:rPr>
                <w:rFonts w:ascii="Georgia" w:cs="Georgia" w:eastAsia="Georgia" w:hAnsi="Georgia"/>
                <w:i/>
                <w:iCs/>
                <w:color w:val="4A5568"/>
                <w:sz w:val="19"/>
                <w:szCs w:val="19"/>
              </w:rPr>
              <w:t xml:space="preserve">DAWI-Beschluss; Transparenzanforderungen LHG</w:t>
            </w:r>
          </w:p>
        </w:tc>
        <w:tc>
          <w:tcPr>
            <w:tcW w:type="dxa" w:w="3126"/>
            <w:tcBorders>
              <w:top w:val="none"/>
              <w:left w:val="none"/>
              <w:bottom w:val="none"/>
              <w:right w:val="none"/>
            </w:tcBorders>
            <w:shd w:fill="F4F7FA" w:val="clear"/>
            <w:tcMar>
              <w:top w:type="dxa" w:w="70"/>
              <w:left w:type="dxa" w:w="120"/>
              <w:bottom w:type="dxa" w:w="70"/>
              <w:right w:type="dxa" w:w="80"/>
            </w:tcMar>
          </w:tcPr>
          <w:p>
            <w:pPr>
              <w:jc w:val="both"/>
            </w:pPr>
            <w:r>
              <w:rPr>
                <w:rFonts w:ascii="Georgia" w:cs="Georgia" w:eastAsia="Georgia" w:hAnsi="Georgia"/>
                <w:color w:val="1A1A1A"/>
                <w:sz w:val="19"/>
                <w:szCs w:val="19"/>
              </w:rPr>
              <w:t xml:space="preserve">Hochschulrat (G1); Bericht dokumentiert Zielerreichung des Allgemeinwohlmandats, Kostenbeitragsstruktur, Wirkungsnachweis für Zielgruppe. Öffentlich zugänglich.</w:t>
            </w:r>
          </w:p>
        </w:tc>
      </w:tr>
      <w:tr>
        <w:tc>
          <w:tcPr>
            <w:tcW w:type="dxa" w:w="400"/>
            <w:tcBorders>
              <w:top w:val="none"/>
              <w:left w:val="none"/>
              <w:bottom w:val="none"/>
              <w:right w:val="none"/>
            </w:tcBorders>
            <w:shd w:fill="0D1F3C" w:val="clear"/>
            <w:tcMar>
              <w:top w:type="dxa" w:w="70"/>
              <w:left w:type="dxa" w:w="100"/>
              <w:bottom w:type="dxa" w:w="70"/>
              <w:right w:type="dxa" w:w="80"/>
            </w:tcMar>
          </w:tcPr>
          <w:p>
            <w:pPr>
              <w:jc w:val="center"/>
            </w:pPr>
            <w:r>
              <w:rPr>
                <w:rFonts w:ascii="Georgia" w:cs="Georgia" w:eastAsia="Georgia" w:hAnsi="Georgia"/>
                <w:b/>
                <w:bCs/>
                <w:color w:val="FFFFFF"/>
                <w:sz w:val="22"/>
                <w:szCs w:val="22"/>
              </w:rPr>
              <w:t xml:space="preserve">7</w:t>
            </w:r>
          </w:p>
        </w:tc>
        <w:tc>
          <w:tcPr>
            <w:tcW w:type="dxa" w:w="2500"/>
            <w:tcBorders>
              <w:top w:val="none"/>
              <w:left w:val="none"/>
              <w:bottom w:val="none"/>
              <w:right w:val="none"/>
            </w:tcBorders>
            <w:shd w:fill="FFFFFF" w:val="clear"/>
            <w:tcMar>
              <w:top w:type="dxa" w:w="70"/>
              <w:left w:type="dxa" w:w="120"/>
              <w:bottom w:type="dxa" w:w="70"/>
              <w:right w:type="dxa" w:w="80"/>
            </w:tcMar>
          </w:tcPr>
          <w:p>
            <w:r>
              <w:rPr>
                <w:rFonts w:ascii="Georgia" w:cs="Georgia" w:eastAsia="Georgia" w:hAnsi="Georgia"/>
                <w:b/>
                <w:bCs/>
                <w:color w:val="1F3864"/>
                <w:sz w:val="20"/>
                <w:szCs w:val="20"/>
              </w:rPr>
              <w:t xml:space="preserve">Erneuerung des Betrauungsakts alle zehn Jahre</w:t>
            </w:r>
          </w:p>
        </w:tc>
        <w:tc>
          <w:tcPr>
            <w:tcW w:type="dxa" w:w="3000"/>
            <w:tcBorders>
              <w:top w:val="none"/>
              <w:left w:val="none"/>
              <w:bottom w:val="none"/>
              <w:right w:val="none"/>
            </w:tcBorders>
            <w:shd w:fill="FFFFFF" w:val="clear"/>
            <w:tcMar>
              <w:top w:type="dxa" w:w="70"/>
              <w:left w:type="dxa" w:w="120"/>
              <w:bottom w:type="dxa" w:w="70"/>
              <w:right w:type="dxa" w:w="80"/>
            </w:tcMar>
          </w:tcPr>
          <w:p>
            <w:pPr>
              <w:jc w:val="both"/>
            </w:pPr>
            <w:r>
              <w:rPr>
                <w:rFonts w:ascii="Georgia" w:cs="Georgia" w:eastAsia="Georgia" w:hAnsi="Georgia"/>
                <w:i/>
                <w:iCs/>
                <w:color w:val="4A5568"/>
                <w:sz w:val="19"/>
                <w:szCs w:val="19"/>
              </w:rPr>
              <w:t xml:space="preserve">DAWI-Beschluss Art. 2 Abs. 2</w:t>
            </w:r>
          </w:p>
        </w:tc>
        <w:tc>
          <w:tcPr>
            <w:tcW w:type="dxa" w:w="3126"/>
            <w:tcBorders>
              <w:top w:val="none"/>
              <w:left w:val="none"/>
              <w:bottom w:val="none"/>
              <w:right w:val="none"/>
            </w:tcBorders>
            <w:shd w:fill="FFFFFF" w:val="clear"/>
            <w:tcMar>
              <w:top w:type="dxa" w:w="70"/>
              <w:left w:type="dxa" w:w="120"/>
              <w:bottom w:type="dxa" w:w="70"/>
              <w:right w:type="dxa" w:w="80"/>
            </w:tcMar>
          </w:tcPr>
          <w:p>
            <w:pPr>
              <w:jc w:val="both"/>
            </w:pPr>
            <w:r>
              <w:rPr>
                <w:rFonts w:ascii="Georgia" w:cs="Georgia" w:eastAsia="Georgia" w:hAnsi="Georgia"/>
                <w:color w:val="1A1A1A"/>
                <w:sz w:val="19"/>
                <w:szCs w:val="19"/>
              </w:rPr>
              <w:t xml:space="preserve">Ministerium und Hochschulrat; Betrauungsakt hat eine Laufzeit von maximal zehn Jahren. Rechtzeitige Erneuerung ist Aufgabe des Hochschulrats und wird als Pflichtpunkt im Governance-Kalender geführt.</w:t>
            </w:r>
          </w:p>
        </w:tc>
      </w:tr>
    </w:tbl>
    <w:p>
      <w:pPr>
        <w:spacing w:after="200" w:before="0"/>
      </w:pPr>
    </w:p>
    <w:p>
      <w:pPr>
        <w:pBdr>
          <w:bottom w:val="single" w:color="CCCCCC" w:sz="2" w:space="1"/>
        </w:pBdr>
        <w:spacing w:after="200" w:before="200"/>
      </w:pPr>
    </w:p>
    <w:p>
      <w:pPr>
        <w:pStyle w:val="Heading1"/>
        <w:spacing w:after="140" w:before="480"/>
      </w:pPr>
      <w:r>
        <w:rPr>
          <w:rFonts w:ascii="Georgia" w:cs="Georgia" w:eastAsia="Georgia" w:hAnsi="Georgia"/>
          <w:b/>
          <w:bCs/>
          <w:color w:val="1F3864"/>
          <w:sz w:val="30"/>
          <w:szCs w:val="30"/>
        </w:rPr>
        <w:t xml:space="preserve">V.  Die €25/ECTS als Kostenbeitrag — nicht als Marktpreis</w:t>
      </w:r>
    </w:p>
    <w:p>
      <w:pPr>
        <w:spacing w:after="185" w:before="0"/>
        <w:jc w:val="both"/>
      </w:pPr>
      <w:r>
        <w:rPr>
          <w:rFonts w:ascii="Georgia" w:cs="Georgia" w:eastAsia="Georgia" w:hAnsi="Georgia"/>
          <w:b w:val="false"/>
          <w:bCs w:val="false"/>
          <w:i w:val="false"/>
          <w:iCs w:val="false"/>
          <w:color w:val="1A1A1A"/>
          <w:sz w:val="23"/>
          <w:szCs w:val="23"/>
        </w:rPr>
        <w:t xml:space="preserve">Der zentrale wettbewerbsrechtliche Schutz der OUG hängt an einer präzisen Unterscheidung: Die Studiengebühr von €25 pro ECTS-Punkt ist kein Preis im marktwirtschaftlichen Sinne. Sie ist ein Kostenbeitrag — ein Teil der Kosten einer gemeinwohlorientierten Dienstleistung, den die Leistungsempfänger beisteuern, während die öffentliche Hand den Restbetrag im Rahmen des DAWI-Ausgleichs übernimmt.</w:t>
      </w:r>
    </w:p>
    <w:p>
      <w:pPr>
        <w:spacing w:after="185" w:before="0"/>
        <w:jc w:val="both"/>
      </w:pPr>
      <w:r>
        <w:rPr>
          <w:rFonts w:ascii="Georgia" w:cs="Georgia" w:eastAsia="Georgia" w:hAnsi="Georgia"/>
          <w:b w:val="false"/>
          <w:bCs w:val="false"/>
          <w:i w:val="false"/>
          <w:iCs w:val="false"/>
          <w:color w:val="1A1A1A"/>
          <w:sz w:val="23"/>
          <w:szCs w:val="23"/>
        </w:rPr>
        <w:t xml:space="preserve">Diese Unterscheidung ist nicht akademisch. Sie hat drei konkrete rechtliche Konsequenzen. Erstens: Ein Kostenbeitrag kann nicht mit einem Marktpreis verglichen werden — er liegt logisch auf einer anderen Ebene. Wer €25/ECTS mit dem Marktpreis von €80–120/ECTS privater Anbieter vergleicht und Wettbewerbsverzerrung behauptet, vergleicht konzeptionell Unvergleichbares. Zweitens: Der Kostenbeitrag muss kostendeckend sein — er darf weder Verluste produzieren (dann läge eine unzulässige Übersubventionierung vor) noch Gewinne (dann läge kein gemeinnütziger Betrieb mehr vor). Das Finanzmodell der OUG weist nach, dass €25/ECTS die Vollkosten des OUG-Modells bei angenommener Betriebsgröße deckt. Drittens: Die Transparenz der Kalkulation ist selbst ein Rechtsschutz — sie widerlegt den Vorwurf des Dumping durch Offenlegung.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none"/>
              <w:left w:val="none"/>
              <w:bottom w:val="none"/>
              <w:right w:val="none"/>
            </w:tcBorders>
            <w:shd w:fill="0D1F3C" w:val="clear"/>
            <w:tcMar>
              <w:top w:type="dxa" w:w="70"/>
              <w:left w:type="dxa" w:w="120"/>
              <w:bottom w:type="dxa" w:w="70"/>
              <w:right w:type="dxa" w:w="80"/>
            </w:tcMar>
          </w:tcPr>
          <w:p>
            <w:r>
              <w:rPr>
                <w:rFonts w:ascii="Arial" w:cs="Arial" w:eastAsia="Arial" w:hAnsi="Arial"/>
                <w:b/>
                <w:bCs/>
                <w:color w:val="FFFFFF"/>
                <w:sz w:val="16"/>
                <w:szCs w:val="16"/>
              </w:rPr>
              <w:t xml:space="preserve">Kostenkomponente</w:t>
            </w:r>
          </w:p>
        </w:tc>
        <w:tc>
          <w:tcPr>
            <w:tcW w:type="dxa" w:w="3013"/>
            <w:tcBorders>
              <w:top w:val="none"/>
              <w:left w:val="none"/>
              <w:bottom w:val="none"/>
              <w:right w:val="none"/>
            </w:tcBorders>
            <w:shd w:fill="0D1F3C" w:val="clear"/>
            <w:tcMar>
              <w:top w:type="dxa" w:w="70"/>
              <w:left w:type="dxa" w:w="120"/>
              <w:bottom w:type="dxa" w:w="70"/>
              <w:right w:type="dxa" w:w="80"/>
            </w:tcMar>
          </w:tcPr>
          <w:p>
            <w:r>
              <w:rPr>
                <w:rFonts w:ascii="Arial" w:cs="Arial" w:eastAsia="Arial" w:hAnsi="Arial"/>
                <w:b/>
                <w:bCs/>
                <w:color w:val="FFFFFF"/>
                <w:sz w:val="16"/>
                <w:szCs w:val="16"/>
              </w:rPr>
              <w:t xml:space="preserve">Betrag pro ECTS</w:t>
            </w:r>
          </w:p>
        </w:tc>
        <w:tc>
          <w:tcPr>
            <w:tcW w:type="dxa" w:w="3013"/>
            <w:tcBorders>
              <w:top w:val="none"/>
              <w:left w:val="none"/>
              <w:bottom w:val="none"/>
              <w:right w:val="none"/>
            </w:tcBorders>
            <w:shd w:fill="0D1F3C" w:val="clear"/>
            <w:tcMar>
              <w:top w:type="dxa" w:w="70"/>
              <w:left w:type="dxa" w:w="120"/>
              <w:bottom w:type="dxa" w:w="70"/>
              <w:right w:type="dxa" w:w="80"/>
            </w:tcMar>
          </w:tcPr>
          <w:p>
            <w:r>
              <w:rPr>
                <w:rFonts w:ascii="Arial" w:cs="Arial" w:eastAsia="Arial" w:hAnsi="Arial"/>
                <w:b/>
                <w:bCs/>
                <w:color w:val="FFFFFF"/>
                <w:sz w:val="16"/>
                <w:szCs w:val="16"/>
              </w:rPr>
              <w:t xml:space="preserve">Finanzierungsquelle</w:t>
            </w:r>
          </w:p>
        </w:tc>
      </w:tr>
      <w:tr>
        <w:tc>
          <w:tcPr>
            <w:tcW w:type="dxa" w:w="3000"/>
            <w:tcBorders>
              <w:top w:val="none"/>
              <w:left w:val="none"/>
              <w:bottom w:val="none"/>
              <w:right w:val="none"/>
            </w:tcBorders>
            <w:shd w:fill="FFFFFF" w:val="clear"/>
            <w:tcMar>
              <w:top w:type="dxa" w:w="65"/>
              <w:left w:type="dxa" w:w="120"/>
              <w:bottom w:type="dxa" w:w="65"/>
              <w:right w:type="dxa" w:w="80"/>
            </w:tcMar>
          </w:tcPr>
          <w:p>
            <w:r>
              <w:rPr>
                <w:rFonts w:ascii="Georgia" w:cs="Georgia" w:eastAsia="Georgia" w:hAnsi="Georgia"/>
                <w:b w:val="false"/>
                <w:bCs w:val="false"/>
                <w:color w:val="1A1A1A"/>
                <w:sz w:val="20"/>
                <w:szCs w:val="20"/>
              </w:rPr>
              <w:t xml:space="preserve">Curriculumdesign und Qualitätssicherung</w:t>
            </w:r>
          </w:p>
        </w:tc>
        <w:tc>
          <w:tcPr>
            <w:tcW w:type="dxa" w:w="3013"/>
            <w:tcBorders>
              <w:top w:val="none"/>
              <w:left w:val="none"/>
              <w:bottom w:val="none"/>
              <w:right w:val="none"/>
            </w:tcBorders>
            <w:shd w:fill="FFFFFF" w:val="clear"/>
            <w:tcMar>
              <w:top w:type="dxa" w:w="65"/>
              <w:left w:type="dxa" w:w="120"/>
              <w:bottom w:type="dxa" w:w="65"/>
              <w:right w:type="dxa" w:w="80"/>
            </w:tcMar>
          </w:tcPr>
          <w:p>
            <w:pPr>
              <w:jc w:val="center"/>
            </w:pPr>
            <w:r>
              <w:rPr>
                <w:rFonts w:ascii="Georgia" w:cs="Georgia" w:eastAsia="Georgia" w:hAnsi="Georgia"/>
                <w:b w:val="false"/>
                <w:bCs w:val="false"/>
                <w:color w:val="1A1A1A"/>
                <w:sz w:val="20"/>
                <w:szCs w:val="20"/>
              </w:rPr>
              <w:t xml:space="preserve">ca. €8</w:t>
            </w:r>
          </w:p>
        </w:tc>
        <w:tc>
          <w:tcPr>
            <w:tcW w:type="dxa" w:w="3013"/>
            <w:tcBorders>
              <w:top w:val="none"/>
              <w:left w:val="none"/>
              <w:bottom w:val="none"/>
              <w:right w:val="none"/>
            </w:tcBorders>
            <w:shd w:fill="FFFFFF" w:val="clear"/>
            <w:tcMar>
              <w:top w:type="dxa" w:w="65"/>
              <w:left w:type="dxa" w:w="120"/>
              <w:bottom w:type="dxa" w:w="65"/>
              <w:right w:type="dxa" w:w="80"/>
            </w:tcMar>
          </w:tcPr>
          <w:p>
            <w:r>
              <w:rPr>
                <w:rFonts w:ascii="Georgia" w:cs="Georgia" w:eastAsia="Georgia" w:hAnsi="Georgia"/>
                <w:b w:val="false"/>
                <w:bCs w:val="false"/>
                <w:i/>
                <w:iCs/>
                <w:color w:val="4A5568"/>
                <w:sz w:val="20"/>
                <w:szCs w:val="20"/>
              </w:rPr>
              <w:t xml:space="preserve">Öffentlicher Hochschulfinanzierungsvertrag</w:t>
            </w:r>
          </w:p>
        </w:tc>
      </w:tr>
      <w:tr>
        <w:tc>
          <w:tcPr>
            <w:tcW w:type="dxa" w:w="3000"/>
            <w:tcBorders>
              <w:top w:val="none"/>
              <w:left w:val="none"/>
              <w:bottom w:val="none"/>
              <w:right w:val="none"/>
            </w:tcBorders>
            <w:shd w:fill="F4F7FA" w:val="clear"/>
            <w:tcMar>
              <w:top w:type="dxa" w:w="65"/>
              <w:left w:type="dxa" w:w="120"/>
              <w:bottom w:type="dxa" w:w="65"/>
              <w:right w:type="dxa" w:w="80"/>
            </w:tcMar>
          </w:tcPr>
          <w:p>
            <w:r>
              <w:rPr>
                <w:rFonts w:ascii="Georgia" w:cs="Georgia" w:eastAsia="Georgia" w:hAnsi="Georgia"/>
                <w:b w:val="false"/>
                <w:bCs w:val="false"/>
                <w:color w:val="1A1A1A"/>
                <w:sz w:val="20"/>
                <w:szCs w:val="20"/>
              </w:rPr>
              <w:t xml:space="preserve">Lehrleistung (Partnerhochschulen — Sachleistung)</w:t>
            </w:r>
          </w:p>
        </w:tc>
        <w:tc>
          <w:tcPr>
            <w:tcW w:type="dxa" w:w="3013"/>
            <w:tcBorders>
              <w:top w:val="none"/>
              <w:left w:val="none"/>
              <w:bottom w:val="none"/>
              <w:right w:val="none"/>
            </w:tcBorders>
            <w:shd w:fill="F4F7FA" w:val="clear"/>
            <w:tcMar>
              <w:top w:type="dxa" w:w="65"/>
              <w:left w:type="dxa" w:w="120"/>
              <w:bottom w:type="dxa" w:w="65"/>
              <w:right w:type="dxa" w:w="80"/>
            </w:tcMar>
          </w:tcPr>
          <w:p>
            <w:pPr>
              <w:jc w:val="center"/>
            </w:pPr>
            <w:r>
              <w:rPr>
                <w:rFonts w:ascii="Georgia" w:cs="Georgia" w:eastAsia="Georgia" w:hAnsi="Georgia"/>
                <w:b w:val="false"/>
                <w:bCs w:val="false"/>
                <w:color w:val="1A1A1A"/>
                <w:sz w:val="20"/>
                <w:szCs w:val="20"/>
              </w:rPr>
              <w:t xml:space="preserve">ca. €10</w:t>
            </w:r>
          </w:p>
        </w:tc>
        <w:tc>
          <w:tcPr>
            <w:tcW w:type="dxa" w:w="3013"/>
            <w:tcBorders>
              <w:top w:val="none"/>
              <w:left w:val="none"/>
              <w:bottom w:val="none"/>
              <w:right w:val="none"/>
            </w:tcBorders>
            <w:shd w:fill="F4F7FA" w:val="clear"/>
            <w:tcMar>
              <w:top w:type="dxa" w:w="65"/>
              <w:left w:type="dxa" w:w="120"/>
              <w:bottom w:type="dxa" w:w="65"/>
              <w:right w:type="dxa" w:w="80"/>
            </w:tcMar>
          </w:tcPr>
          <w:p>
            <w:r>
              <w:rPr>
                <w:rFonts w:ascii="Georgia" w:cs="Georgia" w:eastAsia="Georgia" w:hAnsi="Georgia"/>
                <w:b w:val="false"/>
                <w:bCs w:val="false"/>
                <w:i/>
                <w:iCs/>
                <w:color w:val="4A5568"/>
                <w:sz w:val="20"/>
                <w:szCs w:val="20"/>
              </w:rPr>
              <w:t xml:space="preserve">Föderationsvertrag — bewertet zum Selbstkostenpreis</w:t>
            </w:r>
          </w:p>
        </w:tc>
      </w:tr>
      <w:tr>
        <w:tc>
          <w:tcPr>
            <w:tcW w:type="dxa" w:w="3000"/>
            <w:tcBorders>
              <w:top w:val="none"/>
              <w:left w:val="none"/>
              <w:bottom w:val="none"/>
              <w:right w:val="none"/>
            </w:tcBorders>
            <w:shd w:fill="FFFFFF" w:val="clear"/>
            <w:tcMar>
              <w:top w:type="dxa" w:w="65"/>
              <w:left w:type="dxa" w:w="120"/>
              <w:bottom w:type="dxa" w:w="65"/>
              <w:right w:type="dxa" w:w="80"/>
            </w:tcMar>
          </w:tcPr>
          <w:p>
            <w:r>
              <w:rPr>
                <w:rFonts w:ascii="Georgia" w:cs="Georgia" w:eastAsia="Georgia" w:hAnsi="Georgia"/>
                <w:b w:val="false"/>
                <w:bCs w:val="false"/>
                <w:color w:val="1A1A1A"/>
                <w:sz w:val="20"/>
                <w:szCs w:val="20"/>
              </w:rPr>
              <w:t xml:space="preserve">Plattform und Credential-Infrastruktur</w:t>
            </w:r>
          </w:p>
        </w:tc>
        <w:tc>
          <w:tcPr>
            <w:tcW w:type="dxa" w:w="3013"/>
            <w:tcBorders>
              <w:top w:val="none"/>
              <w:left w:val="none"/>
              <w:bottom w:val="none"/>
              <w:right w:val="none"/>
            </w:tcBorders>
            <w:shd w:fill="FFFFFF" w:val="clear"/>
            <w:tcMar>
              <w:top w:type="dxa" w:w="65"/>
              <w:left w:type="dxa" w:w="120"/>
              <w:bottom w:type="dxa" w:w="65"/>
              <w:right w:type="dxa" w:w="80"/>
            </w:tcMar>
          </w:tcPr>
          <w:p>
            <w:pPr>
              <w:jc w:val="center"/>
            </w:pPr>
            <w:r>
              <w:rPr>
                <w:rFonts w:ascii="Georgia" w:cs="Georgia" w:eastAsia="Georgia" w:hAnsi="Georgia"/>
                <w:b w:val="false"/>
                <w:bCs w:val="false"/>
                <w:color w:val="1A1A1A"/>
                <w:sz w:val="20"/>
                <w:szCs w:val="20"/>
              </w:rPr>
              <w:t xml:space="preserve">ca. €4</w:t>
            </w:r>
          </w:p>
        </w:tc>
        <w:tc>
          <w:tcPr>
            <w:tcW w:type="dxa" w:w="3013"/>
            <w:tcBorders>
              <w:top w:val="none"/>
              <w:left w:val="none"/>
              <w:bottom w:val="none"/>
              <w:right w:val="none"/>
            </w:tcBorders>
            <w:shd w:fill="FFFFFF" w:val="clear"/>
            <w:tcMar>
              <w:top w:type="dxa" w:w="65"/>
              <w:left w:type="dxa" w:w="120"/>
              <w:bottom w:type="dxa" w:w="65"/>
              <w:right w:type="dxa" w:w="80"/>
            </w:tcMar>
          </w:tcPr>
          <w:p>
            <w:r>
              <w:rPr>
                <w:rFonts w:ascii="Georgia" w:cs="Georgia" w:eastAsia="Georgia" w:hAnsi="Georgia"/>
                <w:b w:val="false"/>
                <w:bCs w:val="false"/>
                <w:i/>
                <w:iCs/>
                <w:color w:val="4A5568"/>
                <w:sz w:val="20"/>
                <w:szCs w:val="20"/>
              </w:rPr>
              <w:t xml:space="preserve">Drittmittel / Anlauffinanzierung</w:t>
            </w:r>
          </w:p>
        </w:tc>
      </w:tr>
      <w:tr>
        <w:tc>
          <w:tcPr>
            <w:tcW w:type="dxa" w:w="3000"/>
            <w:tcBorders>
              <w:top w:val="none"/>
              <w:left w:val="none"/>
              <w:bottom w:val="none"/>
              <w:right w:val="none"/>
            </w:tcBorders>
            <w:shd w:fill="F4F7FA" w:val="clear"/>
            <w:tcMar>
              <w:top w:type="dxa" w:w="65"/>
              <w:left w:type="dxa" w:w="120"/>
              <w:bottom w:type="dxa" w:w="65"/>
              <w:right w:type="dxa" w:w="80"/>
            </w:tcMar>
          </w:tcPr>
          <w:p>
            <w:r>
              <w:rPr>
                <w:rFonts w:ascii="Georgia" w:cs="Georgia" w:eastAsia="Georgia" w:hAnsi="Georgia"/>
                <w:b w:val="false"/>
                <w:bCs w:val="false"/>
                <w:color w:val="1A1A1A"/>
                <w:sz w:val="20"/>
                <w:szCs w:val="20"/>
              </w:rPr>
              <w:t xml:space="preserve">Governance, Verwaltung, Qualitätssicherung</w:t>
            </w:r>
          </w:p>
        </w:tc>
        <w:tc>
          <w:tcPr>
            <w:tcW w:type="dxa" w:w="3013"/>
            <w:tcBorders>
              <w:top w:val="none"/>
              <w:left w:val="none"/>
              <w:bottom w:val="none"/>
              <w:right w:val="none"/>
            </w:tcBorders>
            <w:shd w:fill="F4F7FA" w:val="clear"/>
            <w:tcMar>
              <w:top w:type="dxa" w:w="65"/>
              <w:left w:type="dxa" w:w="120"/>
              <w:bottom w:type="dxa" w:w="65"/>
              <w:right w:type="dxa" w:w="80"/>
            </w:tcMar>
          </w:tcPr>
          <w:p>
            <w:pPr>
              <w:jc w:val="center"/>
            </w:pPr>
            <w:r>
              <w:rPr>
                <w:rFonts w:ascii="Georgia" w:cs="Georgia" w:eastAsia="Georgia" w:hAnsi="Georgia"/>
                <w:b w:val="false"/>
                <w:bCs w:val="false"/>
                <w:color w:val="1A1A1A"/>
                <w:sz w:val="20"/>
                <w:szCs w:val="20"/>
              </w:rPr>
              <w:t xml:space="preserve">ca. €3</w:t>
            </w:r>
          </w:p>
        </w:tc>
        <w:tc>
          <w:tcPr>
            <w:tcW w:type="dxa" w:w="3013"/>
            <w:tcBorders>
              <w:top w:val="none"/>
              <w:left w:val="none"/>
              <w:bottom w:val="none"/>
              <w:right w:val="none"/>
            </w:tcBorders>
            <w:shd w:fill="F4F7FA" w:val="clear"/>
            <w:tcMar>
              <w:top w:type="dxa" w:w="65"/>
              <w:left w:type="dxa" w:w="120"/>
              <w:bottom w:type="dxa" w:w="65"/>
              <w:right w:type="dxa" w:w="80"/>
            </w:tcMar>
          </w:tcPr>
          <w:p>
            <w:r>
              <w:rPr>
                <w:rFonts w:ascii="Georgia" w:cs="Georgia" w:eastAsia="Georgia" w:hAnsi="Georgia"/>
                <w:b w:val="false"/>
                <w:bCs w:val="false"/>
                <w:i/>
                <w:iCs/>
                <w:color w:val="4A5568"/>
                <w:sz w:val="20"/>
                <w:szCs w:val="20"/>
              </w:rPr>
              <w:t xml:space="preserve">Kostenbeitrag der Studierenden: €25/ECTS</w:t>
            </w:r>
          </w:p>
        </w:tc>
      </w:tr>
      <w:tr>
        <w:tc>
          <w:tcPr>
            <w:tcW w:type="dxa" w:w="3000"/>
            <w:tcBorders>
              <w:top w:val="none"/>
              <w:left w:val="none"/>
              <w:bottom w:val="none"/>
              <w:right w:val="none"/>
            </w:tcBorders>
            <w:shd w:fill="EAF5EE" w:val="clear"/>
            <w:tcMar>
              <w:top w:type="dxa" w:w="65"/>
              <w:left w:type="dxa" w:w="120"/>
              <w:bottom w:type="dxa" w:w="65"/>
              <w:right w:type="dxa" w:w="80"/>
            </w:tcMar>
          </w:tcPr>
          <w:p>
            <w:r>
              <w:rPr>
                <w:rFonts w:ascii="Georgia" w:cs="Georgia" w:eastAsia="Georgia" w:hAnsi="Georgia"/>
                <w:b/>
                <w:bCs/>
                <w:color w:val="1A5C4A"/>
                <w:sz w:val="20"/>
                <w:szCs w:val="20"/>
              </w:rPr>
              <w:t xml:space="preserve">Gesamt</w:t>
            </w:r>
          </w:p>
        </w:tc>
        <w:tc>
          <w:tcPr>
            <w:tcW w:type="dxa" w:w="3013"/>
            <w:tcBorders>
              <w:top w:val="none"/>
              <w:left w:val="none"/>
              <w:bottom w:val="none"/>
              <w:right w:val="none"/>
            </w:tcBorders>
            <w:shd w:fill="EAF5EE" w:val="clear"/>
            <w:tcMar>
              <w:top w:type="dxa" w:w="65"/>
              <w:left w:type="dxa" w:w="120"/>
              <w:bottom w:type="dxa" w:w="65"/>
              <w:right w:type="dxa" w:w="80"/>
            </w:tcMar>
          </w:tcPr>
          <w:p>
            <w:pPr>
              <w:jc w:val="center"/>
            </w:pPr>
            <w:r>
              <w:rPr>
                <w:rFonts w:ascii="Georgia" w:cs="Georgia" w:eastAsia="Georgia" w:hAnsi="Georgia"/>
                <w:b/>
                <w:bCs/>
                <w:color w:val="1A5C4A"/>
                <w:sz w:val="20"/>
                <w:szCs w:val="20"/>
              </w:rPr>
              <w:t xml:space="preserve">ca. €25</w:t>
            </w:r>
          </w:p>
        </w:tc>
        <w:tc>
          <w:tcPr>
            <w:tcW w:type="dxa" w:w="3013"/>
            <w:tcBorders>
              <w:top w:val="none"/>
              <w:left w:val="none"/>
              <w:bottom w:val="none"/>
              <w:right w:val="none"/>
            </w:tcBorders>
            <w:shd w:fill="EAF5EE" w:val="clear"/>
            <w:tcMar>
              <w:top w:type="dxa" w:w="65"/>
              <w:left w:type="dxa" w:w="120"/>
              <w:bottom w:type="dxa" w:w="65"/>
              <w:right w:type="dxa" w:w="80"/>
            </w:tcMar>
          </w:tcPr>
          <w:p>
            <w:r>
              <w:rPr>
                <w:rFonts w:ascii="Georgia" w:cs="Georgia" w:eastAsia="Georgia" w:hAnsi="Georgia"/>
                <w:b/>
                <w:bCs/>
                <w:i w:val="false"/>
                <w:iCs w:val="false"/>
                <w:color w:val="1A5C4A"/>
                <w:sz w:val="20"/>
                <w:szCs w:val="20"/>
              </w:rPr>
              <w:t xml:space="preserve">Vollkostendeckung bei Normalbetrieb</w:t>
            </w:r>
          </w:p>
        </w:tc>
      </w:tr>
    </w:tbl>
    <w:p>
      <w:pPr>
        <w:spacing w:after="60" w:before="0"/>
      </w:pPr>
    </w:p>
    <w:p>
      <w:pPr>
        <w:spacing w:after="185" w:before="0"/>
        <w:jc w:val="both"/>
      </w:pPr>
      <w:r>
        <w:rPr>
          <w:rFonts w:ascii="Georgia" w:cs="Georgia" w:eastAsia="Georgia" w:hAnsi="Georgia"/>
          <w:b w:val="false"/>
          <w:bCs w:val="false"/>
          <w:i/>
          <w:iCs/>
          <w:color w:val="4A5568"/>
          <w:sz w:val="20"/>
          <w:szCs w:val="20"/>
        </w:rPr>
        <w:t xml:space="preserve">Hinweis: Diese Kalkulation ist eine Modellrechnung auf Basis der OUG-Gründungsannahmen. Die tatsächliche Kostenstruktur wird im jährlichen Allgemeinwohlbericht dokumentiert und vom Wirtschaftsprüfer bestätigt.</w:t>
      </w:r>
    </w:p>
    <w:p>
      <w:pPr>
        <w:spacing w:after="200" w:before="0"/>
      </w:pPr>
    </w:p>
    <w:p>
      <w:pPr>
        <w:pBdr>
          <w:bottom w:val="single" w:color="CCCCCC" w:sz="2" w:space="1"/>
        </w:pBdr>
        <w:spacing w:after="200" w:before="200"/>
      </w:pPr>
    </w:p>
    <w:p>
      <w:pPr>
        <w:pStyle w:val="Heading1"/>
        <w:spacing w:after="140" w:before="480"/>
      </w:pPr>
      <w:r>
        <w:rPr>
          <w:rFonts w:ascii="Georgia" w:cs="Georgia" w:eastAsia="Georgia" w:hAnsi="Georgia"/>
          <w:b/>
          <w:bCs/>
          <w:color w:val="1F3864"/>
          <w:sz w:val="30"/>
          <w:szCs w:val="30"/>
        </w:rPr>
        <w:t xml:space="preserve">VI.  Was die Allgemeinwohlverfassung für jeden Stakeholder bedeutet</w:t>
      </w:r>
    </w:p>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F3864" w:val="clear"/>
            <w:tcMar>
              <w:top w:type="dxa" w:w="80"/>
              <w:left w:type="dxa" w:w="200"/>
              <w:bottom w:type="dxa" w:w="80"/>
              <w:right w:type="dxa" w:w="160"/>
            </w:tcMar>
          </w:tcPr>
          <w:p>
            <w:r>
              <w:rPr>
                <w:rFonts w:ascii="Georgia" w:cs="Georgia" w:eastAsia="Georgia" w:hAnsi="Georgia"/>
                <w:b/>
                <w:bCs/>
                <w:color w:val="FFFFFF"/>
                <w:sz w:val="24"/>
                <w:szCs w:val="24"/>
              </w:rPr>
              <w:t xml:space="preserve">Studierende</w:t>
            </w:r>
          </w:p>
        </w:tc>
      </w:tr>
      <w:tr>
        <w:tc>
          <w:tcPr>
            <w:tcW w:type="dxa" w:w="9026"/>
            <w:tcBorders>
              <w:top w:val="none"/>
              <w:left w:val="none"/>
              <w:bottom w:val="none"/>
              <w:right w:val="none"/>
            </w:tcBorders>
            <w:shd w:fill="FFFFFF" w:val="clear"/>
            <w:tcMar>
              <w:top w:type="dxa" w:w="90"/>
              <w:left w:type="dxa" w:w="200"/>
              <w:bottom w:type="dxa" w:w="90"/>
              <w:right w:type="dxa" w:w="160"/>
            </w:tcMar>
          </w:tcPr>
          <w:p>
            <w:pPr>
              <w:spacing w:after="35" w:before="0"/>
            </w:pPr>
            <w:r>
              <w:rPr>
                <w:rFonts w:ascii="Arial" w:cs="Arial" w:eastAsia="Arial" w:hAnsi="Arial"/>
                <w:b/>
                <w:bCs/>
                <w:caps/>
                <w:color w:val="2E75B6"/>
                <w:sz w:val="14"/>
                <w:szCs w:val="14"/>
              </w:rPr>
              <w:t xml:space="preserve">Was die Allgemeinwohlkonstituierung bedeutet</w:t>
            </w:r>
          </w:p>
          <w:p>
            <w:pPr>
              <w:spacing w:after="0" w:before="0"/>
              <w:jc w:val="both"/>
            </w:pPr>
            <w:r>
              <w:rPr>
                <w:rFonts w:ascii="Georgia" w:cs="Georgia" w:eastAsia="Georgia" w:hAnsi="Georgia"/>
                <w:color w:val="1A1A1A"/>
                <w:sz w:val="22"/>
                <w:szCs w:val="22"/>
              </w:rPr>
              <w:t xml:space="preserve">Die Allgemeinwohlkonstituierung ist der rechtliche Grund dafür, dass das Studium €25/ECTS kostet und nicht €80–120. Es ist kein Geschenk und keine Subvention — es ist der Kostenbeitrag zu einer Institution, die nicht auf Gewinn ausgerichtet ist. Die Studierenden sind nicht Kunden eines Unternehmens, sondern Mitglieder einer Lerngemeinschaft mit eigenen Governance-Rechten. Die gemeinnützige Verfassung verbietet der OUG, ihre Preise zu erhöhen sobald sie Marktmacht hat — das Allgemeinwohlmandat bindet die Institution dauerhaft.</w:t>
            </w:r>
          </w:p>
        </w:tc>
      </w:tr>
      <w:tr>
        <w:tc>
          <w:tcPr>
            <w:tcW w:type="dxa" w:w="9026"/>
            <w:tcBorders>
              <w:top w:val="none"/>
              <w:left w:val="none"/>
              <w:bottom w:val="none"/>
              <w:right w:val="none"/>
            </w:tcBorders>
            <w:shd w:fill="EAF5EE" w:val="clear"/>
            <w:tcMar>
              <w:top w:type="dxa" w:w="90"/>
              <w:left w:type="dxa" w:w="200"/>
              <w:bottom w:type="dxa" w:w="90"/>
              <w:right w:type="dxa" w:w="160"/>
            </w:tcMar>
          </w:tcPr>
          <w:p>
            <w:pPr>
              <w:spacing w:after="35" w:before="0"/>
            </w:pPr>
            <w:r>
              <w:rPr>
                <w:rFonts w:ascii="Arial" w:cs="Arial" w:eastAsia="Arial" w:hAnsi="Arial"/>
                <w:b/>
                <w:bCs/>
                <w:caps/>
                <w:color w:val="1A5C4A"/>
                <w:sz w:val="14"/>
                <w:szCs w:val="14"/>
              </w:rPr>
              <w:t xml:space="preserve">Konkreter Ausdruck in der Praxis</w:t>
            </w:r>
          </w:p>
          <w:p>
            <w:pPr>
              <w:spacing w:after="0" w:before="0"/>
              <w:jc w:val="both"/>
            </w:pPr>
            <w:r>
              <w:rPr>
                <w:rFonts w:ascii="Georgia" w:cs="Georgia" w:eastAsia="Georgia" w:hAnsi="Georgia"/>
                <w:color w:val="1A1A1A"/>
                <w:sz w:val="22"/>
                <w:szCs w:val="22"/>
              </w:rPr>
              <w:t xml:space="preserve">Studienvertrag enthält explizit den Kostenbeitragscharakter der Gebühr. Satzung garantiert Gemeinnützigkeit auf Dauer. Studierendenvertretung hat Sitzrecht im Senat (G3). Jährlicher Allgemeinwohlbericht ist öffentlich zugänglich. Kostenstruktur wird transparent ausgewiesen.</w:t>
            </w:r>
          </w:p>
        </w:tc>
      </w:tr>
    </w:tbl>
    <w:p>
      <w:pPr>
        <w:spacing w:after="5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5C4A" w:val="clear"/>
            <w:tcMar>
              <w:top w:type="dxa" w:w="80"/>
              <w:left w:type="dxa" w:w="200"/>
              <w:bottom w:type="dxa" w:w="80"/>
              <w:right w:type="dxa" w:w="160"/>
            </w:tcMar>
          </w:tcPr>
          <w:p>
            <w:r>
              <w:rPr>
                <w:rFonts w:ascii="Georgia" w:cs="Georgia" w:eastAsia="Georgia" w:hAnsi="Georgia"/>
                <w:b/>
                <w:bCs/>
                <w:color w:val="FFFFFF"/>
                <w:sz w:val="24"/>
                <w:szCs w:val="24"/>
              </w:rPr>
              <w:t xml:space="preserve">Partnerhochschulen in der Förderung</w:t>
            </w:r>
          </w:p>
        </w:tc>
      </w:tr>
      <w:tr>
        <w:tc>
          <w:tcPr>
            <w:tcW w:type="dxa" w:w="9026"/>
            <w:tcBorders>
              <w:top w:val="none"/>
              <w:left w:val="none"/>
              <w:bottom w:val="none"/>
              <w:right w:val="none"/>
            </w:tcBorders>
            <w:shd w:fill="FFFFFF" w:val="clear"/>
            <w:tcMar>
              <w:top w:type="dxa" w:w="90"/>
              <w:left w:type="dxa" w:w="200"/>
              <w:bottom w:type="dxa" w:w="90"/>
              <w:right w:type="dxa" w:w="160"/>
            </w:tcMar>
          </w:tcPr>
          <w:p>
            <w:pPr>
              <w:spacing w:after="35" w:before="0"/>
            </w:pPr>
            <w:r>
              <w:rPr>
                <w:rFonts w:ascii="Arial" w:cs="Arial" w:eastAsia="Arial" w:hAnsi="Arial"/>
                <w:b/>
                <w:bCs/>
                <w:caps/>
                <w:color w:val="2E75B6"/>
                <w:sz w:val="14"/>
                <w:szCs w:val="14"/>
              </w:rPr>
              <w:t xml:space="preserve">Was die Allgemeinwohlkonstituierung bedeutet</w:t>
            </w:r>
          </w:p>
          <w:p>
            <w:pPr>
              <w:spacing w:after="0" w:before="0"/>
              <w:jc w:val="both"/>
            </w:pPr>
            <w:r>
              <w:rPr>
                <w:rFonts w:ascii="Georgia" w:cs="Georgia" w:eastAsia="Georgia" w:hAnsi="Georgia"/>
                <w:color w:val="1A1A1A"/>
                <w:sz w:val="22"/>
                <w:szCs w:val="22"/>
              </w:rPr>
              <w:t xml:space="preserve">Öffentliche Hochschulen, die Module und Lehrpersonal in die OUG einbringen, handeln im Rahmen ihres gesetzlichen Bildungsauftrags (§ 1 LHG). Die Einbringung ist keine wirtschaftliche Tätigkeit zugunsten eines Dritten, sondern eine Ausweitung der eigenen Hochschultätigkeit auf einen neuen Träger mit demselben Allgemeinwohlauftrag. Die Ressourcen werden zu Markt- oder Selbstkostenpreisen in Föderationsverträgen bewertet — so dass keine verdeckte Quersubventionierung entsteht, die die Partnerhochschulen beihilferechtlich gefährden könnte.</w:t>
            </w:r>
          </w:p>
        </w:tc>
      </w:tr>
      <w:tr>
        <w:tc>
          <w:tcPr>
            <w:tcW w:type="dxa" w:w="9026"/>
            <w:tcBorders>
              <w:top w:val="none"/>
              <w:left w:val="none"/>
              <w:bottom w:val="none"/>
              <w:right w:val="none"/>
            </w:tcBorders>
            <w:shd w:fill="EAF5EE" w:val="clear"/>
            <w:tcMar>
              <w:top w:type="dxa" w:w="90"/>
              <w:left w:type="dxa" w:w="200"/>
              <w:bottom w:type="dxa" w:w="90"/>
              <w:right w:type="dxa" w:w="160"/>
            </w:tcMar>
          </w:tcPr>
          <w:p>
            <w:pPr>
              <w:spacing w:after="35" w:before="0"/>
            </w:pPr>
            <w:r>
              <w:rPr>
                <w:rFonts w:ascii="Arial" w:cs="Arial" w:eastAsia="Arial" w:hAnsi="Arial"/>
                <w:b/>
                <w:bCs/>
                <w:caps/>
                <w:color w:val="1A5C4A"/>
                <w:sz w:val="14"/>
                <w:szCs w:val="14"/>
              </w:rPr>
              <w:t xml:space="preserve">Konkreter Ausdruck in der Praxis</w:t>
            </w:r>
          </w:p>
          <w:p>
            <w:pPr>
              <w:spacing w:after="0" w:before="0"/>
              <w:jc w:val="both"/>
            </w:pPr>
            <w:r>
              <w:rPr>
                <w:rFonts w:ascii="Georgia" w:cs="Georgia" w:eastAsia="Georgia" w:hAnsi="Georgia"/>
                <w:color w:val="1A1A1A"/>
                <w:sz w:val="22"/>
                <w:szCs w:val="22"/>
              </w:rPr>
              <w:t xml:space="preserve">Föderationsvertrag enthält Marktpreisbewertung jeder Sachleistung. Partnerhochschulen erhalten für ihre Lehrleistung den Selbstkostenpreis erstattet — sie tragen keine wirtschaftlichen Verluste. Getrennte Buchführung bei der OUG schützt die Partner vor ungewollter Beihilfegefährdung. Jährliche Partnerschaftsüberprüfung stellt Marktkonformität sicher.</w:t>
            </w:r>
          </w:p>
        </w:tc>
      </w:tr>
    </w:tbl>
    <w:p>
      <w:pPr>
        <w:spacing w:after="5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D1F3C" w:val="clear"/>
            <w:tcMar>
              <w:top w:type="dxa" w:w="80"/>
              <w:left w:type="dxa" w:w="200"/>
              <w:bottom w:type="dxa" w:w="80"/>
              <w:right w:type="dxa" w:w="160"/>
            </w:tcMar>
          </w:tcPr>
          <w:p>
            <w:r>
              <w:rPr>
                <w:rFonts w:ascii="Georgia" w:cs="Georgia" w:eastAsia="Georgia" w:hAnsi="Georgia"/>
                <w:b/>
                <w:bCs/>
                <w:color w:val="FFFFFF"/>
                <w:sz w:val="24"/>
                <w:szCs w:val="24"/>
              </w:rPr>
              <w:t xml:space="preserve">Ministerium und Landesregierung</w:t>
            </w:r>
          </w:p>
        </w:tc>
      </w:tr>
      <w:tr>
        <w:tc>
          <w:tcPr>
            <w:tcW w:type="dxa" w:w="9026"/>
            <w:tcBorders>
              <w:top w:val="none"/>
              <w:left w:val="none"/>
              <w:bottom w:val="none"/>
              <w:right w:val="none"/>
            </w:tcBorders>
            <w:shd w:fill="FFFFFF" w:val="clear"/>
            <w:tcMar>
              <w:top w:type="dxa" w:w="90"/>
              <w:left w:type="dxa" w:w="200"/>
              <w:bottom w:type="dxa" w:w="90"/>
              <w:right w:type="dxa" w:w="160"/>
            </w:tcMar>
          </w:tcPr>
          <w:p>
            <w:pPr>
              <w:spacing w:after="35" w:before="0"/>
            </w:pPr>
            <w:r>
              <w:rPr>
                <w:rFonts w:ascii="Arial" w:cs="Arial" w:eastAsia="Arial" w:hAnsi="Arial"/>
                <w:b/>
                <w:bCs/>
                <w:caps/>
                <w:color w:val="2E75B6"/>
                <w:sz w:val="14"/>
                <w:szCs w:val="14"/>
              </w:rPr>
              <w:t xml:space="preserve">Was die Allgemeinwohlkonstituierung bedeutet</w:t>
            </w:r>
          </w:p>
          <w:p>
            <w:pPr>
              <w:spacing w:after="0" w:before="0"/>
              <w:jc w:val="both"/>
            </w:pPr>
            <w:r>
              <w:rPr>
                <w:rFonts w:ascii="Georgia" w:cs="Georgia" w:eastAsia="Georgia" w:hAnsi="Georgia"/>
                <w:color w:val="1A1A1A"/>
                <w:sz w:val="22"/>
                <w:szCs w:val="22"/>
              </w:rPr>
              <w:t xml:space="preserve">Das Ministerium für Wissenschaft, Forschung und Kunst BW betraut die OUG durch formellen Betrauungsakt mit der Erfüllung einer gemeinwirtschaftlichen Verpflichtung: der Hochschulbildung für Bevölkerungsgruppen, die das bestehende System nicht erreicht. Dieser Betrauungsakt ist gleichzeitig politisches Bekenntnis und rechtlicher Schutzschild: Er definiert den Ausgleich als DAWI-konform und sichert die OUG gegen Beihilfeklagen privater Anbieter ab. Das Ministerium erhält im Gegenzug Kontrollrechte und den jährlichen Allgemeinwohlbericht als Wirkungsnachweis.</w:t>
            </w:r>
          </w:p>
        </w:tc>
      </w:tr>
      <w:tr>
        <w:tc>
          <w:tcPr>
            <w:tcW w:type="dxa" w:w="9026"/>
            <w:tcBorders>
              <w:top w:val="none"/>
              <w:left w:val="none"/>
              <w:bottom w:val="none"/>
              <w:right w:val="none"/>
            </w:tcBorders>
            <w:shd w:fill="EAF5EE" w:val="clear"/>
            <w:tcMar>
              <w:top w:type="dxa" w:w="90"/>
              <w:left w:type="dxa" w:w="200"/>
              <w:bottom w:type="dxa" w:w="90"/>
              <w:right w:type="dxa" w:w="160"/>
            </w:tcMar>
          </w:tcPr>
          <w:p>
            <w:pPr>
              <w:spacing w:after="35" w:before="0"/>
            </w:pPr>
            <w:r>
              <w:rPr>
                <w:rFonts w:ascii="Arial" w:cs="Arial" w:eastAsia="Arial" w:hAnsi="Arial"/>
                <w:b/>
                <w:bCs/>
                <w:caps/>
                <w:color w:val="1A5C4A"/>
                <w:sz w:val="14"/>
                <w:szCs w:val="14"/>
              </w:rPr>
              <w:t xml:space="preserve">Konkreter Ausdruck in der Praxis</w:t>
            </w:r>
          </w:p>
          <w:p>
            <w:pPr>
              <w:spacing w:after="0" w:before="0"/>
              <w:jc w:val="both"/>
            </w:pPr>
            <w:r>
              <w:rPr>
                <w:rFonts w:ascii="Georgia" w:cs="Georgia" w:eastAsia="Georgia" w:hAnsi="Georgia"/>
                <w:color w:val="1A1A1A"/>
                <w:sz w:val="22"/>
                <w:szCs w:val="22"/>
              </w:rPr>
              <w:t xml:space="preserve">Formeller Betrauungsbeschluss wird als Verwaltungsakt erlassen. Hochschulrat (G1) enthält einen Ministeriumsvertreter mit Beobachterstatus. Jährlicher Wirksamkeitsbericht geht dem Ministerium zur Kenntnis. Kostenstrukturnachweis durch unabhängigen Wirtschaftsprüfer. Erneuerung des Betrauungsakts alle zehn Jahre mit Wirkungsevaluierung.</w:t>
            </w:r>
          </w:p>
        </w:tc>
      </w:tr>
    </w:tbl>
    <w:p>
      <w:pPr>
        <w:spacing w:after="5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7A4A00" w:val="clear"/>
            <w:tcMar>
              <w:top w:type="dxa" w:w="80"/>
              <w:left w:type="dxa" w:w="200"/>
              <w:bottom w:type="dxa" w:w="80"/>
              <w:right w:type="dxa" w:w="160"/>
            </w:tcMar>
          </w:tcPr>
          <w:p>
            <w:r>
              <w:rPr>
                <w:rFonts w:ascii="Georgia" w:cs="Georgia" w:eastAsia="Georgia" w:hAnsi="Georgia"/>
                <w:b/>
                <w:bCs/>
                <w:color w:val="FFFFFF"/>
                <w:sz w:val="24"/>
                <w:szCs w:val="24"/>
              </w:rPr>
              <w:t xml:space="preserve">Steuerzahlerinnen und Steuerzahler</w:t>
            </w:r>
          </w:p>
        </w:tc>
      </w:tr>
      <w:tr>
        <w:tc>
          <w:tcPr>
            <w:tcW w:type="dxa" w:w="9026"/>
            <w:tcBorders>
              <w:top w:val="none"/>
              <w:left w:val="none"/>
              <w:bottom w:val="none"/>
              <w:right w:val="none"/>
            </w:tcBorders>
            <w:shd w:fill="FFFFFF" w:val="clear"/>
            <w:tcMar>
              <w:top w:type="dxa" w:w="90"/>
              <w:left w:type="dxa" w:w="200"/>
              <w:bottom w:type="dxa" w:w="90"/>
              <w:right w:type="dxa" w:w="160"/>
            </w:tcMar>
          </w:tcPr>
          <w:p>
            <w:pPr>
              <w:spacing w:after="35" w:before="0"/>
            </w:pPr>
            <w:r>
              <w:rPr>
                <w:rFonts w:ascii="Arial" w:cs="Arial" w:eastAsia="Arial" w:hAnsi="Arial"/>
                <w:b/>
                <w:bCs/>
                <w:caps/>
                <w:color w:val="2E75B6"/>
                <w:sz w:val="14"/>
                <w:szCs w:val="14"/>
              </w:rPr>
              <w:t xml:space="preserve">Was die Allgemeinwohlkonstituierung bedeutet</w:t>
            </w:r>
          </w:p>
          <w:p>
            <w:pPr>
              <w:spacing w:after="0" w:before="0"/>
              <w:jc w:val="both"/>
            </w:pPr>
            <w:r>
              <w:rPr>
                <w:rFonts w:ascii="Georgia" w:cs="Georgia" w:eastAsia="Georgia" w:hAnsi="Georgia"/>
                <w:color w:val="1A1A1A"/>
                <w:sz w:val="22"/>
                <w:szCs w:val="22"/>
              </w:rPr>
              <w:t xml:space="preserve">Öffentliche Mittel fließen in die OUG nicht als Subvention für ein günstigeres Angebot am Markt, sondern als Ausgleich für eine gemeinwirtschaftliche Verpflichtung — die Bildungsversorgung einer gesellschaftlichen Gruppe, die der Markt nicht bedient. Dies ist dieselbe Logik, nach der Steuermittel in die Volkshochschule, den ÖPNV oder die Grundversorgung fließen. Die OUG ist keine Konkurrenz zu privaten Hochschulen — sie bedient einen anderen Teil der Gesellschaft, der bisher gar nicht bedient wird. Jeder Steuereuro, der in die OUG fließt, ersetzt keinen Steuereuro, der in bestehende Hochschulen fließt.</w:t>
            </w:r>
          </w:p>
        </w:tc>
      </w:tr>
      <w:tr>
        <w:tc>
          <w:tcPr>
            <w:tcW w:type="dxa" w:w="9026"/>
            <w:tcBorders>
              <w:top w:val="none"/>
              <w:left w:val="none"/>
              <w:bottom w:val="none"/>
              <w:right w:val="none"/>
            </w:tcBorders>
            <w:shd w:fill="EAF5EE" w:val="clear"/>
            <w:tcMar>
              <w:top w:type="dxa" w:w="90"/>
              <w:left w:type="dxa" w:w="200"/>
              <w:bottom w:type="dxa" w:w="90"/>
              <w:right w:type="dxa" w:w="160"/>
            </w:tcMar>
          </w:tcPr>
          <w:p>
            <w:pPr>
              <w:spacing w:after="35" w:before="0"/>
            </w:pPr>
            <w:r>
              <w:rPr>
                <w:rFonts w:ascii="Arial" w:cs="Arial" w:eastAsia="Arial" w:hAnsi="Arial"/>
                <w:b/>
                <w:bCs/>
                <w:caps/>
                <w:color w:val="1A5C4A"/>
                <w:sz w:val="14"/>
                <w:szCs w:val="14"/>
              </w:rPr>
              <w:t xml:space="preserve">Konkreter Ausdruck in der Praxis</w:t>
            </w:r>
          </w:p>
          <w:p>
            <w:pPr>
              <w:spacing w:after="0" w:before="0"/>
              <w:jc w:val="both"/>
            </w:pPr>
            <w:r>
              <w:rPr>
                <w:rFonts w:ascii="Georgia" w:cs="Georgia" w:eastAsia="Georgia" w:hAnsi="Georgia"/>
                <w:color w:val="1A1A1A"/>
                <w:sz w:val="22"/>
                <w:szCs w:val="22"/>
              </w:rPr>
              <w:t xml:space="preserve">Allgemeinwohlbericht ist öffentlich zugänglich und zeigt Reichweite und Wirkung für die Zielgruppe. Gemeinnützigkeitsstatus durch Finanzamtsbescheid dokumentiert. Keine Gewinnausschüttung an Gründer oder Anteilseigner — Vermögensbindung in der Satzung. Wirtschaftsprüferbericht bestätigt Mittelverwendung für gemeinnützige Zwecke.</w:t>
            </w:r>
          </w:p>
        </w:tc>
      </w:tr>
    </w:tbl>
    <w:p>
      <w:pPr>
        <w:spacing w:after="5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4A1A6B" w:val="clear"/>
            <w:tcMar>
              <w:top w:type="dxa" w:w="80"/>
              <w:left w:type="dxa" w:w="200"/>
              <w:bottom w:type="dxa" w:w="80"/>
              <w:right w:type="dxa" w:w="160"/>
            </w:tcMar>
          </w:tcPr>
          <w:p>
            <w:r>
              <w:rPr>
                <w:rFonts w:ascii="Georgia" w:cs="Georgia" w:eastAsia="Georgia" w:hAnsi="Georgia"/>
                <w:b/>
                <w:bCs/>
                <w:color w:val="FFFFFF"/>
                <w:sz w:val="24"/>
                <w:szCs w:val="24"/>
              </w:rPr>
              <w:t xml:space="preserve">Governance — Hochschulrat und Senat</w:t>
            </w:r>
          </w:p>
        </w:tc>
      </w:tr>
      <w:tr>
        <w:tc>
          <w:tcPr>
            <w:tcW w:type="dxa" w:w="9026"/>
            <w:tcBorders>
              <w:top w:val="none"/>
              <w:left w:val="none"/>
              <w:bottom w:val="none"/>
              <w:right w:val="none"/>
            </w:tcBorders>
            <w:shd w:fill="FFFFFF" w:val="clear"/>
            <w:tcMar>
              <w:top w:type="dxa" w:w="90"/>
              <w:left w:type="dxa" w:w="200"/>
              <w:bottom w:type="dxa" w:w="90"/>
              <w:right w:type="dxa" w:w="160"/>
            </w:tcMar>
          </w:tcPr>
          <w:p>
            <w:pPr>
              <w:spacing w:after="35" w:before="0"/>
            </w:pPr>
            <w:r>
              <w:rPr>
                <w:rFonts w:ascii="Arial" w:cs="Arial" w:eastAsia="Arial" w:hAnsi="Arial"/>
                <w:b/>
                <w:bCs/>
                <w:caps/>
                <w:color w:val="2E75B6"/>
                <w:sz w:val="14"/>
                <w:szCs w:val="14"/>
              </w:rPr>
              <w:t xml:space="preserve">Was die Allgemeinwohlkonstituierung bedeutet</w:t>
            </w:r>
          </w:p>
          <w:p>
            <w:pPr>
              <w:spacing w:after="0" w:before="0"/>
              <w:jc w:val="both"/>
            </w:pPr>
            <w:r>
              <w:rPr>
                <w:rFonts w:ascii="Georgia" w:cs="Georgia" w:eastAsia="Georgia" w:hAnsi="Georgia"/>
                <w:color w:val="1A1A1A"/>
                <w:sz w:val="22"/>
                <w:szCs w:val="22"/>
              </w:rPr>
              <w:t xml:space="preserve">Die Allgemeinwohlkonstituierung ist keine externe Verpflichtung, die der OUG auferlegt wird. Sie ist das institutionelle Selbstverständnis, das in jeder Governance-Entscheidung zum Ausdruck kommen muss. Der Hochschulrat (G1) ist der Hüter des Allgemeinwolhmandats: Er prüft jährlich, ob die Institution noch das tut, wofür sie gegründet wurde — und hat die Pflicht und die Legitimation einzuschreiten, wenn das Mandat gefährdet ist. Der Senat (G3) setzt das Mandat in akademische Qualität um: Wer studiert und was sie lernen, muss dem Allgemeinwohlauftrag entsprechen.</w:t>
            </w:r>
          </w:p>
        </w:tc>
      </w:tr>
      <w:tr>
        <w:tc>
          <w:tcPr>
            <w:tcW w:type="dxa" w:w="9026"/>
            <w:tcBorders>
              <w:top w:val="none"/>
              <w:left w:val="none"/>
              <w:bottom w:val="none"/>
              <w:right w:val="none"/>
            </w:tcBorders>
            <w:shd w:fill="EAF5EE" w:val="clear"/>
            <w:tcMar>
              <w:top w:type="dxa" w:w="90"/>
              <w:left w:type="dxa" w:w="200"/>
              <w:bottom w:type="dxa" w:w="90"/>
              <w:right w:type="dxa" w:w="160"/>
            </w:tcMar>
          </w:tcPr>
          <w:p>
            <w:pPr>
              <w:spacing w:after="35" w:before="0"/>
            </w:pPr>
            <w:r>
              <w:rPr>
                <w:rFonts w:ascii="Arial" w:cs="Arial" w:eastAsia="Arial" w:hAnsi="Arial"/>
                <w:b/>
                <w:bCs/>
                <w:caps/>
                <w:color w:val="1A5C4A"/>
                <w:sz w:val="14"/>
                <w:szCs w:val="14"/>
              </w:rPr>
              <w:t xml:space="preserve">Konkreter Ausdruck in der Praxis</w:t>
            </w:r>
          </w:p>
          <w:p>
            <w:pPr>
              <w:spacing w:after="0" w:before="0"/>
              <w:jc w:val="both"/>
            </w:pPr>
            <w:r>
              <w:rPr>
                <w:rFonts w:ascii="Georgia" w:cs="Georgia" w:eastAsia="Georgia" w:hAnsi="Georgia"/>
                <w:color w:val="1A1A1A"/>
                <w:sz w:val="22"/>
                <w:szCs w:val="22"/>
              </w:rPr>
              <w:t xml:space="preserve">Allgemeinwohlprüfung ist Pflichtpunkt der jährlichen G1-Sitzung. Satzung enthält Allgemeinwohlzweck als änderungsresistente Kernklausel (Satzungsänderung erfordert Zustimmung des Ministeriums). Hochschulrat muss bei Zielgruppenabweichung aktiv werden. Senat hat Vetorecht gegen akademische Entscheidungen, die dem Allgemeinwohlauftrag widersprechen.</w:t>
            </w:r>
          </w:p>
        </w:tc>
      </w:tr>
    </w:tbl>
    <w:p>
      <w:pPr>
        <w:spacing w:after="200" w:before="0"/>
      </w:pPr>
    </w:p>
    <w:p>
      <w:pPr>
        <w:pBdr>
          <w:bottom w:val="single" w:color="CCCCCC" w:sz="2" w:space="1"/>
        </w:pBdr>
        <w:spacing w:after="200" w:before="200"/>
      </w:pPr>
    </w:p>
    <w:p>
      <w:pPr>
        <w:pStyle w:val="Heading1"/>
        <w:spacing w:after="140" w:before="480"/>
      </w:pPr>
      <w:r>
        <w:rPr>
          <w:rFonts w:ascii="Georgia" w:cs="Georgia" w:eastAsia="Georgia" w:hAnsi="Georgia"/>
          <w:b/>
          <w:bCs/>
          <w:color w:val="1F3864"/>
          <w:sz w:val="30"/>
          <w:szCs w:val="30"/>
        </w:rPr>
        <w:t xml:space="preserve">VII.  Schutz vor Wettbewerbsklagen privater Anbieter</w:t>
      </w:r>
    </w:p>
    <w:p>
      <w:pPr>
        <w:spacing w:after="185" w:before="0"/>
        <w:jc w:val="both"/>
      </w:pPr>
      <w:r>
        <w:rPr>
          <w:rFonts w:ascii="Georgia" w:cs="Georgia" w:eastAsia="Georgia" w:hAnsi="Georgia"/>
          <w:b w:val="false"/>
          <w:bCs w:val="false"/>
          <w:i w:val="false"/>
          <w:iCs w:val="false"/>
          <w:color w:val="1A1A1A"/>
          <w:sz w:val="23"/>
          <w:szCs w:val="23"/>
        </w:rPr>
        <w:t xml:space="preserve">Das wahrscheinlichste Angriffsszenario ist eine Klage privater Hochschulanbieter — insbesondere großer Online-Hochschulen — die argumentieren, dass die OUG durch öffentliche Förderung einen Preis anbietet, der ihre Wettbewerbsfähigkeit beeinträchtigt. Dieses Szenario ist ernst zu nehmen und die OUG ist darauf vorbereitet.</w:t>
      </w:r>
    </w:p>
    <w:p>
      <w:pPr>
        <w:pStyle w:val="Heading3"/>
        <w:spacing w:after="70" w:before="220"/>
      </w:pPr>
      <w:r>
        <w:rPr>
          <w:rFonts w:ascii="Arial" w:cs="Arial" w:eastAsia="Arial" w:hAnsi="Arial"/>
          <w:b/>
          <w:bCs/>
          <w:color w:val="1A5C4A"/>
          <w:sz w:val="21"/>
          <w:szCs w:val="21"/>
        </w:rPr>
        <w:t xml:space="preserve">Das strukturelle Gegenargument: kein gemeinsamer Markt</w:t>
      </w:r>
    </w:p>
    <w:p>
      <w:pPr>
        <w:spacing w:after="185" w:before="0"/>
        <w:jc w:val="both"/>
      </w:pPr>
      <w:r>
        <w:rPr>
          <w:rFonts w:ascii="Georgia" w:cs="Georgia" w:eastAsia="Georgia" w:hAnsi="Georgia"/>
          <w:b w:val="false"/>
          <w:bCs w:val="false"/>
          <w:i w:val="false"/>
          <w:iCs w:val="false"/>
          <w:color w:val="1A1A1A"/>
          <w:sz w:val="23"/>
          <w:szCs w:val="23"/>
        </w:rPr>
        <w:t xml:space="preserve">Wettbewerbsrecht schützt Märkte, nicht Preise. Wettbewerbsverzerrung setzt voraus, dass OUG und privater Anbieter denselben Markt bedienen. Die OUG bedient strukturell eine andere Zielgruppe: Menschen die sich das private Angebot nicht leisten können oder wollen und die das öffentliche Angebot nicht nutzen können. Es gibt keine Marktüberschneidung, also keine Wettbewerbsverzerrung. Dieses Argument ist in der Rechtsprechung zu Volkshochschulen und öffentlichen Weiterbildungseinrichtungen vielfach bestätigt worden.</w:t>
      </w:r>
    </w:p>
    <w:p>
      <w:pPr>
        <w:pStyle w:val="Heading3"/>
        <w:spacing w:after="70" w:before="220"/>
      </w:pPr>
      <w:r>
        <w:rPr>
          <w:rFonts w:ascii="Arial" w:cs="Arial" w:eastAsia="Arial" w:hAnsi="Arial"/>
          <w:b/>
          <w:bCs/>
          <w:color w:val="1A5C4A"/>
          <w:sz w:val="21"/>
          <w:szCs w:val="21"/>
        </w:rPr>
        <w:t xml:space="preserve">Das prozessuale Gegenargument: Betrauungsakt und DAWI-Konformität</w:t>
      </w:r>
    </w:p>
    <w:p>
      <w:pPr>
        <w:spacing w:after="185" w:before="0"/>
        <w:jc w:val="both"/>
      </w:pPr>
      <w:r>
        <w:rPr>
          <w:rFonts w:ascii="Georgia" w:cs="Georgia" w:eastAsia="Georgia" w:hAnsi="Georgia"/>
          <w:b w:val="false"/>
          <w:bCs w:val="false"/>
          <w:i w:val="false"/>
          <w:iCs w:val="false"/>
          <w:color w:val="1A1A1A"/>
          <w:sz w:val="23"/>
          <w:szCs w:val="23"/>
        </w:rPr>
        <w:t xml:space="preserve">Wenn dennoch eine Beihilfeklage erhoben wird, ist der Betrauungsakt der entscheidende Schutzschild. Er dokumentiert, dass die OUG nicht als Wettbewerbsteilnehmer agiert, sondern als Erfüllerin einer öffentlichen Aufgabe die der Markt nicht erfüllt. Klagen gegen DAWI-konforme öffentliche Förderung sind vor europäischen Gerichten selten erfolgreich, wenn die formellen Anforderungen — Betrauungsakt, Verhältnismäßigkeit, Transparenz — eingehalten wurden.</w:t>
      </w:r>
    </w:p>
    <w:p>
      <w:pPr>
        <w:pStyle w:val="Heading3"/>
        <w:spacing w:after="70" w:before="220"/>
      </w:pPr>
      <w:r>
        <w:rPr>
          <w:rFonts w:ascii="Arial" w:cs="Arial" w:eastAsia="Arial" w:hAnsi="Arial"/>
          <w:b/>
          <w:bCs/>
          <w:color w:val="1A5C4A"/>
          <w:sz w:val="21"/>
          <w:szCs w:val="21"/>
        </w:rPr>
        <w:t xml:space="preserve">Das präventive Gegenargument: Transparenz als Schutz</w:t>
      </w:r>
    </w:p>
    <w:p>
      <w:pPr>
        <w:spacing w:after="185" w:before="0"/>
        <w:jc w:val="both"/>
      </w:pPr>
      <w:r>
        <w:rPr>
          <w:rFonts w:ascii="Georgia" w:cs="Georgia" w:eastAsia="Georgia" w:hAnsi="Georgia"/>
          <w:b w:val="false"/>
          <w:bCs w:val="false"/>
          <w:i w:val="false"/>
          <w:iCs w:val="false"/>
          <w:color w:val="1A1A1A"/>
          <w:sz w:val="23"/>
          <w:szCs w:val="23"/>
        </w:rPr>
        <w:t xml:space="preserve">Die OUG veröffentlicht ihre Kostenstruktur, ihren Allgemeinwohlbericht und die Grundlagen der Kostenbeitragsberechnung. Wer öffentlich Auskunft gibt, kann nicht verdeckt subventionieren. Diese Transparenz ist nicht nur rechtlich erforderlich — sie ist auch die stärkste präventive Abschreckung gegen unberechtigte Klagen.</w:t>
      </w:r>
    </w:p>
    <w:p>
      <w:pPr>
        <w:spacing w:after="200" w:before="0"/>
      </w:pPr>
    </w:p>
    <w:p>
      <w:pPr>
        <w:pBdr>
          <w:bottom w:val="single" w:color="CCCCCC" w:sz="2" w:space="1"/>
        </w:pBdr>
        <w:spacing w:after="200" w:before="200"/>
      </w:pPr>
    </w:p>
    <w:p>
      <w:pPr>
        <w:pStyle w:val="Heading1"/>
        <w:spacing w:after="140" w:before="480"/>
      </w:pPr>
      <w:r>
        <w:rPr>
          <w:rFonts w:ascii="Georgia" w:cs="Georgia" w:eastAsia="Georgia" w:hAnsi="Georgia"/>
          <w:b/>
          <w:bCs/>
          <w:color w:val="1F3864"/>
          <w:sz w:val="30"/>
          <w:szCs w:val="30"/>
        </w:rPr>
        <w:t xml:space="preserve">VIII.  Fazit — Die Allgemeinwohlverfassung als institutionelles Fundament</w:t>
      </w:r>
    </w:p>
    <w:p>
      <w:pPr>
        <w:spacing w:after="185" w:before="0"/>
        <w:jc w:val="both"/>
      </w:pPr>
      <w:r>
        <w:rPr>
          <w:rFonts w:ascii="Georgia" w:cs="Georgia" w:eastAsia="Georgia" w:hAnsi="Georgia"/>
          <w:b w:val="false"/>
          <w:bCs w:val="false"/>
          <w:i w:val="false"/>
          <w:iCs w:val="false"/>
          <w:color w:val="1A1A1A"/>
          <w:sz w:val="23"/>
          <w:szCs w:val="23"/>
        </w:rPr>
        <w:t xml:space="preserve">Die Konstituierung der OUG als Einrichtung des Allgemeinwohls ist nicht eine von mehreren strategischen Optionen. Sie ist das einzige rechtlich tragfähige Fundament für das, was die OUG sein will: eine öffentliche Hochschule für Menschen, die das bestehende System nicht erreicht, finanziert durch eine Kombination aus öffentlicher Förderung, Kostenbeiträgen der Lernenden und Ressourcen aus der Hochschulföderierung, zu einem Preis, der diese Zielgruppe nicht ausschließt.</w:t>
      </w:r>
    </w:p>
    <w:p>
      <w:pPr>
        <w:spacing w:after="185" w:before="0"/>
        <w:jc w:val="both"/>
      </w:pPr>
      <w:r>
        <w:rPr>
          <w:rFonts w:ascii="Georgia" w:cs="Georgia" w:eastAsia="Georgia" w:hAnsi="Georgia"/>
          <w:b w:val="false"/>
          <w:bCs w:val="false"/>
          <w:i w:val="false"/>
          <w:iCs w:val="false"/>
          <w:color w:val="1A1A1A"/>
          <w:sz w:val="23"/>
          <w:szCs w:val="23"/>
        </w:rPr>
        <w:t xml:space="preserve">Jede Alternative — die OUG als wirtschaftliches Unternehmen zu konstituieren, das günstig anbietet — würde das Modell sowohl beihilferechtlich als auch wettbewerbsrechtlich angreifbar machen. Die Allgemeinwohlverfassung ist der einzige Weg, auf dem €25/ECTS, öffentliche Förderung, und Föderationsressourcen gleichzeitig legal, transparent und dauerhaft möglich sind.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left w:val="none"/>
              <w:bottom w:val="none"/>
              <w:right w:val="none"/>
            </w:tcBorders>
            <w:shd w:fill="1A5C4A" w:val="clear"/>
            <w:tcMar>
              <w:top w:type="dxa" w:w="0"/>
              <w:left w:type="dxa" w:w="0"/>
              <w:bottom w:type="dxa" w:w="0"/>
              <w:right w:type="dxa" w:w="0"/>
            </w:tcMar>
          </w:tcPr>
          <w:p/>
        </w:tc>
        <w:tc>
          <w:tcPr>
            <w:tcW w:type="dxa" w:w="8826"/>
            <w:tcBorders>
              <w:top w:val="none"/>
              <w:left w:val="none"/>
              <w:bottom w:val="none"/>
              <w:right w:val="none"/>
            </w:tcBorders>
            <w:shd w:fill="F4F7FA" w:val="clear"/>
            <w:tcMar>
              <w:top w:type="dxa" w:w="160"/>
              <w:left w:type="dxa" w:w="280"/>
              <w:bottom w:type="dxa" w:w="160"/>
              <w:right w:type="dxa" w:w="200"/>
            </w:tcMar>
          </w:tcPr>
          <w:p>
            <w:pPr>
              <w:jc w:val="both"/>
            </w:pPr>
            <w:r>
              <w:rPr>
                <w:rFonts w:ascii="Georgia" w:cs="Georgia" w:eastAsia="Georgia" w:hAnsi="Georgia"/>
                <w:i/>
                <w:iCs/>
                <w:color w:val="1A1A1A"/>
                <w:sz w:val="23"/>
                <w:szCs w:val="23"/>
              </w:rPr>
              <w:t xml:space="preserve">Die OUG verkauft keine Bildung zu einem günstigen Preis. Sie ermöglicht Bildung durch eine Struktur, in der der Beitrag der Lernenden, die Ressourcen der Gemeinschaft, und der Auftrag des Staates zusammenwirken. Das ist keine Konstruktion — das ist die älteste Form der öffentlichen Bildungseinrichtung.</w:t>
            </w:r>
          </w:p>
        </w:tc>
      </w:tr>
    </w:tbl>
    <w:p>
      <w:pPr>
        <w:spacing w:after="2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none"/>
              <w:bottom w:val="none"/>
              <w:right w:val="none"/>
            </w:tcBorders>
            <w:shd w:fill="F4F7FA" w:val="clear"/>
            <w:tcMar>
              <w:top w:type="dxa" w:w="160"/>
              <w:left w:type="dxa" w:w="280"/>
              <w:bottom w:type="dxa" w:w="160"/>
              <w:right w:type="dxa" w:w="280"/>
            </w:tcMar>
          </w:tcPr>
          <w:p>
            <w:pPr>
              <w:spacing w:after="30" w:before="0"/>
            </w:pPr>
            <w:r>
              <w:rPr>
                <w:rFonts w:ascii="Arial" w:cs="Arial" w:eastAsia="Arial" w:hAnsi="Arial"/>
                <w:b/>
                <w:bCs/>
                <w:color w:val="7A4A00"/>
                <w:sz w:val="16"/>
                <w:szCs w:val="16"/>
              </w:rPr>
              <w:t xml:space="preserve">Zur Prüfung und Freigabe vor Akkreditierungseinreichung</w:t>
            </w:r>
          </w:p>
          <w:p>
            <w:pPr>
              <w:spacing w:after="0" w:before="0"/>
              <w:jc w:val="both"/>
            </w:pPr>
            <w:r>
              <w:rPr>
                <w:rFonts w:ascii="Georgia" w:cs="Georgia" w:eastAsia="Georgia" w:hAnsi="Georgia"/>
                <w:color w:val="1A1A1A"/>
                <w:sz w:val="21"/>
                <w:szCs w:val="21"/>
              </w:rPr>
              <w:t xml:space="preserve">Dieses Dokument muss vor der Einreichung im Akkreditierungsverfahren von einem spezialisierten Rechtsanwalt mit Kenntnissen im deutschen Hochschulrecht und im europäischen Beihilferecht geprüft und schriftlich bestätigt werden. Die dargelegte Rechtsargumentation ist nach bestem Wissen und Gewissen auf Basis der geltenden Rechtslage erstellt, ersetzt aber nicht die individuelle anwaltliche Beratung für den konkreten Einzelfall der OUG.</w:t>
            </w:r>
          </w:p>
        </w:tc>
      </w:tr>
    </w:tbl>
    <w:p>
      <w:pPr>
        <w:spacing w:after="200" w:before="0"/>
      </w:pPr>
    </w:p>
    <w:p>
      <w:pPr>
        <w:pBdr>
          <w:bottom w:val="single" w:color="2E75B6" w:sz="4" w:space="1"/>
        </w:pBdr>
        <w:spacing w:after="160" w:before="0"/>
      </w:pPr>
    </w:p>
    <w:p>
      <w:pPr>
        <w:spacing w:after="0" w:before="160"/>
        <w:jc w:val="right"/>
      </w:pPr>
      <w:r>
        <w:rPr>
          <w:rFonts w:ascii="Arial" w:cs="Arial" w:eastAsia="Arial" w:hAnsi="Arial"/>
          <w:i/>
          <w:iCs/>
          <w:color w:val="BBBBBB"/>
          <w:sz w:val="17"/>
          <w:szCs w:val="17"/>
        </w:rPr>
        <w:t xml:space="preserve">Open University of Germany  ·  Allgemeinwohlverfassung  ·  Gründungsdokument  ·  2026</w:t>
      </w:r>
    </w:p>
    <w:sectPr>
      <w:pgSz w:w="11906" w:h="16838" w:orient="portrait"/>
      <w:pgMar w:top="1300" w:right="1440" w:bottom="14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Georgia" w:cs="Georgia" w:eastAsia="Georgia" w:hAnsi="Georgia"/>
        <w:b/>
        <w:bCs/>
        <w:color w:val="2E75B6"/>
        <w:sz w:val="23"/>
        <w:szCs w:val="23"/>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80"/>
      <w:outlineLvl w:val="0"/>
    </w:pPr>
    <w:rPr>
      <w:rFonts w:ascii="Georgia" w:cs="Georgia" w:eastAsia="Georgia" w:hAnsi="Georgia"/>
      <w:b/>
      <w:bCs/>
      <w:color w:val="1F3864"/>
      <w:sz w:val="30"/>
      <w:szCs w:val="30"/>
    </w:rPr>
  </w:style>
  <w:style w:type="paragraph" w:styleId="Heading2">
    <w:name w:val="Heading 2"/>
    <w:basedOn w:val="Normal"/>
    <w:next w:val="Normal"/>
    <w:qFormat/>
    <w:pPr>
      <w:spacing w:after="100" w:before="320"/>
      <w:outlineLvl w:val="1"/>
    </w:pPr>
    <w:rPr>
      <w:rFonts w:ascii="Georgia" w:cs="Georgia" w:eastAsia="Georgia" w:hAnsi="Georgia"/>
      <w:b/>
      <w:bCs/>
      <w:color w:val="2E75B6"/>
      <w:sz w:val="25"/>
      <w:szCs w:val="25"/>
    </w:rPr>
  </w:style>
  <w:style w:type="paragraph" w:styleId="Heading3">
    <w:name w:val="Heading 3"/>
    <w:basedOn w:val="Normal"/>
    <w:next w:val="Normal"/>
    <w:qFormat/>
    <w:pPr>
      <w:spacing w:after="70" w:before="220"/>
      <w:outlineLvl w:val="2"/>
    </w:pPr>
    <w:rPr>
      <w:rFonts w:ascii="Arial" w:cs="Arial" w:eastAsia="Arial" w:hAnsi="Arial"/>
      <w:b/>
      <w:bCs/>
      <w:color w:val="1A5C4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2026-05-04T16:03:32.959Z</dcterms:created>
  <dcterms:modified xsi:type="dcterms:W3CDTF">2026-05-04T16:03:32.972Z</dcterms:modified>
</cp:coreProperties>
</file>

<file path=docProps/custom.xml><?xml version="1.0" encoding="utf-8"?>
<Properties xmlns="http://schemas.openxmlformats.org/officeDocument/2006/custom-properties" xmlns:vt="http://schemas.openxmlformats.org/officeDocument/2006/docPropsVTypes"/>
</file>