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Shared Compact  ·  Living Document  ·  2026</w:t>
      </w:r>
    </w:p>
    <w:p>
      <w:pPr>
        <w:pBdr>
          <w:bottom w:val="single" w:color="2E75B6" w:sz="10" w:space="1"/>
        </w:pBdr>
        <w:spacing w:before="0" w:after="280"/>
      </w:pPr>
    </w:p>
    <w:p>
      <w:pPr>
        <w:spacing w:before="0" w:after="80"/>
        <w:jc w:val="left"/>
      </w:pPr>
      <w:r>
        <w:rPr>
          <w:rFonts w:ascii="Georgia" w:cs="Georgia" w:eastAsia="Georgia" w:hAnsi="Georgia"/>
          <w:b/>
          <w:bCs/>
          <w:color w:val="0D1F3C"/>
          <w:sz w:val="52"/>
          <w:szCs w:val="52"/>
        </w:rPr>
        <w:t xml:space="preserve">Code of
Collegial Conduct</w:t>
      </w:r>
    </w:p>
    <w:p>
      <w:pPr>
        <w:spacing w:before="0" w:after="60"/>
        <w:jc w:val="left"/>
      </w:pPr>
      <w:r>
        <w:rPr>
          <w:rFonts w:ascii="Georgia" w:cs="Georgia" w:eastAsia="Georgia" w:hAnsi="Georgia"/>
          <w:i/>
          <w:iCs/>
          <w:color w:val="2E75B6"/>
          <w:sz w:val="24"/>
          <w:szCs w:val="24"/>
        </w:rPr>
        <w:t xml:space="preserve">A shared compact for everyone who participates in governing the Open University of Germany</w:t>
      </w:r>
    </w:p>
    <w:p>
      <w:pPr>
        <w:spacing w:before="0" w:after="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220"/>
              <w:left w:type="dxa" w:w="300"/>
              <w:bottom w:type="dxa" w:w="220"/>
              <w:right w:type="dxa" w:w="300"/>
            </w:tcMar>
          </w:tcPr>
          <w:p>
            <w:pPr>
              <w:spacing w:before="0" w:after="100"/>
              <w:jc w:val="both"/>
            </w:pPr>
            <w:r>
              <w:rPr>
                <w:rFonts w:ascii="Georgia" w:cs="Georgia" w:eastAsia="Georgia" w:hAnsi="Georgia"/>
                <w:b/>
                <w:bCs/>
                <w:color w:val="FFFFFF"/>
                <w:sz w:val="26"/>
                <w:szCs w:val="26"/>
              </w:rPr>
              <w:t xml:space="preserve">This is not a rulebook.</w:t>
            </w:r>
          </w:p>
          <w:p>
            <w:pPr>
              <w:spacing w:before="0" w:after="100"/>
              <w:jc w:val="both"/>
            </w:pPr>
            <w:r>
              <w:rPr>
                <w:rFonts w:ascii="Georgia" w:cs="Georgia" w:eastAsia="Georgia" w:hAnsi="Georgia"/>
                <w:i/>
                <w:iCs/>
                <w:color w:val="BBCCDD"/>
                <w:sz w:val="23"/>
                <w:szCs w:val="23"/>
              </w:rPr>
              <w:t xml:space="preserve">Rules describe the minimum acceptable behaviour. This compact describes the kind of institution we want to be — the way we want to treat each other, make decisions together, disagree constructively, and hold ourselves accountable not because we have to but because we believe it matters.</w:t>
            </w:r>
          </w:p>
          <w:p>
            <w:pPr>
              <w:spacing w:before="0" w:after="0"/>
              <w:jc w:val="both"/>
            </w:pPr>
            <w:r>
              <w:rPr>
                <w:rFonts w:ascii="Georgia" w:cs="Georgia" w:eastAsia="Georgia" w:hAnsi="Georgia"/>
                <w:color w:val="FFFFFF"/>
                <w:sz w:val="23"/>
                <w:szCs w:val="23"/>
              </w:rPr>
              <w:t xml:space="preserve">By signing this compact, you are not agreeing to a set of constraints. You are joining a community that holds itself to a standard — and agreeing to help each other maintain it.</w:t>
            </w:r>
          </w:p>
        </w:tc>
      </w:tr>
    </w:tbl>
    <w:p>
      <w:pPr>
        <w:spacing w:before="0" w:after="320"/>
      </w:pPr>
    </w:p>
    <w:p>
      <w:pPr>
        <w:pStyle w:val="Heading1"/>
        <w:spacing w:before="480" w:after="140"/>
      </w:pPr>
      <w:r>
        <w:rPr>
          <w:rFonts w:ascii="Georgia" w:cs="Georgia" w:eastAsia="Georgia" w:hAnsi="Georgia"/>
          <w:b/>
          <w:bCs/>
          <w:color w:val="1F3864"/>
          <w:sz w:val="30"/>
          <w:szCs w:val="30"/>
        </w:rPr>
        <w:t xml:space="preserve">Who Signs This Compact</w:t>
      </w:r>
    </w:p>
    <w:p>
      <w:pPr>
        <w:spacing w:before="0" w:after="185"/>
        <w:ind/>
        <w:jc w:val="both"/>
      </w:pPr>
      <w:r>
        <w:rPr>
          <w:rFonts w:ascii="Georgia" w:cs="Georgia" w:eastAsia="Georgia" w:hAnsi="Georgia"/>
          <w:b w:val="false"/>
          <w:bCs w:val="false"/>
          <w:i w:val="false"/>
          <w:iCs w:val="false"/>
          <w:color w:val="1A1A1A"/>
          <w:sz w:val="23"/>
          <w:szCs w:val="23"/>
        </w:rPr>
        <w:t xml:space="preserve">This compact is signed by every person who participates in the formal governance of the Open University of Germany — in any capacity, at any governance layer. This includes members of the G1 Constitutional Stewardship body, the G2 Governing Council, the Academic Senate and its committees, Mission Hubs, programme committees, the Doctoral Studies Committee, the Research Ethics Committee, and industrial governance members.</w:t>
      </w:r>
    </w:p>
    <w:p>
      <w:pPr>
        <w:spacing w:before="0" w:after="185"/>
        <w:ind/>
        <w:jc w:val="both"/>
      </w:pPr>
      <w:r>
        <w:rPr>
          <w:rFonts w:ascii="Georgia" w:cs="Georgia" w:eastAsia="Georgia" w:hAnsi="Georgia"/>
          <w:b w:val="false"/>
          <w:bCs w:val="false"/>
          <w:i w:val="false"/>
          <w:iCs w:val="false"/>
          <w:color w:val="1A1A1A"/>
          <w:sz w:val="23"/>
          <w:szCs w:val="23"/>
        </w:rPr>
        <w:t xml:space="preserve">It is signed at the moment of taking up a governance role and renewed at the start of each new term. It is not signed once and forgotten — it is a commitment that participants are expected to return to, particularly when governance is difficult or when the norms it describes are under pressure.</w:t>
      </w:r>
    </w:p>
    <w:p>
      <w:pPr>
        <w:spacing w:before="0" w:after="185"/>
        <w:ind/>
        <w:jc w:val="both"/>
      </w:pPr>
      <w:r>
        <w:rPr>
          <w:rFonts w:ascii="Georgia" w:cs="Georgia" w:eastAsia="Georgia" w:hAnsi="Georgia"/>
          <w:b w:val="false"/>
          <w:bCs w:val="false"/>
          <w:i w:val="false"/>
          <w:iCs w:val="false"/>
          <w:color w:val="1A1A1A"/>
          <w:sz w:val="23"/>
          <w:szCs w:val="23"/>
        </w:rPr>
        <w:t xml:space="preserve">Students in governance roles sign this compact. Academic contributors from partner institutions in governance roles sign this compact. Industrial governance members sign this compact. The Rector signs this compact. There is no governance role at OUG that is above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Collegial governance is not a culture that develops on its own. It is a culture that is actively constructed — by the choices people make in rooms and in message threads, by what they say and what they refuse to say, by how they respond when someone else falls short of this compact's commitments. You are not just agreeing to follow norms. You are agreeing to help create them.</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Why This Compact Exists</w:t>
      </w:r>
    </w:p>
    <w:p>
      <w:pPr>
        <w:spacing w:before="0" w:after="185"/>
        <w:ind/>
        <w:jc w:val="both"/>
      </w:pPr>
      <w:r>
        <w:rPr>
          <w:rFonts w:ascii="Georgia" w:cs="Georgia" w:eastAsia="Georgia" w:hAnsi="Georgia"/>
          <w:b w:val="false"/>
          <w:bCs w:val="false"/>
          <w:i w:val="false"/>
          <w:iCs w:val="false"/>
          <w:color w:val="1A1A1A"/>
          <w:sz w:val="23"/>
          <w:szCs w:val="23"/>
        </w:rPr>
        <w:t xml:space="preserve">The OUG is a distributed institution. Its governance participants are spread across partner universities, cities, and countries. Many governance interactions happen online — in writing, asynchronously, without the social cues that help people regulate their behaviour in physical rooms. This creates specific risks that a traditional on-campus institution faces less acutely.</w:t>
      </w:r>
    </w:p>
    <w:p>
      <w:pPr>
        <w:spacing w:before="0" w:after="185"/>
        <w:ind/>
        <w:jc w:val="both"/>
      </w:pPr>
      <w:r>
        <w:rPr>
          <w:rFonts w:ascii="Georgia" w:cs="Georgia" w:eastAsia="Georgia" w:hAnsi="Georgia"/>
          <w:b w:val="false"/>
          <w:bCs w:val="false"/>
          <w:i w:val="false"/>
          <w:iCs w:val="false"/>
          <w:color w:val="1A1A1A"/>
          <w:sz w:val="23"/>
          <w:szCs w:val="23"/>
        </w:rPr>
        <w:t xml:space="preserve">In distributed governance, hierarchy is harder to see and therefore easier to reproduce informally. Status differences that would be moderated by physical proximity and shared culture can calcify in written communication. A senior contributor's email carries weight that they may not intend and that the recipient may not be able to push back against. Disagreement is harder to express asynchronously. Silence looks like consent.</w:t>
      </w:r>
    </w:p>
    <w:p>
      <w:pPr>
        <w:spacing w:before="0" w:after="185"/>
        <w:ind/>
        <w:jc w:val="both"/>
      </w:pPr>
      <w:r>
        <w:rPr>
          <w:rFonts w:ascii="Georgia" w:cs="Georgia" w:eastAsia="Georgia" w:hAnsi="Georgia"/>
          <w:b w:val="false"/>
          <w:bCs w:val="false"/>
          <w:i w:val="false"/>
          <w:iCs w:val="false"/>
          <w:color w:val="1A1A1A"/>
          <w:sz w:val="23"/>
          <w:szCs w:val="23"/>
        </w:rPr>
        <w:t xml:space="preserve">This compact names these risks directly and provides shared language for addressing them. It does not pretend that collegial governance is easy or natural. It acknowledges that it is a continuous practice — one that requires the active participation of everyone in the governance community, including and especially those with the most institutional authority.</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The Eight Commitments</w:t>
      </w:r>
    </w:p>
    <w:p>
      <w:pPr>
        <w:spacing w:before="0" w:after="185"/>
        <w:ind/>
        <w:jc w:val="both"/>
      </w:pPr>
      <w:r>
        <w:rPr>
          <w:rFonts w:ascii="Georgia" w:cs="Georgia" w:eastAsia="Georgia" w:hAnsi="Georgia"/>
          <w:b w:val="false"/>
          <w:bCs w:val="false"/>
          <w:i w:val="false"/>
          <w:iCs w:val="false"/>
          <w:color w:val="1A1A1A"/>
          <w:sz w:val="23"/>
          <w:szCs w:val="23"/>
        </w:rPr>
        <w:t xml:space="preserve">Each commitment is written as a shared first-person statement — we, not you or they. This is deliberate. These are not expectations placed on others; they are obligations that every signatory takes on themselves.</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1.  </w:t>
            </w:r>
            <w:r>
              <w:rPr>
                <w:rFonts w:ascii="Georgia" w:cs="Georgia" w:eastAsia="Georgia" w:hAnsi="Georgia"/>
                <w:b/>
                <w:bCs/>
                <w:color w:val="FFFFFF"/>
                <w:sz w:val="21"/>
                <w:szCs w:val="21"/>
              </w:rPr>
              <w:t xml:space="preserve">We govern for the institution, not for ourselves</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We hold our governance roles as a responsibility to the OUG's mission and to its community — students, academic contributors, partner institutions, and staff. When we make decisions, we ask: what serves the institution? not: what serves my interests, my discipline, or my reputation? We declare conflicts of interest promptly and step back from decisions where they exist.</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use governance roles to advance personal agendas, to reward allies, to disadvantage colleagues, or to accumulate influence beyond what our mandate requires. We do not conflate our personal preferences with institutional needs.</w:t>
            </w:r>
          </w:p>
        </w:tc>
      </w:tr>
      <w:tr>
        <w:tc>
          <w:tcPr>
            <w:tcW w:type="dxa" w:w="9026"/>
            <w:tcBorders>
              <w:top w:val="none"/>
              <w:left w:val="none"/>
              <w:bottom w:val="none"/>
              <w:right w:val="none"/>
            </w:tcBorders>
            <w:shd w:fill="EEF5EE" w:val="clear"/>
            <w:tcMar>
              <w:top w:type="dxa" w:w="90"/>
              <w:left w:type="dxa" w:w="220"/>
              <w:bottom w:type="dxa" w:w="100"/>
              <w:right w:type="dxa" w:w="180"/>
            </w:tcMar>
          </w:tcPr>
          <w:p>
            <w:pPr>
              <w:spacing w:before="0" w:after="50"/>
            </w:pPr>
            <w:r>
              <w:rPr>
                <w:rFonts w:ascii="Arial" w:cs="Arial" w:eastAsia="Arial" w:hAnsi="Arial"/>
                <w:b/>
                <w:bCs/>
                <w:caps/>
                <w:color w:val="1A5C4A"/>
                <w:sz w:val="16"/>
                <w:szCs w:val="16"/>
              </w:rPr>
              <w:t xml:space="preserve">In digital and distributed contexts</w:t>
            </w:r>
          </w:p>
          <w:p>
            <w:pPr>
              <w:spacing w:before="0" w:after="0"/>
              <w:jc w:val="both"/>
            </w:pPr>
            <w:r>
              <w:rPr>
                <w:rFonts w:ascii="Georgia" w:cs="Georgia" w:eastAsia="Georgia" w:hAnsi="Georgia"/>
                <w:color w:val="1A1A1A"/>
                <w:sz w:val="22"/>
                <w:szCs w:val="22"/>
              </w:rPr>
              <w:t xml:space="preserve">We do not allow asynchronous communication to obscure conflicts of interest. If a written discussion touches on an area where we have a personal stake, we declare it as clearly in writing as we would in a room.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2.  </w:t>
            </w:r>
            <w:r>
              <w:rPr>
                <w:rFonts w:ascii="Georgia" w:cs="Georgia" w:eastAsia="Georgia" w:hAnsi="Georgia"/>
                <w:b/>
                <w:bCs/>
                <w:color w:val="FFFFFF"/>
                <w:sz w:val="21"/>
                <w:szCs w:val="21"/>
              </w:rPr>
              <w:t xml:space="preserve">We treat every voice as worth hearing</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We create conditions in which every member of a governance body can contribute — regardless of seniority, institutional affiliation, cultural background, or communication style. We notice when voices are absent and ask why. We are aware that authority differentials in the room (or in the thread) affect who speaks and who doesn't, and we actively counter this rather than passively accepting it.</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talk over people. We do not dismiss contributions without engaging with them. We do not allow governance discussions to become dominated by the most senior, the most confident, or the most persistent voices. We do not use procedural mechanisms to silence dissent.</w:t>
            </w:r>
          </w:p>
        </w:tc>
      </w:tr>
      <w:tr>
        <w:tc>
          <w:tcPr>
            <w:tcW w:type="dxa" w:w="9026"/>
            <w:tcBorders>
              <w:top w:val="none"/>
              <w:left w:val="none"/>
              <w:bottom w:val="none"/>
              <w:right w:val="none"/>
            </w:tcBorders>
            <w:shd w:fill="EEF5EE" w:val="clear"/>
            <w:tcMar>
              <w:top w:type="dxa" w:w="90"/>
              <w:left w:type="dxa" w:w="220"/>
              <w:bottom w:type="dxa" w:w="100"/>
              <w:right w:type="dxa" w:w="180"/>
            </w:tcMar>
          </w:tcPr>
          <w:p>
            <w:pPr>
              <w:spacing w:before="0" w:after="50"/>
            </w:pPr>
            <w:r>
              <w:rPr>
                <w:rFonts w:ascii="Arial" w:cs="Arial" w:eastAsia="Arial" w:hAnsi="Arial"/>
                <w:b/>
                <w:bCs/>
                <w:caps/>
                <w:color w:val="1A5C4A"/>
                <w:sz w:val="16"/>
                <w:szCs w:val="16"/>
              </w:rPr>
              <w:t xml:space="preserve">In digital and distributed contexts</w:t>
            </w:r>
          </w:p>
          <w:p>
            <w:pPr>
              <w:spacing w:before="0" w:after="0"/>
              <w:jc w:val="both"/>
            </w:pPr>
            <w:r>
              <w:rPr>
                <w:rFonts w:ascii="Georgia" w:cs="Georgia" w:eastAsia="Georgia" w:hAnsi="Georgia"/>
                <w:color w:val="1A1A1A"/>
                <w:sz w:val="22"/>
                <w:szCs w:val="22"/>
              </w:rPr>
              <w:t xml:space="preserve">We are especially attentive to participation equity in written governance. A message thread in which only two or three people are speaking is not collegial governance — it is an informal decision being ratified after the fact. We actively invite participation from those who have not yet contributed.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3.  </w:t>
            </w:r>
            <w:r>
              <w:rPr>
                <w:rFonts w:ascii="Georgia" w:cs="Georgia" w:eastAsia="Georgia" w:hAnsi="Georgia"/>
                <w:b/>
                <w:bCs/>
                <w:color w:val="FFFFFF"/>
                <w:sz w:val="21"/>
                <w:szCs w:val="21"/>
              </w:rPr>
              <w:t xml:space="preserve">We disagree through argument, not authority</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When we believe a decision is wrong, we say so — clearly, specifically, and through reasoned argument. We distinguish our objections from the person proposing an idea. We welcome being challenged and try to respond to challenges with the same quality of argument we want others to bring to ours. We change our minds when the argument warrants it, and we say so when we do.</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invoke seniority, title, or institutional position as a substitute for argument. We do not express disagreement through indirection, passive obstruction, or social pressure rather than direct engagement. We do not punish people — explicitly or implicitly — for disagreeing with us.</w:t>
            </w:r>
          </w:p>
        </w:tc>
      </w:tr>
      <w:tr>
        <w:tc>
          <w:tcPr>
            <w:tcW w:type="dxa" w:w="9026"/>
            <w:tcBorders>
              <w:top w:val="none"/>
              <w:left w:val="none"/>
              <w:bottom w:val="none"/>
              <w:right w:val="none"/>
            </w:tcBorders>
            <w:shd w:fill="EEF5EE" w:val="clear"/>
            <w:tcMar>
              <w:top w:type="dxa" w:w="90"/>
              <w:left w:type="dxa" w:w="220"/>
              <w:bottom w:type="dxa" w:w="100"/>
              <w:right w:type="dxa" w:w="180"/>
            </w:tcMar>
          </w:tcPr>
          <w:p>
            <w:pPr>
              <w:spacing w:before="0" w:after="50"/>
            </w:pPr>
            <w:r>
              <w:rPr>
                <w:rFonts w:ascii="Arial" w:cs="Arial" w:eastAsia="Arial" w:hAnsi="Arial"/>
                <w:b/>
                <w:bCs/>
                <w:caps/>
                <w:color w:val="1A5C4A"/>
                <w:sz w:val="16"/>
                <w:szCs w:val="16"/>
              </w:rPr>
              <w:t xml:space="preserve">In digital and distributed contexts</w:t>
            </w:r>
          </w:p>
          <w:p>
            <w:pPr>
              <w:spacing w:before="0" w:after="0"/>
              <w:jc w:val="both"/>
            </w:pPr>
            <w:r>
              <w:rPr>
                <w:rFonts w:ascii="Georgia" w:cs="Georgia" w:eastAsia="Georgia" w:hAnsi="Georgia"/>
                <w:color w:val="1A1A1A"/>
                <w:sz w:val="22"/>
                <w:szCs w:val="22"/>
              </w:rPr>
              <w:t xml:space="preserve">We are particularly careful in written disagreement. The absence of tone in written communication means that strong disagreement reads as more aggressive than it would in person. We read our messages before sending them and ask: would I say this the same way in a room?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4.  </w:t>
            </w:r>
            <w:r>
              <w:rPr>
                <w:rFonts w:ascii="Georgia" w:cs="Georgia" w:eastAsia="Georgia" w:hAnsi="Georgia"/>
                <w:b/>
                <w:bCs/>
                <w:color w:val="FFFFFF"/>
                <w:sz w:val="21"/>
                <w:szCs w:val="21"/>
              </w:rPr>
              <w:t xml:space="preserve">We keep confidence and are honest about what we cannot share</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What is discussed in closed governance sessions stays in those sessions unless the governance body has explicitly agreed that it may be shared. We do not leak, not because we are required not to, but because leaking damages the trust that makes honest governance conversation possible. When asked about something we cannot share, we say we cannot share it rather than deflecting or misleading.</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share confidential governance material with people outside the relevant governance body. We do not use confidential information for personal advantage. We do not pretend that public information is confidential in order to manage a narrative.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5.  </w:t>
            </w:r>
            <w:r>
              <w:rPr>
                <w:rFonts w:ascii="Georgia" w:cs="Georgia" w:eastAsia="Georgia" w:hAnsi="Georgia"/>
                <w:b/>
                <w:bCs/>
                <w:color w:val="FFFFFF"/>
                <w:sz w:val="21"/>
                <w:szCs w:val="21"/>
              </w:rPr>
              <w:t xml:space="preserve">We raise concerns through governance channels</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When we observe conduct that falls below the standards of this compact — whether by a peer, a superior, or ourselves — we engage with it. We raise concerns through the institutional channels provided: the Governance Mentor, the Academic Senate Chair, the Rector, or the confidential reporting mechanism. We do not raise concerns only in private, only after the fact, or only to people who cannot act on them.</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stay silent when we see something wrong because speaking up is uncomfortable. We do not raise concerns through informal channels (gossip, private lobbying, external commentary) when institutional channels are available. We do not retaliate against people who raise concerns about our conduct.</w:t>
            </w:r>
          </w:p>
        </w:tc>
      </w:tr>
      <w:tr>
        <w:tc>
          <w:tcPr>
            <w:tcW w:type="dxa" w:w="9026"/>
            <w:tcBorders>
              <w:top w:val="none"/>
              <w:left w:val="none"/>
              <w:bottom w:val="none"/>
              <w:right w:val="none"/>
            </w:tcBorders>
            <w:shd w:fill="EEF5EE" w:val="clear"/>
            <w:tcMar>
              <w:top w:type="dxa" w:w="90"/>
              <w:left w:type="dxa" w:w="220"/>
              <w:bottom w:type="dxa" w:w="100"/>
              <w:right w:type="dxa" w:w="180"/>
            </w:tcMar>
          </w:tcPr>
          <w:p>
            <w:pPr>
              <w:spacing w:before="0" w:after="50"/>
            </w:pPr>
            <w:r>
              <w:rPr>
                <w:rFonts w:ascii="Arial" w:cs="Arial" w:eastAsia="Arial" w:hAnsi="Arial"/>
                <w:b/>
                <w:bCs/>
                <w:caps/>
                <w:color w:val="1A5C4A"/>
                <w:sz w:val="16"/>
                <w:szCs w:val="16"/>
              </w:rPr>
              <w:t xml:space="preserve">In digital and distributed contexts</w:t>
            </w:r>
          </w:p>
          <w:p>
            <w:pPr>
              <w:spacing w:before="0" w:after="0"/>
              <w:jc w:val="both"/>
            </w:pPr>
            <w:r>
              <w:rPr>
                <w:rFonts w:ascii="Georgia" w:cs="Georgia" w:eastAsia="Georgia" w:hAnsi="Georgia"/>
                <w:color w:val="1A1A1A"/>
                <w:sz w:val="22"/>
                <w:szCs w:val="22"/>
              </w:rPr>
              <w:t xml:space="preserve">We are aware that concerns raised in writing carry a permanence that spoken concerns do not. We are careful to raise concerns through private institutional channels before making them part of a written governance record, unless the severity or urgency of the concern requires immediate documentation.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6.  </w:t>
            </w:r>
            <w:r>
              <w:rPr>
                <w:rFonts w:ascii="Georgia" w:cs="Georgia" w:eastAsia="Georgia" w:hAnsi="Georgia"/>
                <w:b/>
                <w:bCs/>
                <w:color w:val="FFFFFF"/>
                <w:sz w:val="21"/>
                <w:szCs w:val="21"/>
              </w:rPr>
              <w:t xml:space="preserve">We respect the boundaries of our mandate</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Every governance role at OUG has defined authority and defined limits. We act within our mandate — and only within our mandate. When we are uncertain whether a decision falls within our authority, we ask rather than assume. We do not expand our effective authority informally, through accumulated influence, strategic communication, or the accumulation of roles. We support others in holding to their mandates, including when they are declining to defer to ours.</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make decisions that belong to another governance layer or body, even when we are confident our decision would be the right one. We do not use informal communication to pre-empt formal governance processes. We do not treat the governance architecture as an obstacle to be worked around.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7.  </w:t>
            </w:r>
            <w:r>
              <w:rPr>
                <w:rFonts w:ascii="Georgia" w:cs="Georgia" w:eastAsia="Georgia" w:hAnsi="Georgia"/>
                <w:b/>
                <w:bCs/>
                <w:color w:val="FFFFFF"/>
                <w:sz w:val="21"/>
                <w:szCs w:val="21"/>
              </w:rPr>
              <w:t xml:space="preserve">We take the governance of a digital institution seriously</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The OUG's distributed, digital character means that governance happens across written messages, video calls, asynchronous threads, and digital documents — not only in formal meetings. We hold the same standards in digital governance interactions as we do in physical ones. We are thoughtful about the written record we create. We do not write things we would not say, and we do not assume that asynchronous communication excuses us from the obligations of this compact.</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use the informality of digital communication as cover for behaviour that would be unacceptable in a governance meeting. We do not treat messages, comments, or annotations differently from spoken contributions when it comes to respect, honesty, and mandate observance.</w:t>
            </w:r>
          </w:p>
        </w:tc>
      </w:tr>
      <w:tr>
        <w:tc>
          <w:tcPr>
            <w:tcW w:type="dxa" w:w="9026"/>
            <w:tcBorders>
              <w:top w:val="none"/>
              <w:left w:val="none"/>
              <w:bottom w:val="none"/>
              <w:right w:val="none"/>
            </w:tcBorders>
            <w:shd w:fill="EEF5EE" w:val="clear"/>
            <w:tcMar>
              <w:top w:type="dxa" w:w="90"/>
              <w:left w:type="dxa" w:w="220"/>
              <w:bottom w:type="dxa" w:w="100"/>
              <w:right w:type="dxa" w:w="180"/>
            </w:tcMar>
          </w:tcPr>
          <w:p>
            <w:pPr>
              <w:spacing w:before="0" w:after="50"/>
            </w:pPr>
            <w:r>
              <w:rPr>
                <w:rFonts w:ascii="Arial" w:cs="Arial" w:eastAsia="Arial" w:hAnsi="Arial"/>
                <w:b/>
                <w:bCs/>
                <w:caps/>
                <w:color w:val="1A5C4A"/>
                <w:sz w:val="16"/>
                <w:szCs w:val="16"/>
              </w:rPr>
              <w:t xml:space="preserve">In digital and distributed contexts</w:t>
            </w:r>
          </w:p>
          <w:p>
            <w:pPr>
              <w:spacing w:before="0" w:after="0"/>
              <w:jc w:val="both"/>
            </w:pPr>
            <w:r>
              <w:rPr>
                <w:rFonts w:ascii="Georgia" w:cs="Georgia" w:eastAsia="Georgia" w:hAnsi="Georgia"/>
                <w:color w:val="1A1A1A"/>
                <w:sz w:val="22"/>
                <w:szCs w:val="22"/>
              </w:rPr>
              <w:t xml:space="preserve">We actively compensate for the limitations of digital communication: we are more explicit about tone than we would need to be in person; we ask for clarification rather than assuming negative intent; we create structured opportunities for participation that asynchronous formats naturally suppress.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19"/>
                <w:szCs w:val="19"/>
              </w:rPr>
              <w:t xml:space="preserve">8.  </w:t>
            </w:r>
            <w:r>
              <w:rPr>
                <w:rFonts w:ascii="Georgia" w:cs="Georgia" w:eastAsia="Georgia" w:hAnsi="Georgia"/>
                <w:b/>
                <w:bCs/>
                <w:color w:val="FFFFFF"/>
                <w:sz w:val="21"/>
                <w:szCs w:val="21"/>
              </w:rPr>
              <w:t xml:space="preserve">We hold each other to this compact — with care</w:t>
            </w:r>
          </w:p>
        </w:tc>
      </w:tr>
      <w:tr>
        <w:tc>
          <w:tcPr>
            <w:tcW w:type="dxa" w:w="9026"/>
            <w:tcBorders>
              <w:top w:val="none"/>
              <w:left w:val="none"/>
              <w:bottom w:val="none"/>
              <w:right w:val="none"/>
            </w:tcBorders>
            <w:shd w:fill="EEF4FB" w:val="clear"/>
            <w:tcMar>
              <w:top w:type="dxa" w:w="110"/>
              <w:left w:type="dxa" w:w="220"/>
              <w:bottom w:type="dxa" w:w="110"/>
              <w:right w:type="dxa" w:w="180"/>
            </w:tcMar>
          </w:tcPr>
          <w:p>
            <w:pPr>
              <w:spacing w:before="0" w:after="60"/>
            </w:pPr>
            <w:r>
              <w:rPr>
                <w:rFonts w:ascii="Arial" w:cs="Arial" w:eastAsia="Arial" w:hAnsi="Arial"/>
                <w:b/>
                <w:bCs/>
                <w:caps/>
                <w:color w:val="1F3864"/>
                <w:sz w:val="16"/>
                <w:szCs w:val="16"/>
              </w:rPr>
              <w:t xml:space="preserve">We commit to</w:t>
            </w:r>
          </w:p>
          <w:p>
            <w:pPr>
              <w:spacing w:before="0" w:after="0"/>
              <w:jc w:val="both"/>
            </w:pPr>
            <w:r>
              <w:rPr>
                <w:rFonts w:ascii="Georgia" w:cs="Georgia" w:eastAsia="Georgia" w:hAnsi="Georgia"/>
                <w:color w:val="1A1A1A"/>
                <w:sz w:val="22"/>
                <w:szCs w:val="22"/>
              </w:rPr>
              <w:t xml:space="preserve">This compact is only as strong as the willingness of governance participants to maintain it — not through enforcement, but through honest, caring engagement. When we see a colleague falling short of these commitments, we say something — directly, privately, and with the genuine intention of supporting them rather than judging them. We accept the same from our colleagues when they say something to us.</w:t>
            </w:r>
          </w:p>
        </w:tc>
      </w:tr>
      <w:tr>
        <w:tc>
          <w:tcPr>
            <w:tcW w:type="dxa" w:w="9026"/>
            <w:tcBorders>
              <w:top w:val="none"/>
              <w:left w:val="none"/>
              <w:bottom w:val="none"/>
              <w:right w:val="none"/>
            </w:tcBorders>
            <w:shd w:fill="FAF0EE" w:val="clear"/>
            <w:tcMar>
              <w:top w:type="dxa" w:w="110"/>
              <w:left w:type="dxa" w:w="220"/>
              <w:bottom w:type="dxa" w:w="110"/>
              <w:right w:type="dxa" w:w="180"/>
            </w:tcMar>
          </w:tcPr>
          <w:p>
            <w:pPr>
              <w:spacing w:before="0" w:after="60"/>
            </w:pPr>
            <w:r>
              <w:rPr>
                <w:rFonts w:ascii="Arial" w:cs="Arial" w:eastAsia="Arial" w:hAnsi="Arial"/>
                <w:b/>
                <w:bCs/>
                <w:caps/>
                <w:color w:val="8B1A1A"/>
                <w:sz w:val="16"/>
                <w:szCs w:val="16"/>
              </w:rPr>
              <w:t xml:space="preserve">We do not</w:t>
            </w:r>
          </w:p>
          <w:p>
            <w:pPr>
              <w:spacing w:before="0" w:after="0"/>
              <w:jc w:val="both"/>
            </w:pPr>
            <w:r>
              <w:rPr>
                <w:rFonts w:ascii="Georgia" w:cs="Georgia" w:eastAsia="Georgia" w:hAnsi="Georgia"/>
                <w:color w:val="1A1A1A"/>
                <w:sz w:val="22"/>
                <w:szCs w:val="22"/>
              </w:rPr>
              <w:t xml:space="preserve">We do not pretend not to notice when the norms of this compact are being violated. We do not hold people to a standard in public that we do not hold ourselves to in private. We do not use this compact as a weapon — citing it selectively to score points rather than to strengthen governance.</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What Happens When the Compact Is Not Upheld</w:t>
      </w:r>
    </w:p>
    <w:p>
      <w:pPr>
        <w:spacing w:before="0" w:after="185"/>
        <w:ind/>
        <w:jc w:val="both"/>
      </w:pPr>
      <w:r>
        <w:rPr>
          <w:rFonts w:ascii="Georgia" w:cs="Georgia" w:eastAsia="Georgia" w:hAnsi="Georgia"/>
          <w:b w:val="false"/>
          <w:bCs w:val="false"/>
          <w:i w:val="false"/>
          <w:iCs w:val="false"/>
          <w:color w:val="1A1A1A"/>
          <w:sz w:val="23"/>
          <w:szCs w:val="23"/>
        </w:rPr>
        <w:t xml:space="preserve">This compact is a shared agreement, not a legal instrument. It does not create formal disciplinary procedures; those are governed by the Grundordnung and the relevant employment or partnership arrangements. But it is not merely aspirational either — it has governance consequences.</w:t>
      </w:r>
    </w:p>
    <w:p>
      <w:pPr>
        <w:spacing w:before="0" w:after="80"/>
      </w:pPr>
    </w:p>
    <w:p>
      <w:pPr>
        <w:pStyle w:val="Heading2"/>
        <w:spacing w:before="320" w:after="100"/>
      </w:pPr>
      <w:r>
        <w:rPr>
          <w:rFonts w:ascii="Georgia" w:cs="Georgia" w:eastAsia="Georgia" w:hAnsi="Georgia"/>
          <w:b/>
          <w:bCs/>
          <w:color w:val="2E75B6"/>
          <w:sz w:val="25"/>
          <w:szCs w:val="25"/>
        </w:rPr>
        <w:t xml:space="preserve">First Response: Direct Engagement</w:t>
      </w:r>
    </w:p>
    <w:p>
      <w:pPr>
        <w:spacing w:before="0" w:after="185"/>
        <w:ind/>
        <w:jc w:val="both"/>
      </w:pPr>
      <w:r>
        <w:rPr>
          <w:rFonts w:ascii="Georgia" w:cs="Georgia" w:eastAsia="Georgia" w:hAnsi="Georgia"/>
          <w:b w:val="false"/>
          <w:bCs w:val="false"/>
          <w:i w:val="false"/>
          <w:iCs w:val="false"/>
          <w:color w:val="1A1A1A"/>
          <w:sz w:val="23"/>
          <w:szCs w:val="23"/>
        </w:rPr>
        <w:t xml:space="preserve">When a governance participant believes this compact has not been upheld, the first response is direct, private, and collegial engagement with the person concerned. Most situations are better resolved through honest conversation than through formal processes. The Governance Mentor is available to support either party in having that conversation.</w:t>
      </w:r>
    </w:p>
    <w:p>
      <w:pPr>
        <w:spacing w:before="0" w:after="80"/>
      </w:pPr>
    </w:p>
    <w:p>
      <w:pPr>
        <w:pStyle w:val="Heading2"/>
        <w:spacing w:before="320" w:after="100"/>
      </w:pPr>
      <w:r>
        <w:rPr>
          <w:rFonts w:ascii="Georgia" w:cs="Georgia" w:eastAsia="Georgia" w:hAnsi="Georgia"/>
          <w:b/>
          <w:bCs/>
          <w:color w:val="2E75B6"/>
          <w:sz w:val="25"/>
          <w:szCs w:val="25"/>
        </w:rPr>
        <w:t xml:space="preserve">Formal Concern</w:t>
      </w:r>
    </w:p>
    <w:p>
      <w:pPr>
        <w:spacing w:before="0" w:after="185"/>
        <w:ind/>
        <w:jc w:val="both"/>
      </w:pPr>
      <w:r>
        <w:rPr>
          <w:rFonts w:ascii="Georgia" w:cs="Georgia" w:eastAsia="Georgia" w:hAnsi="Georgia"/>
          <w:b w:val="false"/>
          <w:bCs w:val="false"/>
          <w:i w:val="false"/>
          <w:iCs w:val="false"/>
          <w:color w:val="1A1A1A"/>
          <w:sz w:val="23"/>
          <w:szCs w:val="23"/>
        </w:rPr>
        <w:t xml:space="preserve">Where direct engagement is not possible, not appropriate, or has not resolved the issue, a formal concern may be raised with the Academic Senate Chair, the Rector, or through the confidential reporting mechanism. Concerns are handled with the same confidentiality and procedural care as any other governance concern. The person raising a concern is protected from retaliation under the Academic Community Charter's whistleblower provisions.</w:t>
      </w:r>
    </w:p>
    <w:p>
      <w:pPr>
        <w:spacing w:before="0" w:after="80"/>
      </w:pPr>
    </w:p>
    <w:p>
      <w:pPr>
        <w:pStyle w:val="Heading2"/>
        <w:spacing w:before="320" w:after="100"/>
      </w:pPr>
      <w:r>
        <w:rPr>
          <w:rFonts w:ascii="Georgia" w:cs="Georgia" w:eastAsia="Georgia" w:hAnsi="Georgia"/>
          <w:b/>
          <w:bCs/>
          <w:color w:val="2E75B6"/>
          <w:sz w:val="25"/>
          <w:szCs w:val="25"/>
        </w:rPr>
        <w:t xml:space="preserve">Senate Review</w:t>
      </w:r>
    </w:p>
    <w:p>
      <w:pPr>
        <w:spacing w:before="0" w:after="185"/>
        <w:ind/>
        <w:jc w:val="both"/>
      </w:pPr>
      <w:r>
        <w:rPr>
          <w:rFonts w:ascii="Georgia" w:cs="Georgia" w:eastAsia="Georgia" w:hAnsi="Georgia"/>
          <w:b w:val="false"/>
          <w:bCs w:val="false"/>
          <w:i w:val="false"/>
          <w:iCs w:val="false"/>
          <w:color w:val="1A1A1A"/>
          <w:sz w:val="23"/>
          <w:szCs w:val="23"/>
        </w:rPr>
        <w:t xml:space="preserve">Where a concern relates to systematic or repeated conduct that undermines collegial governance, the Academic Senate may conduct a review. The Senate's role is not punitive — it is restorative: to understand what happened, to address the conditions that allowed it, and to reinforce the norms of the compact. Where a review finds that the conduct is incompatible with continued governance participation, the Senate may recommend that a governance appointment be reviewed under the relevant governance procedures.</w:t>
      </w:r>
    </w:p>
    <w:p>
      <w:pPr>
        <w:spacing w:before="0" w:after="80"/>
      </w:pPr>
    </w:p>
    <w:p>
      <w:pPr>
        <w:pStyle w:val="Heading2"/>
        <w:spacing w:before="320" w:after="100"/>
      </w:pPr>
      <w:r>
        <w:rPr>
          <w:rFonts w:ascii="Georgia" w:cs="Georgia" w:eastAsia="Georgia" w:hAnsi="Georgia"/>
          <w:b/>
          <w:bCs/>
          <w:color w:val="2E75B6"/>
          <w:sz w:val="25"/>
          <w:szCs w:val="25"/>
        </w:rPr>
        <w:t xml:space="preserve">Compact Renewal and Collective Review</w:t>
      </w:r>
    </w:p>
    <w:p>
      <w:pPr>
        <w:spacing w:before="0" w:after="185"/>
        <w:ind/>
        <w:jc w:val="both"/>
      </w:pPr>
      <w:r>
        <w:rPr>
          <w:rFonts w:ascii="Georgia" w:cs="Georgia" w:eastAsia="Georgia" w:hAnsi="Georgia"/>
          <w:b w:val="false"/>
          <w:bCs w:val="false"/>
          <w:i w:val="false"/>
          <w:iCs w:val="false"/>
          <w:color w:val="1A1A1A"/>
          <w:sz w:val="23"/>
          <w:szCs w:val="23"/>
        </w:rPr>
        <w:t xml:space="preserve">At the opening of each academic year, all current governance participants are invited to renew their signature on this compact. This is not a bureaucratic formality — it is a moment of collective reflection. The renewal session includes a brief open conversation: what have we done well this year in terms of collegial governance? where have we fallen short? what do we want to do differently?</w:t>
      </w:r>
    </w:p>
    <w:p>
      <w:pPr>
        <w:spacing w:before="0" w:after="185"/>
        <w:ind/>
        <w:jc w:val="both"/>
      </w:pPr>
      <w:r>
        <w:rPr>
          <w:rFonts w:ascii="Georgia" w:cs="Georgia" w:eastAsia="Georgia" w:hAnsi="Georgia"/>
          <w:b w:val="false"/>
          <w:bCs w:val="false"/>
          <w:i w:val="false"/>
          <w:iCs w:val="false"/>
          <w:color w:val="1A1A1A"/>
          <w:sz w:val="23"/>
          <w:szCs w:val="23"/>
        </w:rPr>
        <w:t xml:space="preserve">This compact is reviewed every two years by the Academic Senate, with input from governance participants at all layers. Amendments require Senate approval. The review asks: does this compact reflect how we actually want to govern? Are there commitments missing? Are there commitments that have proven impossible or counterproductive in practice?</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Signature</w:t>
      </w:r>
    </w:p>
    <w:p>
      <w:pPr>
        <w:spacing w:before="0" w:after="185"/>
        <w:ind/>
        <w:jc w:val="both"/>
      </w:pPr>
      <w:r>
        <w:rPr>
          <w:rFonts w:ascii="Georgia" w:cs="Georgia" w:eastAsia="Georgia" w:hAnsi="Georgia"/>
          <w:b w:val="false"/>
          <w:bCs w:val="false"/>
          <w:i w:val="false"/>
          <w:iCs w:val="false"/>
          <w:color w:val="1A1A1A"/>
          <w:sz w:val="23"/>
          <w:szCs w:val="23"/>
        </w:rPr>
        <w:t xml:space="preserve">By signing below, I confirm that I have read this compact, that I understand its commitments, and that I accept them as the standard I hold myself to in all governance participation at the Open University of Germany. I accept these commitments not because they are required of me but because I believe they describe the kind of institution and governance community I want to be part of.</w:t>
      </w:r>
    </w:p>
    <w:p>
      <w:pPr>
        <w:spacing w:before="0" w:after="60"/>
      </w:pPr>
    </w:p>
    <w:p>
      <w:pPr>
        <w:spacing w:before="0" w:after="185"/>
        <w:ind/>
        <w:jc w:val="both"/>
      </w:pPr>
      <w:r>
        <w:rPr>
          <w:rFonts w:ascii="Georgia" w:cs="Georgia" w:eastAsia="Georgia" w:hAnsi="Georgia"/>
          <w:b w:val="false"/>
          <w:bCs w:val="false"/>
          <w:i w:val="false"/>
          <w:iCs w:val="false"/>
          <w:color w:val="1A1A1A"/>
          <w:sz w:val="23"/>
          <w:szCs w:val="23"/>
        </w:rPr>
        <w:t xml:space="preserve">I understand that this compact is a living document — that it will be reviewed, that it may change, and that my colleagues and I share responsibility for maintaining its spirit even when its letter does not anticipate every situation we will encounter.</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300"/>
        <w:gridCol w:w="4413"/>
      </w:tblGrid>
      <w:tr>
        <w:tc>
          <w:tcPr>
            <w:tcW w:type="dxa" w:w="43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Signature</w:t>
            </w:r>
          </w:p>
          <w:p>
            <w:pPr>
              <w:spacing w:before="0" w:after="0"/>
            </w:pPr>
            <w:r>
              <w:rPr>
                <w:rFonts w:ascii="Arial" w:cs="Arial" w:eastAsia="Arial" w:hAnsi="Arial"/>
                <w:b/>
                <w:bCs/>
                <w:color w:val="1F3864"/>
                <w:sz w:val="18"/>
                <w:szCs w:val="18"/>
              </w:rPr>
              <w:t xml:space="preserve">Name (print)</w:t>
            </w:r>
          </w:p>
        </w:tc>
        <w:tc>
          <w:tcPr>
            <w:tcW w:type="dxa" w:w="300"/>
            <w:tcBorders>
              <w:top w:val="none"/>
              <w:left w:val="none"/>
              <w:bottom w:val="none"/>
              <w:right w:val="none"/>
            </w:tcBorders>
            <w:shd w:fill="FFFFFF" w:val="clear"/>
            <w:tcMar>
              <w:top w:type="dxa" w:w="0"/>
              <w:left w:type="dxa" w:w="0"/>
              <w:bottom w:type="dxa" w:w="0"/>
              <w:right w:type="dxa" w:w="0"/>
            </w:tcMar>
          </w:tcPr>
          <w:p/>
        </w:tc>
        <w:tc>
          <w:tcPr>
            <w:tcW w:type="dxa" w:w="44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Date</w:t>
            </w:r>
          </w:p>
          <w:p>
            <w:pPr>
              <w:spacing w:before="0" w:after="0"/>
            </w:pPr>
            <w:r>
              <w:rPr>
                <w:rFonts w:ascii="Arial" w:cs="Arial" w:eastAsia="Arial" w:hAnsi="Arial"/>
                <w:color w:val="FFFFFF"/>
                <w:sz w:val="18"/>
                <w:szCs w:val="18"/>
              </w:rPr>
              <w:t xml:space="preserve"> </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300"/>
        <w:gridCol w:w="4413"/>
      </w:tblGrid>
      <w:tr>
        <w:tc>
          <w:tcPr>
            <w:tcW w:type="dxa" w:w="43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Signature</w:t>
            </w:r>
          </w:p>
          <w:p>
            <w:pPr>
              <w:spacing w:before="0" w:after="0"/>
            </w:pPr>
            <w:r>
              <w:rPr>
                <w:rFonts w:ascii="Arial" w:cs="Arial" w:eastAsia="Arial" w:hAnsi="Arial"/>
                <w:b/>
                <w:bCs/>
                <w:color w:val="1F3864"/>
                <w:sz w:val="18"/>
                <w:szCs w:val="18"/>
              </w:rPr>
              <w:t xml:space="preserve">Role and Governance Layer</w:t>
            </w:r>
          </w:p>
        </w:tc>
        <w:tc>
          <w:tcPr>
            <w:tcW w:type="dxa" w:w="300"/>
            <w:tcBorders>
              <w:top w:val="none"/>
              <w:left w:val="none"/>
              <w:bottom w:val="none"/>
              <w:right w:val="none"/>
            </w:tcBorders>
            <w:shd w:fill="FFFFFF" w:val="clear"/>
            <w:tcMar>
              <w:top w:type="dxa" w:w="0"/>
              <w:left w:type="dxa" w:w="0"/>
              <w:bottom w:type="dxa" w:w="0"/>
              <w:right w:type="dxa" w:w="0"/>
            </w:tcMar>
          </w:tcPr>
          <w:p/>
        </w:tc>
        <w:tc>
          <w:tcPr>
            <w:tcW w:type="dxa" w:w="44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Date</w:t>
            </w:r>
          </w:p>
          <w:p>
            <w:pPr>
              <w:spacing w:before="0" w:after="0"/>
            </w:pPr>
            <w:r>
              <w:rPr>
                <w:rFonts w:ascii="Arial" w:cs="Arial" w:eastAsia="Arial" w:hAnsi="Arial"/>
                <w:color w:val="FFFFFF"/>
                <w:sz w:val="18"/>
                <w:szCs w:val="18"/>
              </w:rPr>
              <w:t xml:space="preserve"> </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300"/>
        <w:gridCol w:w="4413"/>
      </w:tblGrid>
      <w:tr>
        <w:tc>
          <w:tcPr>
            <w:tcW w:type="dxa" w:w="43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Signature</w:t>
            </w:r>
          </w:p>
          <w:p>
            <w:pPr>
              <w:spacing w:before="0" w:after="0"/>
            </w:pPr>
            <w:r>
              <w:rPr>
                <w:rFonts w:ascii="Arial" w:cs="Arial" w:eastAsia="Arial" w:hAnsi="Arial"/>
                <w:b/>
                <w:bCs/>
                <w:color w:val="1F3864"/>
                <w:sz w:val="18"/>
                <w:szCs w:val="18"/>
              </w:rPr>
              <w:t xml:space="preserve">Institution / Affiliation</w:t>
            </w:r>
          </w:p>
        </w:tc>
        <w:tc>
          <w:tcPr>
            <w:tcW w:type="dxa" w:w="300"/>
            <w:tcBorders>
              <w:top w:val="none"/>
              <w:left w:val="none"/>
              <w:bottom w:val="none"/>
              <w:right w:val="none"/>
            </w:tcBorders>
            <w:shd w:fill="FFFFFF" w:val="clear"/>
            <w:tcMar>
              <w:top w:type="dxa" w:w="0"/>
              <w:left w:type="dxa" w:w="0"/>
              <w:bottom w:type="dxa" w:w="0"/>
              <w:right w:type="dxa" w:w="0"/>
            </w:tcMar>
          </w:tcPr>
          <w:p/>
        </w:tc>
        <w:tc>
          <w:tcPr>
            <w:tcW w:type="dxa" w:w="4413"/>
            <w:tcBorders>
              <w:top w:val="none"/>
              <w:left w:val="none"/>
              <w:bottom w:val="single" w:color="AAAAAA" w:sz="2"/>
              <w:right w:val="none"/>
            </w:tcBorders>
            <w:shd w:fill="FFFFFF" w:val="clear"/>
            <w:tcMar>
              <w:top w:type="dxa" w:w="200"/>
              <w:left w:type="dxa" w:w="0"/>
              <w:bottom w:type="dxa" w:w="60"/>
              <w:right w:type="dxa" w:w="0"/>
            </w:tcMar>
          </w:tcPr>
          <w:p>
            <w:pPr>
              <w:spacing w:before="0" w:after="40"/>
            </w:pPr>
            <w:r>
              <w:rPr>
                <w:rFonts w:ascii="Arial" w:cs="Arial" w:eastAsia="Arial" w:hAnsi="Arial"/>
                <w:i/>
                <w:iCs/>
                <w:color w:val="AAAAAA"/>
                <w:sz w:val="17"/>
                <w:szCs w:val="17"/>
              </w:rPr>
              <w:t xml:space="preserve">Date</w:t>
            </w:r>
          </w:p>
          <w:p>
            <w:pPr>
              <w:spacing w:before="0" w:after="0"/>
            </w:pPr>
            <w:r>
              <w:rPr>
                <w:rFonts w:ascii="Arial" w:cs="Arial" w:eastAsia="Arial" w:hAnsi="Arial"/>
                <w:color w:val="FFFFFF"/>
                <w:sz w:val="18"/>
                <w:szCs w:val="18"/>
              </w:rPr>
              <w:t xml:space="preserve"> </w:t>
            </w:r>
          </w:p>
        </w:tc>
      </w:tr>
    </w:tbl>
    <w:p>
      <w:pPr>
        <w:spacing w:before="0" w:after="80"/>
      </w:pPr>
    </w:p>
    <w:p>
      <w:pPr>
        <w:spacing w:before="0" w:after="180"/>
      </w:pPr>
      <w:r>
        <w:rPr>
          <w:rFonts w:ascii="Arial" w:cs="Arial" w:eastAsia="Arial" w:hAnsi="Arial"/>
          <w:color w:val="AAAAAA"/>
          <w:sz w:val="17"/>
          <w:szCs w:val="17"/>
        </w:rPr>
        <w:t xml:space="preserve">First signed: </w:t>
      </w:r>
      <w:r>
        <w:rPr>
          <w:rFonts w:ascii="Arial" w:cs="Arial" w:eastAsia="Arial" w:hAnsi="Arial"/>
          <w:color w:val="AAAAAA"/>
          <w:sz w:val="17"/>
          <w:szCs w:val="17"/>
        </w:rPr>
        <w:t xml:space="preserve">________________     </w:t>
      </w:r>
      <w:r>
        <w:rPr>
          <w:rFonts w:ascii="Arial" w:cs="Arial" w:eastAsia="Arial" w:hAnsi="Arial"/>
          <w:color w:val="AAAAAA"/>
          <w:sz w:val="17"/>
          <w:szCs w:val="17"/>
        </w:rPr>
        <w:t xml:space="preserve">Renewed: </w:t>
      </w:r>
      <w:r>
        <w:rPr>
          <w:rFonts w:ascii="Arial" w:cs="Arial" w:eastAsia="Arial" w:hAnsi="Arial"/>
          <w:color w:val="AAAAAA"/>
          <w:sz w:val="17"/>
          <w:szCs w:val="17"/>
        </w:rPr>
        <w:t xml:space="preserve">________________     ________________     ________________</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jc w:val="both"/>
            </w:pPr>
            <w:r>
              <w:rPr>
                <w:rFonts w:ascii="Georgia" w:cs="Georgia" w:eastAsia="Georgia" w:hAnsi="Georgia"/>
                <w:i/>
                <w:iCs/>
                <w:color w:val="1A1A1A"/>
                <w:sz w:val="23"/>
                <w:szCs w:val="23"/>
              </w:rPr>
              <w:t xml:space="preserve">Collegial governance is not the absence of conflict. It is the presence of a community that knows how to hold conflict honestly — where disagreement is welcomed, authority is exercised with care, and the institution's mission remains larger than any individual's preferences. This compact is our commitment to that kind of governance. It will be tested. That is precisely when it matters most.</w:t>
            </w:r>
          </w:p>
        </w:tc>
      </w:tr>
    </w:tbl>
    <w:p>
      <w:pPr>
        <w:spacing w:before="0" w:after="200"/>
      </w:pPr>
    </w:p>
    <w:p>
      <w:pPr>
        <w:pBdr>
          <w:bottom w:val="single" w:color="CCCCCC" w:sz="2" w:space="1"/>
        </w:pBdr>
        <w:spacing w:before="200" w:after="200"/>
      </w:pPr>
    </w:p>
    <w:p>
      <w:pPr>
        <w:spacing w:before="160" w:after="0"/>
        <w:jc w:val="right"/>
      </w:pPr>
      <w:r>
        <w:rPr>
          <w:rFonts w:ascii="Arial" w:cs="Arial" w:eastAsia="Arial" w:hAnsi="Arial"/>
          <w:i/>
          <w:iCs/>
          <w:color w:val="BBBBBB"/>
          <w:sz w:val="17"/>
          <w:szCs w:val="17"/>
        </w:rPr>
        <w:t xml:space="preserve">Open University of Germany  ·  Code of Collegial Conduct  ·  Living Compact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2026-03-19T19:55:58.725Z</dcterms:created>
  <dcterms:modified xsi:type="dcterms:W3CDTF">2026-03-19T19:55:58.727Z</dcterms:modified>
</cp:coreProperties>
</file>

<file path=docProps/custom.xml><?xml version="1.0" encoding="utf-8"?>
<Properties xmlns="http://schemas.openxmlformats.org/officeDocument/2006/custom-properties" xmlns:vt="http://schemas.openxmlformats.org/officeDocument/2006/docPropsVTypes"/>
</file>