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aps/>
          <w:color w:val="2E75B6"/>
          <w:sz w:val="17"/>
          <w:szCs w:val="17"/>
        </w:rPr>
        <w:t xml:space="preserve">OPEN UNIVERSITY OF GERMANY</w:t>
      </w:r>
    </w:p>
    <w:p>
      <w:pPr>
        <w:spacing w:before="0" w:after="60"/>
        <w:jc w:val="left"/>
      </w:pPr>
      <w:r>
        <w:rPr>
          <w:rFonts w:ascii="Arial" w:cs="Arial" w:eastAsia="Arial" w:hAnsi="Arial"/>
          <w:color w:val="AAAAAA"/>
          <w:sz w:val="17"/>
          <w:szCs w:val="17"/>
        </w:rPr>
        <w:t xml:space="preserve">Institutional Governance  ·  2026</w:t>
      </w:r>
    </w:p>
    <w:p>
      <w:pPr>
        <w:pBdr>
          <w:bottom w:val="single" w:color="2E75B6" w:sz="10" w:space="1"/>
        </w:pBdr>
        <w:spacing w:before="0" w:after="280"/>
      </w:pPr>
    </w:p>
    <w:p>
      <w:pPr>
        <w:spacing w:before="0" w:after="60"/>
        <w:jc w:val="left"/>
      </w:pPr>
      <w:r>
        <w:rPr>
          <w:rFonts w:ascii="Arial" w:cs="Arial" w:eastAsia="Arial" w:hAnsi="Arial"/>
          <w:b/>
          <w:bCs/>
          <w:caps/>
          <w:color w:val="2E75B6"/>
          <w:sz w:val="14"/>
          <w:szCs w:val="14"/>
        </w:rPr>
        <w:t xml:space="preserve">Operational Governance Document</w:t>
      </w:r>
    </w:p>
    <w:p>
      <w:pPr>
        <w:spacing w:before="0" w:after="80"/>
        <w:jc w:val="left"/>
      </w:pPr>
      <w:r>
        <w:rPr>
          <w:rFonts w:ascii="Georgia" w:cs="Georgia" w:eastAsia="Georgia" w:hAnsi="Georgia"/>
          <w:b/>
          <w:bCs/>
          <w:color w:val="0D1F3C"/>
          <w:sz w:val="48"/>
          <w:szCs w:val="48"/>
        </w:rPr>
        <w:t xml:space="preserve">Committee Information
Architecture</w:t>
      </w:r>
    </w:p>
    <w:p>
      <w:pPr>
        <w:spacing w:before="0" w:after="60"/>
        <w:jc w:val="left"/>
      </w:pPr>
      <w:r>
        <w:rPr>
          <w:rFonts w:ascii="Georgia" w:cs="Georgia" w:eastAsia="Georgia" w:hAnsi="Georgia"/>
          <w:i/>
          <w:iCs/>
          <w:color w:val="2E75B6"/>
          <w:sz w:val="24"/>
          <w:szCs w:val="24"/>
        </w:rPr>
        <w:t xml:space="preserve">How the OUG's governance bodies connect, share knowledge, and prevent the silos they were designed to overcome</w:t>
      </w:r>
    </w:p>
    <w:p>
      <w:pPr>
        <w:spacing w:before="0" w:after="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300"/>
              <w:bottom w:type="dxa" w:w="200"/>
              <w:right w:type="dxa" w:w="300"/>
            </w:tcMar>
          </w:tcPr>
          <w:p>
            <w:pPr>
              <w:jc w:val="both"/>
            </w:pPr>
            <w:r>
              <w:rPr>
                <w:rFonts w:ascii="Georgia" w:cs="Georgia" w:eastAsia="Georgia" w:hAnsi="Georgia"/>
                <w:i/>
                <w:iCs/>
                <w:color w:val="1A1A1A"/>
                <w:sz w:val="22"/>
                <w:szCs w:val="22"/>
              </w:rPr>
              <w:t xml:space="preserve">The OUG's governance architecture defines what each committee does. It does not — until this document — define how committees connect: how information moves between them, where membership overlaps are designed rather than accidental, and what mechanisms prevent the governance network from fragmenting into the same silos it was created to overcome. This document is the connective tissue of OUG governance. It specifies the information channels, the designed overlaps, and the coordination mechanisms that transform a set of separate committees into a distributed intelligence network.</w:t>
            </w:r>
          </w:p>
        </w:tc>
      </w:tr>
    </w:tbl>
    <w:p>
      <w:pPr>
        <w:spacing w:before="0" w:after="320"/>
      </w:pPr>
    </w:p>
    <w:p>
      <w:pPr>
        <w:pStyle w:val="Heading1"/>
        <w:spacing w:before="480" w:after="140"/>
      </w:pPr>
      <w:r>
        <w:rPr>
          <w:rFonts w:ascii="Georgia" w:cs="Georgia" w:eastAsia="Georgia" w:hAnsi="Georgia"/>
          <w:b/>
          <w:bCs/>
          <w:color w:val="1F3864"/>
          <w:sz w:val="30"/>
          <w:szCs w:val="30"/>
        </w:rPr>
        <w:t xml:space="preserve">I.  The Problem of Governance Silos</w:t>
      </w:r>
    </w:p>
    <w:p>
      <w:pPr>
        <w:spacing w:before="0" w:after="185"/>
        <w:ind/>
        <w:jc w:val="both"/>
      </w:pPr>
      <w:r>
        <w:rPr>
          <w:rFonts w:ascii="Georgia" w:cs="Georgia" w:eastAsia="Georgia" w:hAnsi="Georgia"/>
          <w:b w:val="false"/>
          <w:bCs w:val="false"/>
          <w:i w:val="false"/>
          <w:iCs w:val="false"/>
          <w:color w:val="1A1A1A"/>
          <w:sz w:val="23"/>
          <w:szCs w:val="23"/>
        </w:rPr>
        <w:t xml:space="preserve">A governance architecture that defines committees without defining their connections produces a familiar pathology: each committee does its work conscientiously, in isolation, without knowing what adjacent committees have found. The Doctoral Studies Committee surfaces a pattern in doctoral candidate experience that is directly relevant to the Research Clusters — but there is no mechanism for the information to travel. A Mission Hub develops an insight about industry demand that would reshape a programme committee's curriculum review — but no one connects them.</w:t>
      </w:r>
    </w:p>
    <w:p>
      <w:pPr>
        <w:spacing w:before="0" w:after="185"/>
        <w:ind/>
        <w:jc w:val="both"/>
      </w:pPr>
      <w:r>
        <w:rPr>
          <w:rFonts w:ascii="Georgia" w:cs="Georgia" w:eastAsia="Georgia" w:hAnsi="Georgia"/>
          <w:b w:val="false"/>
          <w:bCs w:val="false"/>
          <w:i w:val="false"/>
          <w:iCs w:val="false"/>
          <w:color w:val="1A1A1A"/>
          <w:sz w:val="23"/>
          <w:szCs w:val="23"/>
        </w:rPr>
        <w:t xml:space="preserve">Person 2's dialogue identified this as a specific governance risk: committees become intelligence nodes only if their knowledge can be accessed across the network. The structural mechanism that enables this is intentional overlap — individuals who participate in multiple bodies, creating redundant pathways for information — combined with explicit coordination mechanisms that bring committee outputs together periodically.</w:t>
      </w:r>
    </w:p>
    <w:p>
      <w:pPr>
        <w:spacing w:before="0" w:after="185"/>
        <w:ind/>
        <w:jc w:val="both"/>
      </w:pPr>
      <w:r>
        <w:rPr>
          <w:rFonts w:ascii="Georgia" w:cs="Georgia" w:eastAsia="Georgia" w:hAnsi="Georgia"/>
          <w:b w:val="false"/>
          <w:bCs w:val="false"/>
          <w:i w:val="false"/>
          <w:iCs w:val="false"/>
          <w:color w:val="1A1A1A"/>
          <w:sz w:val="23"/>
          <w:szCs w:val="23"/>
        </w:rPr>
        <w:t xml:space="preserve">This document specifies both: the designed overlaps in OUG committee membership and the coordination mechanisms that make lateral information flow a governance habit rather than an occasional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value of a governance network is not in the quality of individual nodes. It is in the quality of the connections between them. A Senate committee that meets well but never shares its findings with a Mission Hub is doing half its job.</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II.  The OUG Committee Landscape</w:t>
      </w:r>
    </w:p>
    <w:p>
      <w:pPr>
        <w:spacing w:before="0" w:after="185"/>
        <w:ind/>
        <w:jc w:val="both"/>
      </w:pPr>
      <w:r>
        <w:rPr>
          <w:rFonts w:ascii="Georgia" w:cs="Georgia" w:eastAsia="Georgia" w:hAnsi="Georgia"/>
          <w:b w:val="false"/>
          <w:bCs w:val="false"/>
          <w:i w:val="false"/>
          <w:iCs w:val="false"/>
          <w:color w:val="1A1A1A"/>
          <w:sz w:val="23"/>
          <w:szCs w:val="23"/>
        </w:rPr>
        <w:t xml:space="preserve">The following committees constitute the OUG's formal governance network. Each is described in terms of its mandate, its information inputs and outputs, and its designed connections to other bodies.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90"/>
              <w:left w:type="dxa" w:w="200"/>
              <w:bottom w:type="dxa" w:w="90"/>
              <w:right w:type="dxa" w:w="160"/>
            </w:tcMar>
          </w:tcPr>
          <w:p>
            <w:r>
              <w:rPr>
                <w:rFonts w:ascii="Georgia" w:cs="Georgia" w:eastAsia="Georgia" w:hAnsi="Georgia"/>
                <w:b/>
                <w:bCs/>
                <w:color w:val="FFFFFF"/>
                <w:sz w:val="22"/>
                <w:szCs w:val="22"/>
              </w:rPr>
              <w:t xml:space="preserve">Academic Senate</w:t>
            </w:r>
            <w:r>
              <w:rPr>
                <w:rFonts w:ascii="Arial" w:cs="Arial" w:eastAsia="Arial" w:hAnsi="Arial"/>
                <w:color w:val="AACCEE"/>
                <w:sz w:val="16"/>
                <w:szCs w:val="16"/>
              </w:rPr>
              <w:t xml:space="preserve">  ·  G3 — Academic &amp; Quality Governance</w:t>
            </w:r>
          </w:p>
        </w:tc>
      </w:tr>
      <w:tr>
        <w:tc>
          <w:tcPr>
            <w:tcW w:type="dxa" w:w="9026"/>
            <w:tcBorders>
              <w:top w:val="none"/>
              <w:left w:val="none"/>
              <w:bottom w:val="none"/>
              <w:right w:val="none"/>
            </w:tcBorders>
            <w:shd w:fill="F4F7FA" w:val="clear"/>
            <w:tcMar>
              <w:top w:type="dxa" w:w="110"/>
              <w:left w:type="dxa" w:w="200"/>
              <w:bottom w:type="dxa" w:w="110"/>
              <w:right w:type="dxa" w:w="160"/>
            </w:tcMar>
          </w:tcPr>
          <w:p>
            <w:pPr>
              <w:spacing w:before="0" w:after="50"/>
            </w:pPr>
            <w:r>
              <w:rPr>
                <w:rFonts w:ascii="Arial" w:cs="Arial" w:eastAsia="Arial" w:hAnsi="Arial"/>
                <w:b/>
                <w:bCs/>
                <w:caps/>
                <w:color w:val="0D1F3C"/>
                <w:sz w:val="16"/>
                <w:szCs w:val="16"/>
              </w:rPr>
              <w:t xml:space="preserve">Core mandate</w:t>
            </w:r>
          </w:p>
          <w:p>
            <w:pPr>
              <w:spacing w:before="0" w:after="90"/>
              <w:jc w:val="both"/>
            </w:pPr>
            <w:r>
              <w:rPr>
                <w:rFonts w:ascii="Georgia" w:cs="Georgia" w:eastAsia="Georgia" w:hAnsi="Georgia"/>
                <w:color w:val="1A1A1A"/>
                <w:sz w:val="22"/>
                <w:szCs w:val="22"/>
              </w:rPr>
              <w:t xml:space="preserve">The highest academic governance body. Holds authority over academic standards, degree requirements, programme approval, and quality assurance. Receives the outputs of all other G3 committees and translates them into governance decisions. Approves strategy for submission to G2.</w:t>
            </w:r>
          </w:p>
          <w:p>
            <w:pPr>
              <w:spacing w:before="0" w:after="50"/>
            </w:pPr>
            <w:r>
              <w:rPr>
                <w:rFonts w:ascii="Arial" w:cs="Arial" w:eastAsia="Arial" w:hAnsi="Arial"/>
                <w:b/>
                <w:bCs/>
                <w:caps/>
                <w:color w:val="1A5C4A"/>
                <w:sz w:val="16"/>
                <w:szCs w:val="16"/>
              </w:rPr>
              <w:t xml:space="preserve">Receives from</w:t>
            </w:r>
          </w:p>
          <w:p>
            <w:pPr>
              <w:spacing w:before="0" w:after="90"/>
              <w:jc w:val="both"/>
            </w:pPr>
            <w:r>
              <w:rPr>
                <w:rFonts w:ascii="Georgia" w:cs="Georgia" w:eastAsia="Georgia" w:hAnsi="Georgia"/>
                <w:color w:val="1A1A1A"/>
                <w:sz w:val="21"/>
                <w:szCs w:val="21"/>
              </w:rPr>
              <w:t xml:space="preserve">Semester Academic Quality Summary from all committees. Strategic Signal Document from the Cross-Committee Coordination Session. G4 Implementation Review Reports (via G3 synthesis). External examiner and accreditation reports.</w:t>
            </w:r>
          </w:p>
          <w:p>
            <w:pPr>
              <w:spacing w:before="0" w:after="50"/>
            </w:pPr>
            <w:r>
              <w:rPr>
                <w:rFonts w:ascii="Arial" w:cs="Arial" w:eastAsia="Arial" w:hAnsi="Arial"/>
                <w:b/>
                <w:bCs/>
                <w:caps/>
                <w:color w:val="7A4A00"/>
                <w:sz w:val="16"/>
                <w:szCs w:val="16"/>
              </w:rPr>
              <w:t xml:space="preserve">Sends to</w:t>
            </w:r>
          </w:p>
          <w:p>
            <w:pPr>
              <w:spacing w:before="0" w:after="90"/>
              <w:jc w:val="both"/>
            </w:pPr>
            <w:r>
              <w:rPr>
                <w:rFonts w:ascii="Georgia" w:cs="Georgia" w:eastAsia="Georgia" w:hAnsi="Georgia"/>
                <w:color w:val="1A1A1A"/>
                <w:sz w:val="21"/>
                <w:szCs w:val="21"/>
              </w:rPr>
              <w:t xml:space="preserve">Annual Academic Senate Report to G2. Governance decisions on academic matters. Strategic endorsement to G1/G2. Escalations under the Inter-Layer Feedback Protocol.</w:t>
            </w:r>
          </w:p>
          <w:p>
            <w:pPr>
              <w:spacing w:before="0" w:after="50"/>
            </w:pPr>
            <w:r>
              <w:rPr>
                <w:rFonts w:ascii="Arial" w:cs="Arial" w:eastAsia="Arial" w:hAnsi="Arial"/>
                <w:b/>
                <w:bCs/>
                <w:caps/>
                <w:color w:val="1A5C38"/>
                <w:sz w:val="16"/>
                <w:szCs w:val="16"/>
              </w:rPr>
              <w:t xml:space="preserve">Overlapping membership with</w:t>
            </w:r>
          </w:p>
          <w:p>
            <w:pPr>
              <w:spacing w:before="0" w:after="0"/>
              <w:jc w:val="both"/>
            </w:pPr>
            <w:r>
              <w:rPr>
                <w:rFonts w:ascii="Georgia" w:cs="Georgia" w:eastAsia="Georgia" w:hAnsi="Georgia"/>
                <w:color w:val="1A1A1A"/>
                <w:sz w:val="21"/>
                <w:szCs w:val="21"/>
              </w:rPr>
              <w:t xml:space="preserve">All G3 committees (receives outputs). G2 Strategic layer (strategic decisions). Research Ethics Committee (academic integrity). Doctoral Studies Committee (doctoral standards).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75B6" w:val="clear"/>
            <w:tcMar>
              <w:top w:type="dxa" w:w="90"/>
              <w:left w:type="dxa" w:w="200"/>
              <w:bottom w:type="dxa" w:w="90"/>
              <w:right w:type="dxa" w:w="160"/>
            </w:tcMar>
          </w:tcPr>
          <w:p>
            <w:r>
              <w:rPr>
                <w:rFonts w:ascii="Georgia" w:cs="Georgia" w:eastAsia="Georgia" w:hAnsi="Georgia"/>
                <w:b/>
                <w:bCs/>
                <w:color w:val="FFFFFF"/>
                <w:sz w:val="22"/>
                <w:szCs w:val="22"/>
              </w:rPr>
              <w:t xml:space="preserve">Doctoral Studies Committee</w:t>
            </w:r>
            <w:r>
              <w:rPr>
                <w:rFonts w:ascii="Arial" w:cs="Arial" w:eastAsia="Arial" w:hAnsi="Arial"/>
                <w:color w:val="AACCEE"/>
                <w:sz w:val="16"/>
                <w:szCs w:val="16"/>
              </w:rPr>
              <w:t xml:space="preserve">  ·  G3 — Academic &amp; Quality Governance</w:t>
            </w:r>
          </w:p>
        </w:tc>
      </w:tr>
      <w:tr>
        <w:tc>
          <w:tcPr>
            <w:tcW w:type="dxa" w:w="9026"/>
            <w:tcBorders>
              <w:top w:val="none"/>
              <w:left w:val="none"/>
              <w:bottom w:val="none"/>
              <w:right w:val="none"/>
            </w:tcBorders>
            <w:shd w:fill="F4F7FA" w:val="clear"/>
            <w:tcMar>
              <w:top w:type="dxa" w:w="110"/>
              <w:left w:type="dxa" w:w="200"/>
              <w:bottom w:type="dxa" w:w="110"/>
              <w:right w:type="dxa" w:w="160"/>
            </w:tcMar>
          </w:tcPr>
          <w:p>
            <w:pPr>
              <w:spacing w:before="0" w:after="50"/>
            </w:pPr>
            <w:r>
              <w:rPr>
                <w:rFonts w:ascii="Arial" w:cs="Arial" w:eastAsia="Arial" w:hAnsi="Arial"/>
                <w:b/>
                <w:bCs/>
                <w:caps/>
                <w:color w:val="2E75B6"/>
                <w:sz w:val="16"/>
                <w:szCs w:val="16"/>
              </w:rPr>
              <w:t xml:space="preserve">Core mandate</w:t>
            </w:r>
          </w:p>
          <w:p>
            <w:pPr>
              <w:spacing w:before="0" w:after="90"/>
              <w:jc w:val="both"/>
            </w:pPr>
            <w:r>
              <w:rPr>
                <w:rFonts w:ascii="Georgia" w:cs="Georgia" w:eastAsia="Georgia" w:hAnsi="Georgia"/>
                <w:color w:val="1A1A1A"/>
                <w:sz w:val="22"/>
                <w:szCs w:val="22"/>
              </w:rPr>
              <w:t xml:space="preserve">Governs doctoral admissions, supervisory standards, examiner appointments, and doctoral researcher advocacy. A standing committee of the Academic Senate with substantial independent authority over doctoral matters.</w:t>
            </w:r>
          </w:p>
          <w:p>
            <w:pPr>
              <w:spacing w:before="0" w:after="50"/>
            </w:pPr>
            <w:r>
              <w:rPr>
                <w:rFonts w:ascii="Arial" w:cs="Arial" w:eastAsia="Arial" w:hAnsi="Arial"/>
                <w:b/>
                <w:bCs/>
                <w:caps/>
                <w:color w:val="1A5C4A"/>
                <w:sz w:val="16"/>
                <w:szCs w:val="16"/>
              </w:rPr>
              <w:t xml:space="preserve">Receives from</w:t>
            </w:r>
          </w:p>
          <w:p>
            <w:pPr>
              <w:spacing w:before="0" w:after="90"/>
              <w:jc w:val="both"/>
            </w:pPr>
            <w:r>
              <w:rPr>
                <w:rFonts w:ascii="Georgia" w:cs="Georgia" w:eastAsia="Georgia" w:hAnsi="Georgia"/>
                <w:color w:val="1A1A1A"/>
                <w:sz w:val="21"/>
                <w:szCs w:val="21"/>
              </w:rPr>
              <w:t xml:space="preserve">Doctoral admission applications and supervisory proposals. Annual doctoral researcher experience survey results. Research Cluster activity reports (doctoral supervision context). External examiner nominations.</w:t>
            </w:r>
          </w:p>
          <w:p>
            <w:pPr>
              <w:spacing w:before="0" w:after="50"/>
            </w:pPr>
            <w:r>
              <w:rPr>
                <w:rFonts w:ascii="Arial" w:cs="Arial" w:eastAsia="Arial" w:hAnsi="Arial"/>
                <w:b/>
                <w:bCs/>
                <w:caps/>
                <w:color w:val="7A4A00"/>
                <w:sz w:val="16"/>
                <w:szCs w:val="16"/>
              </w:rPr>
              <w:t xml:space="preserve">Sends to</w:t>
            </w:r>
          </w:p>
          <w:p>
            <w:pPr>
              <w:spacing w:before="0" w:after="90"/>
              <w:jc w:val="both"/>
            </w:pPr>
            <w:r>
              <w:rPr>
                <w:rFonts w:ascii="Georgia" w:cs="Georgia" w:eastAsia="Georgia" w:hAnsi="Georgia"/>
                <w:color w:val="1A1A1A"/>
                <w:sz w:val="21"/>
                <w:szCs w:val="21"/>
              </w:rPr>
              <w:t xml:space="preserve">Doctoral admissions decisions. Supervisory standards reports to Academic Senate. Annual doctoral experience findings — to Academic Senate and to the Shared Findings Register. Escalations on supervisory failures.</w:t>
            </w:r>
          </w:p>
          <w:p>
            <w:pPr>
              <w:spacing w:before="0" w:after="50"/>
            </w:pPr>
            <w:r>
              <w:rPr>
                <w:rFonts w:ascii="Arial" w:cs="Arial" w:eastAsia="Arial" w:hAnsi="Arial"/>
                <w:b/>
                <w:bCs/>
                <w:caps/>
                <w:color w:val="1A5C38"/>
                <w:sz w:val="16"/>
                <w:szCs w:val="16"/>
              </w:rPr>
              <w:t xml:space="preserve">Overlapping membership with</w:t>
            </w:r>
          </w:p>
          <w:p>
            <w:pPr>
              <w:spacing w:before="0" w:after="0"/>
              <w:jc w:val="both"/>
            </w:pPr>
            <w:r>
              <w:rPr>
                <w:rFonts w:ascii="Georgia" w:cs="Georgia" w:eastAsia="Georgia" w:hAnsi="Georgia"/>
                <w:color w:val="1A1A1A"/>
                <w:sz w:val="21"/>
                <w:szCs w:val="21"/>
              </w:rPr>
              <w:t xml:space="preserve">Research Clusters (supervisors are often Cluster members — the DSC needs visibility into Cluster health). Academic Senate (reports to). Research Ethics Committee (shared concerns about research conduct). Programme Committees where doctoral researchers contribute to teaching.</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90"/>
              <w:left w:type="dxa" w:w="200"/>
              <w:bottom w:type="dxa" w:w="90"/>
              <w:right w:type="dxa" w:w="160"/>
            </w:tcMar>
          </w:tcPr>
          <w:p>
            <w:r>
              <w:rPr>
                <w:rFonts w:ascii="Georgia" w:cs="Georgia" w:eastAsia="Georgia" w:hAnsi="Georgia"/>
                <w:b/>
                <w:bCs/>
                <w:color w:val="FFFFFF"/>
                <w:sz w:val="22"/>
                <w:szCs w:val="22"/>
              </w:rPr>
              <w:t xml:space="preserve">Research Ethics Committee</w:t>
            </w:r>
            <w:r>
              <w:rPr>
                <w:rFonts w:ascii="Arial" w:cs="Arial" w:eastAsia="Arial" w:hAnsi="Arial"/>
                <w:color w:val="AACCEE"/>
                <w:sz w:val="16"/>
                <w:szCs w:val="16"/>
              </w:rPr>
              <w:t xml:space="preserve">  ·  G3 — Academic &amp; Quality Governance</w:t>
            </w:r>
          </w:p>
        </w:tc>
      </w:tr>
      <w:tr>
        <w:tc>
          <w:tcPr>
            <w:tcW w:type="dxa" w:w="9026"/>
            <w:tcBorders>
              <w:top w:val="none"/>
              <w:left w:val="none"/>
              <w:bottom w:val="none"/>
              <w:right w:val="none"/>
            </w:tcBorders>
            <w:shd w:fill="F4F7FA" w:val="clear"/>
            <w:tcMar>
              <w:top w:type="dxa" w:w="110"/>
              <w:left w:type="dxa" w:w="200"/>
              <w:bottom w:type="dxa" w:w="110"/>
              <w:right w:type="dxa" w:w="160"/>
            </w:tcMar>
          </w:tcPr>
          <w:p>
            <w:pPr>
              <w:spacing w:before="0" w:after="50"/>
            </w:pPr>
            <w:r>
              <w:rPr>
                <w:rFonts w:ascii="Arial" w:cs="Arial" w:eastAsia="Arial" w:hAnsi="Arial"/>
                <w:b/>
                <w:bCs/>
                <w:caps/>
                <w:color w:val="1F3864"/>
                <w:sz w:val="16"/>
                <w:szCs w:val="16"/>
              </w:rPr>
              <w:t xml:space="preserve">Core mandate</w:t>
            </w:r>
          </w:p>
          <w:p>
            <w:pPr>
              <w:spacing w:before="0" w:after="90"/>
              <w:jc w:val="both"/>
            </w:pPr>
            <w:r>
              <w:rPr>
                <w:rFonts w:ascii="Georgia" w:cs="Georgia" w:eastAsia="Georgia" w:hAnsi="Georgia"/>
                <w:color w:val="1A1A1A"/>
                <w:sz w:val="22"/>
                <w:szCs w:val="22"/>
              </w:rPr>
              <w:t xml:space="preserve">Reviews all research involving human participants, personal data, or significant ethical risk. Independent chair. Operates to timelines that support research activity. Maintains an Ethics Register.</w:t>
            </w:r>
          </w:p>
          <w:p>
            <w:pPr>
              <w:spacing w:before="0" w:after="50"/>
            </w:pPr>
            <w:r>
              <w:rPr>
                <w:rFonts w:ascii="Arial" w:cs="Arial" w:eastAsia="Arial" w:hAnsi="Arial"/>
                <w:b/>
                <w:bCs/>
                <w:caps/>
                <w:color w:val="1A5C4A"/>
                <w:sz w:val="16"/>
                <w:szCs w:val="16"/>
              </w:rPr>
              <w:t xml:space="preserve">Receives from</w:t>
            </w:r>
          </w:p>
          <w:p>
            <w:pPr>
              <w:spacing w:before="0" w:after="90"/>
              <w:jc w:val="both"/>
            </w:pPr>
            <w:r>
              <w:rPr>
                <w:rFonts w:ascii="Georgia" w:cs="Georgia" w:eastAsia="Georgia" w:hAnsi="Georgia"/>
                <w:color w:val="1A1A1A"/>
                <w:sz w:val="21"/>
                <w:szCs w:val="21"/>
              </w:rPr>
              <w:t xml:space="preserve">Ethics review applications from research clusters, doctoral researchers, and academic contributors. Annual research integrity report from the Research Integrity Officer. External guidelines updates (DFG, EU Horizon).</w:t>
            </w:r>
          </w:p>
          <w:p>
            <w:pPr>
              <w:spacing w:before="0" w:after="50"/>
            </w:pPr>
            <w:r>
              <w:rPr>
                <w:rFonts w:ascii="Arial" w:cs="Arial" w:eastAsia="Arial" w:hAnsi="Arial"/>
                <w:b/>
                <w:bCs/>
                <w:caps/>
                <w:color w:val="7A4A00"/>
                <w:sz w:val="16"/>
                <w:szCs w:val="16"/>
              </w:rPr>
              <w:t xml:space="preserve">Sends to</w:t>
            </w:r>
          </w:p>
          <w:p>
            <w:pPr>
              <w:spacing w:before="0" w:after="90"/>
              <w:jc w:val="both"/>
            </w:pPr>
            <w:r>
              <w:rPr>
                <w:rFonts w:ascii="Georgia" w:cs="Georgia" w:eastAsia="Georgia" w:hAnsi="Georgia"/>
                <w:color w:val="1A1A1A"/>
                <w:sz w:val="21"/>
                <w:szCs w:val="21"/>
              </w:rPr>
              <w:t xml:space="preserve">Ethics decisions (approve / conditional / reject). Annual report to Academic Senate on ethics review activity and patterns. Escalations to G1 for confirmed research misconduct. Ethics Register updates.</w:t>
            </w:r>
          </w:p>
          <w:p>
            <w:pPr>
              <w:spacing w:before="0" w:after="50"/>
            </w:pPr>
            <w:r>
              <w:rPr>
                <w:rFonts w:ascii="Arial" w:cs="Arial" w:eastAsia="Arial" w:hAnsi="Arial"/>
                <w:b/>
                <w:bCs/>
                <w:caps/>
                <w:color w:val="1A5C38"/>
                <w:sz w:val="16"/>
                <w:szCs w:val="16"/>
              </w:rPr>
              <w:t xml:space="preserve">Overlapping membership with</w:t>
            </w:r>
          </w:p>
          <w:p>
            <w:pPr>
              <w:spacing w:before="0" w:after="0"/>
              <w:jc w:val="both"/>
            </w:pPr>
            <w:r>
              <w:rPr>
                <w:rFonts w:ascii="Georgia" w:cs="Georgia" w:eastAsia="Georgia" w:hAnsi="Georgia"/>
                <w:color w:val="1A1A1A"/>
                <w:sz w:val="21"/>
                <w:szCs w:val="21"/>
              </w:rPr>
              <w:t xml:space="preserve">Research Clusters (primary applicant pool). Doctoral Studies Committee (doctoral research ethics). Academic Senate (reports to). Research Director (coordinates research activity broadly).</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90"/>
              <w:left w:type="dxa" w:w="200"/>
              <w:bottom w:type="dxa" w:w="90"/>
              <w:right w:type="dxa" w:w="160"/>
            </w:tcMar>
          </w:tcPr>
          <w:p>
            <w:r>
              <w:rPr>
                <w:rFonts w:ascii="Georgia" w:cs="Georgia" w:eastAsia="Georgia" w:hAnsi="Georgia"/>
                <w:b/>
                <w:bCs/>
                <w:color w:val="FFFFFF"/>
                <w:sz w:val="22"/>
                <w:szCs w:val="22"/>
              </w:rPr>
              <w:t xml:space="preserve">Mission Hubs</w:t>
            </w:r>
            <w:r>
              <w:rPr>
                <w:rFonts w:ascii="Arial" w:cs="Arial" w:eastAsia="Arial" w:hAnsi="Arial"/>
                <w:color w:val="AACCEE"/>
                <w:sz w:val="16"/>
                <w:szCs w:val="16"/>
              </w:rPr>
              <w:t xml:space="preserve">  ·  G3/G4 — Academic Community and Research</w:t>
            </w:r>
          </w:p>
        </w:tc>
      </w:tr>
      <w:tr>
        <w:tc>
          <w:tcPr>
            <w:tcW w:type="dxa" w:w="9026"/>
            <w:tcBorders>
              <w:top w:val="none"/>
              <w:left w:val="none"/>
              <w:bottom w:val="none"/>
              <w:right w:val="none"/>
            </w:tcBorders>
            <w:shd w:fill="F4F7FA" w:val="clear"/>
            <w:tcMar>
              <w:top w:type="dxa" w:w="110"/>
              <w:left w:type="dxa" w:w="200"/>
              <w:bottom w:type="dxa" w:w="110"/>
              <w:right w:type="dxa" w:w="160"/>
            </w:tcMar>
          </w:tcPr>
          <w:p>
            <w:pPr>
              <w:spacing w:before="0" w:after="50"/>
            </w:pPr>
            <w:r>
              <w:rPr>
                <w:rFonts w:ascii="Arial" w:cs="Arial" w:eastAsia="Arial" w:hAnsi="Arial"/>
                <w:b/>
                <w:bCs/>
                <w:caps/>
                <w:color w:val="1A5C4A"/>
                <w:sz w:val="16"/>
                <w:szCs w:val="16"/>
              </w:rPr>
              <w:t xml:space="preserve">Core mandate</w:t>
            </w:r>
          </w:p>
          <w:p>
            <w:pPr>
              <w:spacing w:before="0" w:after="90"/>
              <w:jc w:val="both"/>
            </w:pPr>
            <w:r>
              <w:rPr>
                <w:rFonts w:ascii="Georgia" w:cs="Georgia" w:eastAsia="Georgia" w:hAnsi="Georgia"/>
                <w:color w:val="1A1A1A"/>
                <w:sz w:val="22"/>
                <w:szCs w:val="22"/>
              </w:rPr>
              <w:t xml:space="preserve">Cross-programme, cross-institutional intellectual communities organised around thematic areas. Bring together academic contributors, students, and institutional leadership around shared intellectual and societal challenges. Hold a research mandate as well as a community mandate.</w:t>
            </w:r>
          </w:p>
          <w:p>
            <w:pPr>
              <w:spacing w:before="0" w:after="50"/>
            </w:pPr>
            <w:r>
              <w:rPr>
                <w:rFonts w:ascii="Arial" w:cs="Arial" w:eastAsia="Arial" w:hAnsi="Arial"/>
                <w:b/>
                <w:bCs/>
                <w:caps/>
                <w:color w:val="1A5C4A"/>
                <w:sz w:val="16"/>
                <w:szCs w:val="16"/>
              </w:rPr>
              <w:t xml:space="preserve">Receives from</w:t>
            </w:r>
          </w:p>
          <w:p>
            <w:pPr>
              <w:spacing w:before="0" w:after="90"/>
              <w:jc w:val="both"/>
            </w:pPr>
            <w:r>
              <w:rPr>
                <w:rFonts w:ascii="Georgia" w:cs="Georgia" w:eastAsia="Georgia" w:hAnsi="Georgia"/>
                <w:color w:val="1A1A1A"/>
                <w:sz w:val="21"/>
                <w:szCs w:val="21"/>
              </w:rPr>
              <w:t xml:space="preserve">Strategic priorities from G2 (define which thematic areas merit a Hub). External environment signals — from Environmental Scan and industrial governance partners. Academic contributor interests and expertise. Student academic interests.</w:t>
            </w:r>
          </w:p>
          <w:p>
            <w:pPr>
              <w:spacing w:before="0" w:after="50"/>
            </w:pPr>
            <w:r>
              <w:rPr>
                <w:rFonts w:ascii="Arial" w:cs="Arial" w:eastAsia="Arial" w:hAnsi="Arial"/>
                <w:b/>
                <w:bCs/>
                <w:caps/>
                <w:color w:val="7A4A00"/>
                <w:sz w:val="16"/>
                <w:szCs w:val="16"/>
              </w:rPr>
              <w:t xml:space="preserve">Sends to</w:t>
            </w:r>
          </w:p>
          <w:p>
            <w:pPr>
              <w:spacing w:before="0" w:after="90"/>
              <w:jc w:val="both"/>
            </w:pPr>
            <w:r>
              <w:rPr>
                <w:rFonts w:ascii="Georgia" w:cs="Georgia" w:eastAsia="Georgia" w:hAnsi="Georgia"/>
                <w:color w:val="1A1A1A"/>
                <w:sz w:val="21"/>
                <w:szCs w:val="21"/>
              </w:rPr>
              <w:t xml:space="preserve">Research outputs and intellectual perspectives to programme committees. Industry demand signals to G2 via the Cross-Committee Coordination Session. Community health indicators to Academic Community Charter annual review. Research collaboration proposals to Research Director.</w:t>
            </w:r>
          </w:p>
          <w:p>
            <w:pPr>
              <w:spacing w:before="0" w:after="50"/>
            </w:pPr>
            <w:r>
              <w:rPr>
                <w:rFonts w:ascii="Arial" w:cs="Arial" w:eastAsia="Arial" w:hAnsi="Arial"/>
                <w:b/>
                <w:bCs/>
                <w:caps/>
                <w:color w:val="1A5C38"/>
                <w:sz w:val="16"/>
                <w:szCs w:val="16"/>
              </w:rPr>
              <w:t xml:space="preserve">Overlapping membership with</w:t>
            </w:r>
          </w:p>
          <w:p>
            <w:pPr>
              <w:spacing w:before="0" w:after="0"/>
              <w:jc w:val="both"/>
            </w:pPr>
            <w:r>
              <w:rPr>
                <w:rFonts w:ascii="Georgia" w:cs="Georgia" w:eastAsia="Georgia" w:hAnsi="Georgia"/>
                <w:color w:val="1A1A1A"/>
                <w:sz w:val="21"/>
                <w:szCs w:val="21"/>
              </w:rPr>
              <w:t xml:space="preserve">Programme Committees (the most critical connection — Mission Hubs should directly inform curriculum). Research Clusters (overlapping membership; Hubs host research conversations). Industrial governance members (who often participate in Hubs). Academic Senate (Hub leads participate in Cross-Committee sessions).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38" w:val="clear"/>
            <w:tcMar>
              <w:top w:type="dxa" w:w="90"/>
              <w:left w:type="dxa" w:w="200"/>
              <w:bottom w:type="dxa" w:w="90"/>
              <w:right w:type="dxa" w:w="160"/>
            </w:tcMar>
          </w:tcPr>
          <w:p>
            <w:r>
              <w:rPr>
                <w:rFonts w:ascii="Georgia" w:cs="Georgia" w:eastAsia="Georgia" w:hAnsi="Georgia"/>
                <w:b/>
                <w:bCs/>
                <w:color w:val="FFFFFF"/>
                <w:sz w:val="22"/>
                <w:szCs w:val="22"/>
              </w:rPr>
              <w:t xml:space="preserve">Programme Committees</w:t>
            </w:r>
            <w:r>
              <w:rPr>
                <w:rFonts w:ascii="Arial" w:cs="Arial" w:eastAsia="Arial" w:hAnsi="Arial"/>
                <w:color w:val="AACCEE"/>
                <w:sz w:val="16"/>
                <w:szCs w:val="16"/>
              </w:rPr>
              <w:t xml:space="preserve">  ·  G4 — Operational Execution</w:t>
            </w:r>
          </w:p>
        </w:tc>
      </w:tr>
      <w:tr>
        <w:tc>
          <w:tcPr>
            <w:tcW w:type="dxa" w:w="9026"/>
            <w:tcBorders>
              <w:top w:val="none"/>
              <w:left w:val="none"/>
              <w:bottom w:val="none"/>
              <w:right w:val="none"/>
            </w:tcBorders>
            <w:shd w:fill="F4F7FA" w:val="clear"/>
            <w:tcMar>
              <w:top w:type="dxa" w:w="110"/>
              <w:left w:type="dxa" w:w="200"/>
              <w:bottom w:type="dxa" w:w="110"/>
              <w:right w:type="dxa" w:w="160"/>
            </w:tcMar>
          </w:tcPr>
          <w:p>
            <w:pPr>
              <w:spacing w:before="0" w:after="50"/>
            </w:pPr>
            <w:r>
              <w:rPr>
                <w:rFonts w:ascii="Arial" w:cs="Arial" w:eastAsia="Arial" w:hAnsi="Arial"/>
                <w:b/>
                <w:bCs/>
                <w:caps/>
                <w:color w:val="1A5C38"/>
                <w:sz w:val="16"/>
                <w:szCs w:val="16"/>
              </w:rPr>
              <w:t xml:space="preserve">Core mandate</w:t>
            </w:r>
          </w:p>
          <w:p>
            <w:pPr>
              <w:spacing w:before="0" w:after="90"/>
              <w:jc w:val="both"/>
            </w:pPr>
            <w:r>
              <w:rPr>
                <w:rFonts w:ascii="Georgia" w:cs="Georgia" w:eastAsia="Georgia" w:hAnsi="Georgia"/>
                <w:color w:val="1A1A1A"/>
                <w:sz w:val="22"/>
                <w:szCs w:val="22"/>
              </w:rPr>
              <w:t xml:space="preserve">Govern the academic development and operational delivery of individual programmes. Responsible for curriculum quality, learning outcomes, assessment design, and the programme-level student experience. Exist for each active OUG programme.</w:t>
            </w:r>
          </w:p>
          <w:p>
            <w:pPr>
              <w:spacing w:before="0" w:after="50"/>
            </w:pPr>
            <w:r>
              <w:rPr>
                <w:rFonts w:ascii="Arial" w:cs="Arial" w:eastAsia="Arial" w:hAnsi="Arial"/>
                <w:b/>
                <w:bCs/>
                <w:caps/>
                <w:color w:val="1A5C4A"/>
                <w:sz w:val="16"/>
                <w:szCs w:val="16"/>
              </w:rPr>
              <w:t xml:space="preserve">Receives from</w:t>
            </w:r>
          </w:p>
          <w:p>
            <w:pPr>
              <w:spacing w:before="0" w:after="90"/>
              <w:jc w:val="both"/>
            </w:pPr>
            <w:r>
              <w:rPr>
                <w:rFonts w:ascii="Georgia" w:cs="Georgia" w:eastAsia="Georgia" w:hAnsi="Georgia"/>
                <w:color w:val="1A1A1A"/>
                <w:sz w:val="21"/>
                <w:szCs w:val="21"/>
              </w:rPr>
              <w:t xml:space="preserve">Mission Hub intellectual outputs (should directly inform curriculum development). Research Integration Review findings (from Research Clusters). Student experience data from programme-level surveys. Academic contributor feedback. Industry partner input via Mission Hubs.</w:t>
            </w:r>
          </w:p>
          <w:p>
            <w:pPr>
              <w:spacing w:before="0" w:after="50"/>
            </w:pPr>
            <w:r>
              <w:rPr>
                <w:rFonts w:ascii="Arial" w:cs="Arial" w:eastAsia="Arial" w:hAnsi="Arial"/>
                <w:b/>
                <w:bCs/>
                <w:caps/>
                <w:color w:val="7A4A00"/>
                <w:sz w:val="16"/>
                <w:szCs w:val="16"/>
              </w:rPr>
              <w:t xml:space="preserve">Sends to</w:t>
            </w:r>
          </w:p>
          <w:p>
            <w:pPr>
              <w:spacing w:before="0" w:after="90"/>
              <w:jc w:val="both"/>
            </w:pPr>
            <w:r>
              <w:rPr>
                <w:rFonts w:ascii="Georgia" w:cs="Georgia" w:eastAsia="Georgia" w:hAnsi="Georgia"/>
                <w:color w:val="1A1A1A"/>
                <w:sz w:val="21"/>
                <w:szCs w:val="21"/>
              </w:rPr>
              <w:t xml:space="preserve">Curriculum proposals to Academic Senate for approval. Programme-level Implementation Review Reports to G3. Student experience findings to Academic Senate Quality Summary. Assessment results and completion data.</w:t>
            </w:r>
          </w:p>
          <w:p>
            <w:pPr>
              <w:spacing w:before="0" w:after="50"/>
            </w:pPr>
            <w:r>
              <w:rPr>
                <w:rFonts w:ascii="Arial" w:cs="Arial" w:eastAsia="Arial" w:hAnsi="Arial"/>
                <w:b/>
                <w:bCs/>
                <w:caps/>
                <w:color w:val="1A5C38"/>
                <w:sz w:val="16"/>
                <w:szCs w:val="16"/>
              </w:rPr>
              <w:t xml:space="preserve">Overlapping membership with</w:t>
            </w:r>
          </w:p>
          <w:p>
            <w:pPr>
              <w:spacing w:before="0" w:after="0"/>
              <w:jc w:val="both"/>
            </w:pPr>
            <w:r>
              <w:rPr>
                <w:rFonts w:ascii="Georgia" w:cs="Georgia" w:eastAsia="Georgia" w:hAnsi="Georgia"/>
                <w:color w:val="1A1A1A"/>
                <w:sz w:val="21"/>
                <w:szCs w:val="21"/>
              </w:rPr>
              <w:t xml:space="preserve">Mission Hubs (the key lateral connection — programme content should be informed by Hub intellectual activity). Doctoral Studies Committee (where doctoral researchers contribute to programme delivery). Academic Senate (reports to). Partner institutions' programme representatives.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4A00" w:val="clear"/>
            <w:tcMar>
              <w:top w:type="dxa" w:w="90"/>
              <w:left w:type="dxa" w:w="200"/>
              <w:bottom w:type="dxa" w:w="90"/>
              <w:right w:type="dxa" w:w="160"/>
            </w:tcMar>
          </w:tcPr>
          <w:p>
            <w:r>
              <w:rPr>
                <w:rFonts w:ascii="Georgia" w:cs="Georgia" w:eastAsia="Georgia" w:hAnsi="Georgia"/>
                <w:b/>
                <w:bCs/>
                <w:color w:val="FFFFFF"/>
                <w:sz w:val="22"/>
                <w:szCs w:val="22"/>
              </w:rPr>
              <w:t xml:space="preserve">Research Clusters</w:t>
            </w:r>
            <w:r>
              <w:rPr>
                <w:rFonts w:ascii="Arial" w:cs="Arial" w:eastAsia="Arial" w:hAnsi="Arial"/>
                <w:color w:val="AACCEE"/>
                <w:sz w:val="16"/>
                <w:szCs w:val="16"/>
              </w:rPr>
              <w:t xml:space="preserve">  ·  G3 — Research Governance</w:t>
            </w:r>
          </w:p>
        </w:tc>
      </w:tr>
      <w:tr>
        <w:tc>
          <w:tcPr>
            <w:tcW w:type="dxa" w:w="9026"/>
            <w:tcBorders>
              <w:top w:val="none"/>
              <w:left w:val="none"/>
              <w:bottom w:val="none"/>
              <w:right w:val="none"/>
            </w:tcBorders>
            <w:shd w:fill="F4F7FA" w:val="clear"/>
            <w:tcMar>
              <w:top w:type="dxa" w:w="110"/>
              <w:left w:type="dxa" w:w="200"/>
              <w:bottom w:type="dxa" w:w="110"/>
              <w:right w:type="dxa" w:w="160"/>
            </w:tcMar>
          </w:tcPr>
          <w:p>
            <w:pPr>
              <w:spacing w:before="0" w:after="50"/>
            </w:pPr>
            <w:r>
              <w:rPr>
                <w:rFonts w:ascii="Arial" w:cs="Arial" w:eastAsia="Arial" w:hAnsi="Arial"/>
                <w:b/>
                <w:bCs/>
                <w:caps/>
                <w:color w:val="7A4A00"/>
                <w:sz w:val="16"/>
                <w:szCs w:val="16"/>
              </w:rPr>
              <w:t xml:space="preserve">Core mandate</w:t>
            </w:r>
          </w:p>
          <w:p>
            <w:pPr>
              <w:spacing w:before="0" w:after="90"/>
              <w:jc w:val="both"/>
            </w:pPr>
            <w:r>
              <w:rPr>
                <w:rFonts w:ascii="Georgia" w:cs="Georgia" w:eastAsia="Georgia" w:hAnsi="Georgia"/>
                <w:color w:val="1A1A1A"/>
                <w:sz w:val="22"/>
                <w:szCs w:val="22"/>
              </w:rPr>
              <w:t xml:space="preserve">Thematically defined groups of academic contributors with a shared research agenda aligned to OUG strategic focus areas. Not departments — intellectual communities with a research mandate. Report annually on outputs, doctoral supervision, and programme integration.</w:t>
            </w:r>
          </w:p>
          <w:p>
            <w:pPr>
              <w:spacing w:before="0" w:after="50"/>
            </w:pPr>
            <w:r>
              <w:rPr>
                <w:rFonts w:ascii="Arial" w:cs="Arial" w:eastAsia="Arial" w:hAnsi="Arial"/>
                <w:b/>
                <w:bCs/>
                <w:caps/>
                <w:color w:val="1A5C4A"/>
                <w:sz w:val="16"/>
                <w:szCs w:val="16"/>
              </w:rPr>
              <w:t xml:space="preserve">Receives from</w:t>
            </w:r>
          </w:p>
          <w:p>
            <w:pPr>
              <w:spacing w:before="0" w:after="90"/>
              <w:jc w:val="both"/>
            </w:pPr>
            <w:r>
              <w:rPr>
                <w:rFonts w:ascii="Georgia" w:cs="Georgia" w:eastAsia="Georgia" w:hAnsi="Georgia"/>
                <w:color w:val="1A1A1A"/>
                <w:sz w:val="21"/>
                <w:szCs w:val="21"/>
              </w:rPr>
              <w:t xml:space="preserve">Research Office support (grant applications, IP arrangements). Doctoral researcher supervision requests. Ethics Committee decisions (clearance for cluster research). External funding opportunities. Industry research partnership proposals.</w:t>
            </w:r>
          </w:p>
          <w:p>
            <w:pPr>
              <w:spacing w:before="0" w:after="50"/>
            </w:pPr>
            <w:r>
              <w:rPr>
                <w:rFonts w:ascii="Arial" w:cs="Arial" w:eastAsia="Arial" w:hAnsi="Arial"/>
                <w:b/>
                <w:bCs/>
                <w:caps/>
                <w:color w:val="7A4A00"/>
                <w:sz w:val="16"/>
                <w:szCs w:val="16"/>
              </w:rPr>
              <w:t xml:space="preserve">Sends to</w:t>
            </w:r>
          </w:p>
          <w:p>
            <w:pPr>
              <w:spacing w:before="0" w:after="90"/>
              <w:jc w:val="both"/>
            </w:pPr>
            <w:r>
              <w:rPr>
                <w:rFonts w:ascii="Georgia" w:cs="Georgia" w:eastAsia="Georgia" w:hAnsi="Georgia"/>
                <w:color w:val="1A1A1A"/>
                <w:sz w:val="21"/>
                <w:szCs w:val="21"/>
              </w:rPr>
              <w:t xml:space="preserve">Research output data to Research Director and Academic Senate. Supervisory capacity data to Doctoral Studies Committee. Research Integration Review input to Programme Committees. Innovation proposals through Portfolio Governance Framework. Research findings to Mission Hubs.</w:t>
            </w:r>
          </w:p>
          <w:p>
            <w:pPr>
              <w:spacing w:before="0" w:after="50"/>
            </w:pPr>
            <w:r>
              <w:rPr>
                <w:rFonts w:ascii="Arial" w:cs="Arial" w:eastAsia="Arial" w:hAnsi="Arial"/>
                <w:b/>
                <w:bCs/>
                <w:caps/>
                <w:color w:val="1A5C38"/>
                <w:sz w:val="16"/>
                <w:szCs w:val="16"/>
              </w:rPr>
              <w:t xml:space="preserve">Overlapping membership with</w:t>
            </w:r>
          </w:p>
          <w:p>
            <w:pPr>
              <w:spacing w:before="0" w:after="0"/>
              <w:jc w:val="both"/>
            </w:pPr>
            <w:r>
              <w:rPr>
                <w:rFonts w:ascii="Georgia" w:cs="Georgia" w:eastAsia="Georgia" w:hAnsi="Georgia"/>
                <w:color w:val="1A1A1A"/>
                <w:sz w:val="21"/>
                <w:szCs w:val="21"/>
              </w:rPr>
              <w:t xml:space="preserve">Doctoral Studies Committee (supervisors; doctoral researcher development). Mission Hubs (overlapping membership creates organic connection between research and community). Research Ethics Committee (ethics clearance pipeline). Programme Committees (research-teaching integration).</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III.  Designed Membership Overlaps</w:t>
      </w:r>
    </w:p>
    <w:p>
      <w:pPr>
        <w:spacing w:before="0" w:after="185"/>
        <w:ind/>
        <w:jc w:val="both"/>
      </w:pPr>
      <w:r>
        <w:rPr>
          <w:rFonts w:ascii="Georgia" w:cs="Georgia" w:eastAsia="Georgia" w:hAnsi="Georgia"/>
          <w:b w:val="false"/>
          <w:bCs w:val="false"/>
          <w:i w:val="false"/>
          <w:iCs w:val="false"/>
          <w:color w:val="1A1A1A"/>
          <w:sz w:val="23"/>
          <w:szCs w:val="23"/>
        </w:rPr>
        <w:t xml:space="preserve">Intentional overlap in membership is the primary mechanism for lateral information flow. When the same person participates in two governance bodies, they carry information between them without requiring a formal reporting mechanism. This is not double-work — it is network design.</w:t>
      </w:r>
    </w:p>
    <w:p>
      <w:pPr>
        <w:spacing w:before="0" w:after="185"/>
        <w:ind/>
        <w:jc w:val="both"/>
      </w:pPr>
      <w:r>
        <w:rPr>
          <w:rFonts w:ascii="Georgia" w:cs="Georgia" w:eastAsia="Georgia" w:hAnsi="Georgia"/>
          <w:b w:val="false"/>
          <w:bCs w:val="false"/>
          <w:i w:val="false"/>
          <w:iCs w:val="false"/>
          <w:color w:val="1A1A1A"/>
          <w:sz w:val="23"/>
          <w:szCs w:val="23"/>
        </w:rPr>
        <w:t xml:space="preserve">The following overlaps are designed: they are built into appointment processes and role descriptions, not left to chance. Where an overlap requires a specific individual to hold roles in two bodies, that dual participation is specified in both role descriptions and factored into workload planning.</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c>
          <w:tcPr>
            <w:tcW w:type="dxa" w:w="1292"/>
            <w:tcBorders>
              <w:top w:val="single" w:color="DDDDDD" w:sz="1"/>
              <w:left w:val="single" w:color="DDDDDD" w:sz="1"/>
              <w:bottom w:val="single" w:color="DDDDDD" w:sz="1"/>
              <w:right w:val="single" w:color="DDDDDD" w:sz="1"/>
            </w:tcBorders>
            <w:shd w:fill="0D1F3C" w:val="clear"/>
            <w:tcMar>
              <w:top w:type="dxa" w:w="80"/>
              <w:left w:type="dxa" w:w="100"/>
              <w:bottom w:type="dxa" w:w="80"/>
              <w:right w:type="dxa" w:w="80"/>
            </w:tcMar>
          </w:tcPr>
          <w:p/>
        </w:tc>
        <w:tc>
          <w:tcPr>
            <w:tcW w:type="dxa" w:w="1289"/>
            <w:tcBorders>
              <w:top w:val="single" w:color="DDDDDD" w:sz="1"/>
              <w:left w:val="single" w:color="DDDDDD" w:sz="1"/>
              <w:bottom w:val="single" w:color="DDDDDD" w:sz="1"/>
              <w:right w:val="single" w:color="DDDDDD" w:sz="1"/>
            </w:tcBorders>
            <w:shd w:fill="0D1F3C" w:val="clear"/>
            <w:tcMar>
              <w:top w:type="dxa" w:w="80"/>
              <w:left w:type="dxa" w:w="80"/>
              <w:bottom w:type="dxa" w:w="80"/>
              <w:right w:type="dxa" w:w="80"/>
            </w:tcMar>
          </w:tcPr>
          <w:p>
            <w:pPr>
              <w:jc w:val="center"/>
            </w:pPr>
            <w:r>
              <w:rPr>
                <w:rFonts w:ascii="Arial" w:cs="Arial" w:eastAsia="Arial" w:hAnsi="Arial"/>
                <w:b/>
                <w:bCs/>
                <w:color w:val="FFFFFF"/>
                <w:sz w:val="15"/>
                <w:szCs w:val="15"/>
              </w:rPr>
              <w:t xml:space="preserve">Senate</w:t>
            </w:r>
          </w:p>
        </w:tc>
        <w:tc>
          <w:tcPr>
            <w:tcW w:type="dxa" w:w="1289"/>
            <w:tcBorders>
              <w:top w:val="single" w:color="DDDDDD" w:sz="1"/>
              <w:left w:val="single" w:color="DDDDDD" w:sz="1"/>
              <w:bottom w:val="single" w:color="DDDDDD" w:sz="1"/>
              <w:right w:val="single" w:color="DDDDDD" w:sz="1"/>
            </w:tcBorders>
            <w:shd w:fill="0D1F3C" w:val="clear"/>
            <w:tcMar>
              <w:top w:type="dxa" w:w="80"/>
              <w:left w:type="dxa" w:w="80"/>
              <w:bottom w:type="dxa" w:w="80"/>
              <w:right w:type="dxa" w:w="80"/>
            </w:tcMar>
          </w:tcPr>
          <w:p>
            <w:pPr>
              <w:jc w:val="center"/>
            </w:pPr>
            <w:r>
              <w:rPr>
                <w:rFonts w:ascii="Arial" w:cs="Arial" w:eastAsia="Arial" w:hAnsi="Arial"/>
                <w:b/>
                <w:bCs/>
                <w:color w:val="FFFFFF"/>
                <w:sz w:val="15"/>
                <w:szCs w:val="15"/>
              </w:rPr>
              <w:t xml:space="preserve">DSC</w:t>
            </w:r>
          </w:p>
        </w:tc>
        <w:tc>
          <w:tcPr>
            <w:tcW w:type="dxa" w:w="1289"/>
            <w:tcBorders>
              <w:top w:val="single" w:color="DDDDDD" w:sz="1"/>
              <w:left w:val="single" w:color="DDDDDD" w:sz="1"/>
              <w:bottom w:val="single" w:color="DDDDDD" w:sz="1"/>
              <w:right w:val="single" w:color="DDDDDD" w:sz="1"/>
            </w:tcBorders>
            <w:shd w:fill="0D1F3C" w:val="clear"/>
            <w:tcMar>
              <w:top w:type="dxa" w:w="80"/>
              <w:left w:type="dxa" w:w="80"/>
              <w:bottom w:type="dxa" w:w="80"/>
              <w:right w:type="dxa" w:w="80"/>
            </w:tcMar>
          </w:tcPr>
          <w:p>
            <w:pPr>
              <w:jc w:val="center"/>
            </w:pPr>
            <w:r>
              <w:rPr>
                <w:rFonts w:ascii="Arial" w:cs="Arial" w:eastAsia="Arial" w:hAnsi="Arial"/>
                <w:b/>
                <w:bCs/>
                <w:color w:val="FFFFFF"/>
                <w:sz w:val="15"/>
                <w:szCs w:val="15"/>
              </w:rPr>
              <w:t xml:space="preserve">REC</w:t>
            </w:r>
          </w:p>
        </w:tc>
        <w:tc>
          <w:tcPr>
            <w:tcW w:type="dxa" w:w="1289"/>
            <w:tcBorders>
              <w:top w:val="single" w:color="DDDDDD" w:sz="1"/>
              <w:left w:val="single" w:color="DDDDDD" w:sz="1"/>
              <w:bottom w:val="single" w:color="DDDDDD" w:sz="1"/>
              <w:right w:val="single" w:color="DDDDDD" w:sz="1"/>
            </w:tcBorders>
            <w:shd w:fill="0D1F3C" w:val="clear"/>
            <w:tcMar>
              <w:top w:type="dxa" w:w="80"/>
              <w:left w:type="dxa" w:w="80"/>
              <w:bottom w:type="dxa" w:w="80"/>
              <w:right w:type="dxa" w:w="80"/>
            </w:tcMar>
          </w:tcPr>
          <w:p>
            <w:pPr>
              <w:jc w:val="center"/>
            </w:pPr>
            <w:r>
              <w:rPr>
                <w:rFonts w:ascii="Arial" w:cs="Arial" w:eastAsia="Arial" w:hAnsi="Arial"/>
                <w:b/>
                <w:bCs/>
                <w:color w:val="FFFFFF"/>
                <w:sz w:val="15"/>
                <w:szCs w:val="15"/>
              </w:rPr>
              <w:t xml:space="preserve">Hubs</w:t>
            </w:r>
          </w:p>
        </w:tc>
        <w:tc>
          <w:tcPr>
            <w:tcW w:type="dxa" w:w="1289"/>
            <w:tcBorders>
              <w:top w:val="single" w:color="DDDDDD" w:sz="1"/>
              <w:left w:val="single" w:color="DDDDDD" w:sz="1"/>
              <w:bottom w:val="single" w:color="DDDDDD" w:sz="1"/>
              <w:right w:val="single" w:color="DDDDDD" w:sz="1"/>
            </w:tcBorders>
            <w:shd w:fill="0D1F3C" w:val="clear"/>
            <w:tcMar>
              <w:top w:type="dxa" w:w="80"/>
              <w:left w:type="dxa" w:w="80"/>
              <w:bottom w:type="dxa" w:w="80"/>
              <w:right w:type="dxa" w:w="80"/>
            </w:tcMar>
          </w:tcPr>
          <w:p>
            <w:pPr>
              <w:jc w:val="center"/>
            </w:pPr>
            <w:r>
              <w:rPr>
                <w:rFonts w:ascii="Arial" w:cs="Arial" w:eastAsia="Arial" w:hAnsi="Arial"/>
                <w:b/>
                <w:bCs/>
                <w:color w:val="FFFFFF"/>
                <w:sz w:val="15"/>
                <w:szCs w:val="15"/>
              </w:rPr>
              <w:t xml:space="preserve">Prog.Cmt</w:t>
            </w:r>
          </w:p>
        </w:tc>
        <w:tc>
          <w:tcPr>
            <w:tcW w:type="dxa" w:w="1289"/>
            <w:tcBorders>
              <w:top w:val="single" w:color="DDDDDD" w:sz="1"/>
              <w:left w:val="single" w:color="DDDDDD" w:sz="1"/>
              <w:bottom w:val="single" w:color="DDDDDD" w:sz="1"/>
              <w:right w:val="single" w:color="DDDDDD" w:sz="1"/>
            </w:tcBorders>
            <w:shd w:fill="0D1F3C" w:val="clear"/>
            <w:tcMar>
              <w:top w:type="dxa" w:w="80"/>
              <w:left w:type="dxa" w:w="80"/>
              <w:bottom w:type="dxa" w:w="80"/>
              <w:right w:type="dxa" w:w="80"/>
            </w:tcMar>
          </w:tcPr>
          <w:p>
            <w:pPr>
              <w:jc w:val="center"/>
            </w:pPr>
            <w:r>
              <w:rPr>
                <w:rFonts w:ascii="Arial" w:cs="Arial" w:eastAsia="Arial" w:hAnsi="Arial"/>
                <w:b/>
                <w:bCs/>
                <w:color w:val="FFFFFF"/>
                <w:sz w:val="15"/>
                <w:szCs w:val="15"/>
              </w:rPr>
              <w:t xml:space="preserve">R.Cluster</w:t>
            </w:r>
          </w:p>
        </w:tc>
      </w:tr>
      <w:tr>
        <w:tc>
          <w:tcPr>
            <w:tcW w:type="dxa" w:w="1292"/>
            <w:tcBorders>
              <w:top w:val="single" w:color="DDDDDD" w:sz="1"/>
              <w:left w:val="single" w:color="DDDDDD" w:sz="1"/>
              <w:bottom w:val="single" w:color="DDDDDD" w:sz="1"/>
              <w:right w:val="single" w:color="DDDDDD" w:sz="1"/>
            </w:tcBorders>
            <w:shd w:fill="F4F7FA" w:val="clear"/>
            <w:tcMar>
              <w:top w:type="dxa" w:w="70"/>
              <w:left w:type="dxa" w:w="100"/>
              <w:bottom w:type="dxa" w:w="70"/>
              <w:right w:type="dxa" w:w="80"/>
            </w:tcMar>
          </w:tcPr>
          <w:p>
            <w:r>
              <w:rPr>
                <w:rFonts w:ascii="Arial" w:cs="Arial" w:eastAsia="Arial" w:hAnsi="Arial"/>
                <w:b/>
                <w:bCs/>
                <w:color w:val="1F3864"/>
                <w:sz w:val="15"/>
                <w:szCs w:val="15"/>
              </w:rPr>
              <w:t xml:space="preserve">Senate</w:t>
            </w:r>
          </w:p>
        </w:tc>
        <w:tc>
          <w:tcPr>
            <w:tcW w:type="dxa" w:w="1289"/>
            <w:tcBorders>
              <w:top w:val="single" w:color="DDDDDD" w:sz="1"/>
              <w:left w:val="single" w:color="DDDDDD" w:sz="1"/>
              <w:bottom w:val="single" w:color="DDDDDD" w:sz="1"/>
              <w:right w:val="single" w:color="DDDDDD" w:sz="1"/>
            </w:tcBorders>
            <w:shd w:fill="0D1F3C" w:val="clear"/>
            <w:tcMar>
              <w:top w:type="dxa" w:w="70"/>
              <w:left w:type="dxa" w:w="60"/>
              <w:bottom w:type="dxa" w:w="70"/>
              <w:right w:type="dxa" w:w="60"/>
            </w:tcMar>
          </w:tcPr>
          <w:p>
            <w:pPr>
              <w:jc w:val="center"/>
            </w:pPr>
            <w:r>
              <w:rPr>
                <w:rFonts w:ascii="Arial" w:cs="Arial" w:eastAsia="Arial" w:hAnsi="Arial"/>
                <w:b/>
                <w:bCs/>
                <w:color w:val="FFFFFF"/>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r>
      <w:tr>
        <w:tc>
          <w:tcPr>
            <w:tcW w:type="dxa" w:w="1292"/>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color w:val="1F3864"/>
                <w:sz w:val="15"/>
                <w:szCs w:val="15"/>
              </w:rPr>
              <w:t xml:space="preserve">DSC</w:t>
            </w:r>
          </w:p>
        </w:tc>
        <w:tc>
          <w:tcPr>
            <w:tcW w:type="dxa" w:w="1289"/>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0D1F3C" w:val="clear"/>
            <w:tcMar>
              <w:top w:type="dxa" w:w="70"/>
              <w:left w:type="dxa" w:w="60"/>
              <w:bottom w:type="dxa" w:w="70"/>
              <w:right w:type="dxa" w:w="60"/>
            </w:tcMar>
          </w:tcPr>
          <w:p>
            <w:pPr>
              <w:jc w:val="center"/>
            </w:pPr>
            <w:r>
              <w:rPr>
                <w:rFonts w:ascii="Arial" w:cs="Arial" w:eastAsia="Arial" w:hAnsi="Arial"/>
                <w:b/>
                <w:bCs/>
                <w:color w:val="FFFFFF"/>
                <w:sz w:val="15"/>
                <w:szCs w:val="15"/>
              </w:rPr>
              <w:t xml:space="preserve">—</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Shared
concerns</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Doctoral
researchers</w:t>
            </w:r>
          </w:p>
        </w:tc>
        <w:tc>
          <w:tcPr>
            <w:tcW w:type="dxa" w:w="1289"/>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Supervisors
are members</w:t>
            </w:r>
          </w:p>
        </w:tc>
      </w:tr>
      <w:tr>
        <w:tc>
          <w:tcPr>
            <w:tcW w:type="dxa" w:w="1292"/>
            <w:tcBorders>
              <w:top w:val="single" w:color="DDDDDD" w:sz="1"/>
              <w:left w:val="single" w:color="DDDDDD" w:sz="1"/>
              <w:bottom w:val="single" w:color="DDDDDD" w:sz="1"/>
              <w:right w:val="single" w:color="DDDDDD" w:sz="1"/>
            </w:tcBorders>
            <w:shd w:fill="F4F7FA" w:val="clear"/>
            <w:tcMar>
              <w:top w:type="dxa" w:w="70"/>
              <w:left w:type="dxa" w:w="100"/>
              <w:bottom w:type="dxa" w:w="70"/>
              <w:right w:type="dxa" w:w="80"/>
            </w:tcMar>
          </w:tcPr>
          <w:p>
            <w:r>
              <w:rPr>
                <w:rFonts w:ascii="Arial" w:cs="Arial" w:eastAsia="Arial" w:hAnsi="Arial"/>
                <w:b/>
                <w:bCs/>
                <w:color w:val="1F3864"/>
                <w:sz w:val="15"/>
                <w:szCs w:val="15"/>
              </w:rPr>
              <w:t xml:space="preserve">REC</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Shared
concerns</w:t>
            </w:r>
          </w:p>
        </w:tc>
        <w:tc>
          <w:tcPr>
            <w:tcW w:type="dxa" w:w="1289"/>
            <w:tcBorders>
              <w:top w:val="single" w:color="DDDDDD" w:sz="1"/>
              <w:left w:val="single" w:color="DDDDDD" w:sz="1"/>
              <w:bottom w:val="single" w:color="DDDDDD" w:sz="1"/>
              <w:right w:val="single" w:color="DDDDDD" w:sz="1"/>
            </w:tcBorders>
            <w:shd w:fill="0D1F3C" w:val="clear"/>
            <w:tcMar>
              <w:top w:type="dxa" w:w="70"/>
              <w:left w:type="dxa" w:w="60"/>
              <w:bottom w:type="dxa" w:w="70"/>
              <w:right w:type="dxa" w:w="60"/>
            </w:tcMar>
          </w:tcPr>
          <w:p>
            <w:pPr>
              <w:jc w:val="center"/>
            </w:pPr>
            <w:r>
              <w:rPr>
                <w:rFonts w:ascii="Arial" w:cs="Arial" w:eastAsia="Arial" w:hAnsi="Arial"/>
                <w:b/>
                <w:bCs/>
                <w:color w:val="FFFFFF"/>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r>
      <w:tr>
        <w:tc>
          <w:tcPr>
            <w:tcW w:type="dxa" w:w="1292"/>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color w:val="1F3864"/>
                <w:sz w:val="15"/>
                <w:szCs w:val="15"/>
              </w:rPr>
              <w:t xml:space="preserve">Hubs</w:t>
            </w:r>
          </w:p>
        </w:tc>
        <w:tc>
          <w:tcPr>
            <w:tcW w:type="dxa" w:w="1289"/>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Doctoral
researchers</w:t>
            </w:r>
          </w:p>
        </w:tc>
        <w:tc>
          <w:tcPr>
            <w:tcW w:type="dxa" w:w="1289"/>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0D1F3C" w:val="clear"/>
            <w:tcMar>
              <w:top w:type="dxa" w:w="70"/>
              <w:left w:type="dxa" w:w="60"/>
              <w:bottom w:type="dxa" w:w="70"/>
              <w:right w:type="dxa" w:w="60"/>
            </w:tcMar>
          </w:tcPr>
          <w:p>
            <w:pPr>
              <w:jc w:val="center"/>
            </w:pPr>
            <w:r>
              <w:rPr>
                <w:rFonts w:ascii="Arial" w:cs="Arial" w:eastAsia="Arial" w:hAnsi="Arial"/>
                <w:b/>
                <w:bCs/>
                <w:color w:val="FFFFFF"/>
                <w:sz w:val="15"/>
                <w:szCs w:val="15"/>
              </w:rPr>
              <w:t xml:space="preserve">—</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Designed
overlap ★</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Designed
overlap ★</w:t>
            </w:r>
          </w:p>
        </w:tc>
      </w:tr>
      <w:tr>
        <w:tc>
          <w:tcPr>
            <w:tcW w:type="dxa" w:w="1292"/>
            <w:tcBorders>
              <w:top w:val="single" w:color="DDDDDD" w:sz="1"/>
              <w:left w:val="single" w:color="DDDDDD" w:sz="1"/>
              <w:bottom w:val="single" w:color="DDDDDD" w:sz="1"/>
              <w:right w:val="single" w:color="DDDDDD" w:sz="1"/>
            </w:tcBorders>
            <w:shd w:fill="F4F7FA" w:val="clear"/>
            <w:tcMar>
              <w:top w:type="dxa" w:w="70"/>
              <w:left w:type="dxa" w:w="100"/>
              <w:bottom w:type="dxa" w:w="70"/>
              <w:right w:type="dxa" w:w="80"/>
            </w:tcMar>
          </w:tcPr>
          <w:p>
            <w:r>
              <w:rPr>
                <w:rFonts w:ascii="Arial" w:cs="Arial" w:eastAsia="Arial" w:hAnsi="Arial"/>
                <w:b/>
                <w:bCs/>
                <w:color w:val="1F3864"/>
                <w:sz w:val="15"/>
                <w:szCs w:val="15"/>
              </w:rPr>
              <w:t xml:space="preserve">Prog.Cmt</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F4F7FA"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Designed
overlap ★</w:t>
            </w:r>
          </w:p>
        </w:tc>
        <w:tc>
          <w:tcPr>
            <w:tcW w:type="dxa" w:w="1289"/>
            <w:tcBorders>
              <w:top w:val="single" w:color="DDDDDD" w:sz="1"/>
              <w:left w:val="single" w:color="DDDDDD" w:sz="1"/>
              <w:bottom w:val="single" w:color="DDDDDD" w:sz="1"/>
              <w:right w:val="single" w:color="DDDDDD" w:sz="1"/>
            </w:tcBorders>
            <w:shd w:fill="0D1F3C" w:val="clear"/>
            <w:tcMar>
              <w:top w:type="dxa" w:w="70"/>
              <w:left w:type="dxa" w:w="60"/>
              <w:bottom w:type="dxa" w:w="70"/>
              <w:right w:type="dxa" w:w="60"/>
            </w:tcMar>
          </w:tcPr>
          <w:p>
            <w:pPr>
              <w:jc w:val="center"/>
            </w:pPr>
            <w:r>
              <w:rPr>
                <w:rFonts w:ascii="Arial" w:cs="Arial" w:eastAsia="Arial" w:hAnsi="Arial"/>
                <w:b/>
                <w:bCs/>
                <w:color w:val="FFFFFF"/>
                <w:sz w:val="15"/>
                <w:szCs w:val="15"/>
              </w:rPr>
              <w:t xml:space="preserve">—</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Research
integration</w:t>
            </w:r>
          </w:p>
        </w:tc>
      </w:tr>
      <w:tr>
        <w:tc>
          <w:tcPr>
            <w:tcW w:type="dxa" w:w="1292"/>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color w:val="1F3864"/>
                <w:sz w:val="15"/>
                <w:szCs w:val="15"/>
              </w:rPr>
              <w:t xml:space="preserve">R.Cluster</w:t>
            </w:r>
          </w:p>
        </w:tc>
        <w:tc>
          <w:tcPr>
            <w:tcW w:type="dxa" w:w="1289"/>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Supervisors
are members</w:t>
            </w:r>
          </w:p>
        </w:tc>
        <w:tc>
          <w:tcPr>
            <w:tcW w:type="dxa" w:w="1289"/>
            <w:tcBorders>
              <w:top w:val="single" w:color="DDDDDD" w:sz="1"/>
              <w:left w:val="single" w:color="DDDDDD" w:sz="1"/>
              <w:bottom w:val="single" w:color="DDDDDD" w:sz="1"/>
              <w:right w:val="single" w:color="DDDDDD"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5"/>
                <w:szCs w:val="15"/>
              </w:rPr>
              <w:t xml:space="preserve">·</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Designed
overlap ★</w:t>
            </w:r>
          </w:p>
        </w:tc>
        <w:tc>
          <w:tcPr>
            <w:tcW w:type="dxa" w:w="1289"/>
            <w:tcBorders>
              <w:top w:val="single" w:color="DDDDDD" w:sz="1"/>
              <w:left w:val="single" w:color="DDDDDD" w:sz="1"/>
              <w:bottom w:val="single" w:color="DDDDDD" w:sz="1"/>
              <w:right w:val="single" w:color="DDDDDD" w:sz="1"/>
            </w:tcBorders>
            <w:shd w:fill="EAF5EE" w:val="clear"/>
            <w:tcMar>
              <w:top w:type="dxa" w:w="70"/>
              <w:left w:type="dxa" w:w="60"/>
              <w:bottom w:type="dxa" w:w="70"/>
              <w:right w:type="dxa" w:w="60"/>
            </w:tcMar>
          </w:tcPr>
          <w:p>
            <w:pPr>
              <w:jc w:val="center"/>
            </w:pPr>
            <w:r>
              <w:rPr>
                <w:rFonts w:ascii="Arial" w:cs="Arial" w:eastAsia="Arial" w:hAnsi="Arial"/>
                <w:b/>
                <w:bCs/>
                <w:color w:val="1A5C38"/>
                <w:sz w:val="15"/>
                <w:szCs w:val="15"/>
              </w:rPr>
              <w:t xml:space="preserve">Research
integration</w:t>
            </w:r>
          </w:p>
        </w:tc>
        <w:tc>
          <w:tcPr>
            <w:tcW w:type="dxa" w:w="1289"/>
            <w:tcBorders>
              <w:top w:val="single" w:color="DDDDDD" w:sz="1"/>
              <w:left w:val="single" w:color="DDDDDD" w:sz="1"/>
              <w:bottom w:val="single" w:color="DDDDDD" w:sz="1"/>
              <w:right w:val="single" w:color="DDDDDD" w:sz="1"/>
            </w:tcBorders>
            <w:shd w:fill="0D1F3C" w:val="clear"/>
            <w:tcMar>
              <w:top w:type="dxa" w:w="70"/>
              <w:left w:type="dxa" w:w="60"/>
              <w:bottom w:type="dxa" w:w="70"/>
              <w:right w:type="dxa" w:w="60"/>
            </w:tcMar>
          </w:tcPr>
          <w:p>
            <w:pPr>
              <w:jc w:val="center"/>
            </w:pPr>
            <w:r>
              <w:rPr>
                <w:rFonts w:ascii="Arial" w:cs="Arial" w:eastAsia="Arial" w:hAnsi="Arial"/>
                <w:b/>
                <w:bCs/>
                <w:color w:val="FFFFFF"/>
                <w:sz w:val="15"/>
                <w:szCs w:val="15"/>
              </w:rPr>
              <w:t xml:space="preserve">—</w:t>
            </w:r>
          </w:p>
        </w:tc>
      </w:tr>
    </w:tbl>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 Starred overlaps are the most strategically important and require the most deliberate design. At least one Mission Hub lead should sit on each Programme Committee for their thematic area. At least one Research Cluster member should participate in each relevant Mission Hub. These are not suggestions — they are governance design requirements.</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IV.  Coordination Mechanisms</w:t>
      </w:r>
    </w:p>
    <w:p>
      <w:pPr>
        <w:spacing w:before="0" w:after="185"/>
        <w:ind/>
        <w:jc w:val="both"/>
      </w:pPr>
      <w:r>
        <w:rPr>
          <w:rFonts w:ascii="Georgia" w:cs="Georgia" w:eastAsia="Georgia" w:hAnsi="Georgia"/>
          <w:b w:val="false"/>
          <w:bCs w:val="false"/>
          <w:i w:val="false"/>
          <w:iCs w:val="false"/>
          <w:color w:val="1A1A1A"/>
          <w:sz w:val="23"/>
          <w:szCs w:val="23"/>
        </w:rPr>
        <w:t xml:space="preserve">Membership overlap handles organic information transfer. Coordination mechanisms handle structured information transfer — the deliberate, scheduled creation of cross-committee insight.</w:t>
      </w:r>
    </w:p>
    <w:p>
      <w:pPr>
        <w:spacing w:before="0" w:after="80"/>
      </w:pPr>
    </w:p>
    <w:p>
      <w:pPr>
        <w:pStyle w:val="Heading2"/>
        <w:spacing w:before="320" w:after="100"/>
      </w:pPr>
      <w:r>
        <w:rPr>
          <w:rFonts w:ascii="Georgia" w:cs="Georgia" w:eastAsia="Georgia" w:hAnsi="Georgia"/>
          <w:b/>
          <w:bCs/>
          <w:color w:val="2E75B6"/>
          <w:sz w:val="25"/>
          <w:szCs w:val="25"/>
        </w:rPr>
        <w:t xml:space="preserve">The Cross-Committee Coordination Session (Semester)</w:t>
      </w:r>
    </w:p>
    <w:p>
      <w:pPr>
        <w:spacing w:before="0" w:after="185"/>
        <w:ind/>
        <w:jc w:val="both"/>
      </w:pPr>
      <w:r>
        <w:rPr>
          <w:rFonts w:ascii="Georgia" w:cs="Georgia" w:eastAsia="Georgia" w:hAnsi="Georgia"/>
          <w:b w:val="false"/>
          <w:bCs w:val="false"/>
          <w:i w:val="false"/>
          <w:iCs w:val="false"/>
          <w:color w:val="1A1A1A"/>
          <w:sz w:val="23"/>
          <w:szCs w:val="23"/>
        </w:rPr>
        <w:t xml:space="preserve">Described in the Inter-Layer Feedback Protocol, this session is the primary structural mechanism for lateral information flow. It brings together the chairs of all G3 committees and Mission Hub leads for a two-hour session each semester. The agenda: what patterns are visible across our individual work? What issues cut across committee boundaries and require joint attention?</w:t>
      </w:r>
    </w:p>
    <w:p>
      <w:pPr>
        <w:spacing w:before="0" w:after="185"/>
        <w:ind/>
        <w:jc w:val="both"/>
      </w:pPr>
      <w:r>
        <w:rPr>
          <w:rFonts w:ascii="Georgia" w:cs="Georgia" w:eastAsia="Georgia" w:hAnsi="Georgia"/>
          <w:b w:val="false"/>
          <w:bCs w:val="false"/>
          <w:i w:val="false"/>
          <w:iCs w:val="false"/>
          <w:color w:val="1A1A1A"/>
          <w:sz w:val="23"/>
          <w:szCs w:val="23"/>
        </w:rPr>
        <w:t xml:space="preserve">The Coordination Session is not a reporting meeting. Chairs do not present their committee's work to each other in sequence — that is what the Shared Findings Register is for. The session is a conversation about patterns, and it requires preparation: each participant reads the Register before attending and comes with a specific observation about what they see across committee outputs.</w:t>
      </w:r>
    </w:p>
    <w:p>
      <w:pPr>
        <w:spacing w:before="0" w:after="80"/>
      </w:pPr>
    </w:p>
    <w:p>
      <w:pPr>
        <w:pStyle w:val="Heading2"/>
        <w:spacing w:before="320" w:after="100"/>
      </w:pPr>
      <w:r>
        <w:rPr>
          <w:rFonts w:ascii="Georgia" w:cs="Georgia" w:eastAsia="Georgia" w:hAnsi="Georgia"/>
          <w:b/>
          <w:bCs/>
          <w:color w:val="2E75B6"/>
          <w:sz w:val="25"/>
          <w:szCs w:val="25"/>
        </w:rPr>
        <w:t xml:space="preserve">The Shared Findings Register (Continuous)</w:t>
      </w:r>
    </w:p>
    <w:p>
      <w:pPr>
        <w:spacing w:before="0" w:after="185"/>
        <w:ind/>
        <w:jc w:val="both"/>
      </w:pPr>
      <w:r>
        <w:rPr>
          <w:rFonts w:ascii="Georgia" w:cs="Georgia" w:eastAsia="Georgia" w:hAnsi="Georgia"/>
          <w:b w:val="false"/>
          <w:bCs w:val="false"/>
          <w:i w:val="false"/>
          <w:iCs w:val="false"/>
          <w:color w:val="1A1A1A"/>
          <w:sz w:val="23"/>
          <w:szCs w:val="23"/>
        </w:rPr>
        <w:t xml:space="preserve">A structured document maintained by the Academic Senate Secretariat, updated after each committee meeting with a brief entry from the committee chair. The Register has a simple structure: Committee name, meeting date, most significant finding, any pattern that other committees should be aware of, and any open question that would benefit from cross-committee input.</w:t>
      </w:r>
    </w:p>
    <w:p>
      <w:pPr>
        <w:spacing w:before="0" w:after="185"/>
        <w:ind/>
        <w:jc w:val="both"/>
      </w:pPr>
      <w:r>
        <w:rPr>
          <w:rFonts w:ascii="Georgia" w:cs="Georgia" w:eastAsia="Georgia" w:hAnsi="Georgia"/>
          <w:b w:val="false"/>
          <w:bCs w:val="false"/>
          <w:i w:val="false"/>
          <w:iCs w:val="false"/>
          <w:color w:val="1A1A1A"/>
          <w:sz w:val="23"/>
          <w:szCs w:val="23"/>
        </w:rPr>
        <w:t xml:space="preserve">The Register is visible to all G3 committee members and G4 unit leads. It is not confidential — the value of the Register depends entirely on people reading it. Committee chairs are expected to check the Register before their own committee meetings to see whether any finding from another body is relevant to their agenda.</w:t>
      </w:r>
    </w:p>
    <w:p>
      <w:pPr>
        <w:spacing w:before="0" w:after="80"/>
      </w:pPr>
    </w:p>
    <w:p>
      <w:pPr>
        <w:pStyle w:val="Heading2"/>
        <w:spacing w:before="320" w:after="100"/>
      </w:pPr>
      <w:r>
        <w:rPr>
          <w:rFonts w:ascii="Georgia" w:cs="Georgia" w:eastAsia="Georgia" w:hAnsi="Georgia"/>
          <w:b/>
          <w:bCs/>
          <w:color w:val="2E75B6"/>
          <w:sz w:val="25"/>
          <w:szCs w:val="25"/>
        </w:rPr>
        <w:t xml:space="preserve">The Annual Research Integration Review (Annually)</w:t>
      </w:r>
    </w:p>
    <w:p>
      <w:pPr>
        <w:spacing w:before="0" w:after="185"/>
        <w:ind/>
        <w:jc w:val="both"/>
      </w:pPr>
      <w:r>
        <w:rPr>
          <w:rFonts w:ascii="Georgia" w:cs="Georgia" w:eastAsia="Georgia" w:hAnsi="Georgia"/>
          <w:b w:val="false"/>
          <w:bCs w:val="false"/>
          <w:i w:val="false"/>
          <w:iCs w:val="false"/>
          <w:color w:val="1A1A1A"/>
          <w:sz w:val="23"/>
          <w:szCs w:val="23"/>
        </w:rPr>
        <w:t xml:space="preserve">A structured annual review, conducted jointly by Research Clusters and Programme Committees, that assesses whether research activity is genuinely informing curriculum. Described in the Research &amp; Doctoral Framework, this review is the primary mechanism connecting the two bodies that are most at risk of operating in parallel without connecting.</w:t>
      </w:r>
    </w:p>
    <w:p>
      <w:pPr>
        <w:spacing w:before="0" w:after="185"/>
        <w:ind/>
        <w:jc w:val="both"/>
      </w:pPr>
      <w:r>
        <w:rPr>
          <w:rFonts w:ascii="Georgia" w:cs="Georgia" w:eastAsia="Georgia" w:hAnsi="Georgia"/>
          <w:b w:val="false"/>
          <w:bCs w:val="false"/>
          <w:i w:val="false"/>
          <w:iCs w:val="false"/>
          <w:color w:val="1A1A1A"/>
          <w:sz w:val="23"/>
          <w:szCs w:val="23"/>
        </w:rPr>
        <w:t xml:space="preserve">The Research Director chairs the Review and reports findings to the Academic Senate. Where the Review identifies systematic disconnection between research and teaching, this is a G3-level concern requiring Senate response — not merely an operational matter for individual units to address.</w:t>
      </w:r>
    </w:p>
    <w:p>
      <w:pPr>
        <w:spacing w:before="0" w:after="80"/>
      </w:pPr>
    </w:p>
    <w:p>
      <w:pPr>
        <w:pStyle w:val="Heading2"/>
        <w:spacing w:before="320" w:after="100"/>
      </w:pPr>
      <w:r>
        <w:rPr>
          <w:rFonts w:ascii="Georgia" w:cs="Georgia" w:eastAsia="Georgia" w:hAnsi="Georgia"/>
          <w:b/>
          <w:bCs/>
          <w:color w:val="2E75B6"/>
          <w:sz w:val="25"/>
          <w:szCs w:val="25"/>
        </w:rPr>
        <w:t xml:space="preserve">The Mission Hub — Programme Committee Interface (Semester)</w:t>
      </w:r>
    </w:p>
    <w:p>
      <w:pPr>
        <w:spacing w:before="0" w:after="185"/>
        <w:ind/>
        <w:jc w:val="both"/>
      </w:pPr>
      <w:r>
        <w:rPr>
          <w:rFonts w:ascii="Georgia" w:cs="Georgia" w:eastAsia="Georgia" w:hAnsi="Georgia"/>
          <w:b w:val="false"/>
          <w:bCs w:val="false"/>
          <w:i w:val="false"/>
          <w:iCs w:val="false"/>
          <w:color w:val="1A1A1A"/>
          <w:sz w:val="23"/>
          <w:szCs w:val="23"/>
        </w:rPr>
        <w:t xml:space="preserve">The most important designed overlap in the OUG committee architecture is between Mission Hubs and Programme Committees. This interface needs more than a shared membership requirement — it needs a structured interaction format.</w:t>
      </w:r>
    </w:p>
    <w:p>
      <w:pPr>
        <w:spacing w:before="0" w:after="185"/>
        <w:ind/>
        <w:jc w:val="both"/>
      </w:pPr>
      <w:r>
        <w:rPr>
          <w:rFonts w:ascii="Georgia" w:cs="Georgia" w:eastAsia="Georgia" w:hAnsi="Georgia"/>
          <w:b w:val="false"/>
          <w:bCs w:val="false"/>
          <w:i w:val="false"/>
          <w:iCs w:val="false"/>
          <w:color w:val="1A1A1A"/>
          <w:sz w:val="23"/>
          <w:szCs w:val="23"/>
        </w:rPr>
        <w:t xml:space="preserve">Each semester, the Mission Hub lead for a given thematic area meets with the chairs of the Programme Committees in that area for a focused one-hour session. The agenda is simple: what has the Hub learned this semester that Programme Committees should know? What questions do Programme Committees have that the Hub community could help answer? This is a working conversation, not a formal reporting session.</w:t>
      </w:r>
    </w:p>
    <w:p>
      <w:pPr>
        <w:spacing w:before="0" w:after="185"/>
        <w:ind/>
        <w:jc w:val="both"/>
      </w:pPr>
      <w:r>
        <w:rPr>
          <w:rFonts w:ascii="Georgia" w:cs="Georgia" w:eastAsia="Georgia" w:hAnsi="Georgia"/>
          <w:b w:val="false"/>
          <w:bCs w:val="false"/>
          <w:i w:val="false"/>
          <w:iCs w:val="false"/>
          <w:color w:val="1A1A1A"/>
          <w:sz w:val="23"/>
          <w:szCs w:val="23"/>
        </w:rPr>
        <w:t xml:space="preserve">The output is a brief shared note — two or three bullet points — added to both the Hub's and the Programme Committee's records and included in the Shared Findings Register.</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V.  Maintaining the Architecture Over Time</w:t>
      </w:r>
    </w:p>
    <w:p>
      <w:pPr>
        <w:spacing w:before="0" w:after="185"/>
        <w:ind/>
        <w:jc w:val="both"/>
      </w:pPr>
      <w:r>
        <w:rPr>
          <w:rFonts w:ascii="Georgia" w:cs="Georgia" w:eastAsia="Georgia" w:hAnsi="Georgia"/>
          <w:b w:val="false"/>
          <w:bCs w:val="false"/>
          <w:i w:val="false"/>
          <w:iCs w:val="false"/>
          <w:color w:val="1A1A1A"/>
          <w:sz w:val="23"/>
          <w:szCs w:val="23"/>
        </w:rPr>
        <w:t xml:space="preserve">Committee information architectures decay. Designed overlaps become nominal when the people holding dual roles become overloaded and stop attending one of their committees. The Shared Findings Register stops being read when no one references it in meetings. The Coordination Session becomes a routine event that everyone attends but no one prepares for.</w:t>
      </w:r>
    </w:p>
    <w:p>
      <w:pPr>
        <w:spacing w:before="0" w:after="185"/>
        <w:ind/>
        <w:jc w:val="both"/>
      </w:pPr>
      <w:r>
        <w:rPr>
          <w:rFonts w:ascii="Georgia" w:cs="Georgia" w:eastAsia="Georgia" w:hAnsi="Georgia"/>
          <w:b w:val="false"/>
          <w:bCs w:val="false"/>
          <w:i w:val="false"/>
          <w:iCs w:val="false"/>
          <w:color w:val="1A1A1A"/>
          <w:sz w:val="23"/>
          <w:szCs w:val="23"/>
        </w:rPr>
        <w:t xml:space="preserve">The Academic Senate Chair is responsible for the health of the committee information architecture. This responsibility includes: monitoring participation in designed overlap roles and flagging when dual-role holders are not attending both bodies; reviewing the Shared Findings Register each semester to assess whether it is being used; and raising the quality of the Coordination Session as a standing agenda item in the Senate's annual self-review.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1A5C38" w:val="clear"/>
            <w:tcMar>
              <w:top w:type="dxa" w:w="0"/>
              <w:left w:type="dxa" w:w="0"/>
              <w:bottom w:type="dxa" w:w="0"/>
              <w:right w:type="dxa" w:w="0"/>
            </w:tcMar>
          </w:tcPr>
          <w:p/>
        </w:tc>
        <w:tc>
          <w:tcPr>
            <w:tcW w:type="dxa" w:w="8846"/>
            <w:tcBorders>
              <w:top w:val="none"/>
              <w:left w:val="none"/>
              <w:bottom w:val="none"/>
              <w:right w:val="none"/>
            </w:tcBorders>
            <w:shd w:fill="EAF5EE" w:val="clear"/>
            <w:tcMar>
              <w:top w:type="dxa" w:w="130"/>
              <w:left w:type="dxa" w:w="240"/>
              <w:bottom w:type="dxa" w:w="130"/>
              <w:right w:type="dxa" w:w="180"/>
            </w:tcMar>
          </w:tcPr>
          <w:p>
            <w:pPr>
              <w:spacing w:before="0" w:after="60"/>
            </w:pPr>
            <w:r>
              <w:rPr>
                <w:rFonts w:ascii="Arial" w:cs="Arial" w:eastAsia="Arial" w:hAnsi="Arial"/>
                <w:b/>
                <w:bCs/>
                <w:caps/>
                <w:color w:val="1A5C38"/>
                <w:sz w:val="17"/>
                <w:szCs w:val="17"/>
              </w:rPr>
              <w:t xml:space="preserve">Annual Architecture Review</w:t>
            </w:r>
          </w:p>
          <w:p>
            <w:pPr>
              <w:spacing w:before="0" w:after="0"/>
              <w:jc w:val="both"/>
            </w:pPr>
            <w:r>
              <w:rPr>
                <w:rFonts w:ascii="Georgia" w:cs="Georgia" w:eastAsia="Georgia" w:hAnsi="Georgia"/>
                <w:color w:val="1A1A1A"/>
                <w:sz w:val="22"/>
                <w:szCs w:val="22"/>
              </w:rPr>
              <w:t xml:space="preserve">Once per year, as part of the Academic Senate's self-review, a thirty-minute session is dedicated to the committee information architecture: Are the designed overlaps functioning? Is information actually flowing between bodies? Are there new connection gaps that have emerged as the institution has grown? The output is a brief note — what is working, what is not, and what specific adjustments are needed — recorded in the Senate minutes and acted on before the next academic year.</w:t>
            </w:r>
          </w:p>
        </w:tc>
      </w:tr>
    </w:tbl>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This document is reviewed and updated as part of the same annual session. It is a living document — the committee landscape will change as the OUG grows, new programmes are added, and new thematic areas emerge. The architecture specified here is the founding design; its maintenance is an ongoing governance responsibility.</w:t>
      </w:r>
    </w:p>
    <w:p>
      <w:pPr>
        <w:spacing w:before="0" w:after="200"/>
      </w:pPr>
    </w:p>
    <w:p>
      <w:pPr>
        <w:pBdr>
          <w:bottom w:val="single" w:color="2E75B6" w:sz="4" w:space="1"/>
        </w:pBd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A committee that does not know what the committee next to it has found is a node without a network. The architecture described in this document is what transforms the OUG's governance bodies from a set of parallel processes into a system that learns together.</w:t>
            </w:r>
          </w:p>
        </w:tc>
      </w:tr>
    </w:tbl>
    <w:p>
      <w:pPr>
        <w:spacing w:before="0" w:after="200"/>
      </w:pPr>
    </w:p>
    <w:p>
      <w:pPr>
        <w:pBdr>
          <w:bottom w:val="single" w:color="CCCCCC" w:sz="2" w:space="1"/>
        </w:pBdr>
        <w:spacing w:before="200" w:after="200"/>
      </w:pPr>
    </w:p>
    <w:p>
      <w:pPr>
        <w:spacing w:before="160" w:after="0"/>
        <w:jc w:val="right"/>
      </w:pPr>
      <w:r>
        <w:rPr>
          <w:rFonts w:ascii="Arial" w:cs="Arial" w:eastAsia="Arial" w:hAnsi="Arial"/>
          <w:i/>
          <w:iCs/>
          <w:color w:val="BBBBBB"/>
          <w:sz w:val="17"/>
          <w:szCs w:val="17"/>
        </w:rPr>
        <w:t xml:space="preserve">Open University of Germany  ·  Committee Information Architecture  ·  Institutional Governance  ·  2026</w:t>
      </w:r>
    </w:p>
    <w:sectPr>
      <w:pgSz w:w="11906" w:h="16838" w:orient="portrait"/>
      <w:pgMar w:top="13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abstractNum w:abstractNumId="3" w15:restartNumberingAfterBreak="0">
    <w:multiLevelType w:val="hybridMultilevel"/>
    <w:lvl w:ilvl="0" w15:tentative="1">
      <w:start w:val="1"/>
      <w:numFmt w:val="decimal"/>
      <w:lvlText w:val="%1."/>
      <w:lvlJc w:val="left"/>
      <w:pPr>
        <w:ind w:left="560" w:hanging="280"/>
      </w:pPr>
      <w:rPr>
        <w:rFonts w:ascii="Georgia" w:cs="Georgia" w:eastAsia="Georgia" w:hAnsi="Georgia"/>
        <w:b/>
        <w:bCs/>
        <w:color w:val="1F3864"/>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Georgia" w:cs="Georgia" w:eastAsia="Georgia" w:hAnsi="Georgia"/>
      <w:b/>
      <w:bCs/>
      <w:color w:val="1F3864"/>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2E75B6"/>
      <w:sz w:val="25"/>
      <w:szCs w:val="25"/>
    </w:rPr>
  </w:style>
  <w:style w:type="paragraph" w:styleId="Heading3">
    <w:name w:val="Heading 3"/>
    <w:basedOn w:val="Normal"/>
    <w:next w:val="Normal"/>
    <w:qFormat/>
    <w:pPr>
      <w:spacing w:before="24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2026-03-19T20:04:00.112Z</dcterms:created>
  <dcterms:modified xsi:type="dcterms:W3CDTF">2026-03-19T20:04:00.114Z</dcterms:modified>
</cp:coreProperties>
</file>

<file path=docProps/custom.xml><?xml version="1.0" encoding="utf-8"?>
<Properties xmlns="http://schemas.openxmlformats.org/officeDocument/2006/custom-properties" xmlns:vt="http://schemas.openxmlformats.org/officeDocument/2006/docPropsVTypes"/>
</file>