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2E75B6"/>
          <w:sz w:val="17"/>
          <w:szCs w:val="17"/>
        </w:rPr>
        <w:t xml:space="preserve">OPEN UNIVERSITY OF GERMANY  ·  GOVERNANCE DESIGN</w:t>
      </w:r>
    </w:p>
    <w:p>
      <w:pPr>
        <w:spacing w:after="60" w:before="0"/>
      </w:pPr>
      <w:r>
        <w:rPr>
          <w:rFonts w:ascii="Arial" w:cs="Arial" w:eastAsia="Arial" w:hAnsi="Arial"/>
          <w:color w:val="AAAAAA"/>
          <w:sz w:val="17"/>
          <w:szCs w:val="17"/>
        </w:rPr>
        <w:t xml:space="preserve">Gap Closure Decisions  ·  2026</w:t>
      </w:r>
    </w:p>
    <w:p>
      <w:pPr>
        <w:pBdr>
          <w:bottom w:val="single" w:color="2E75B6" w:sz="10" w:space="1"/>
        </w:pBdr>
        <w:spacing w:after="280" w:before="0"/>
      </w:pPr>
    </w:p>
    <w:p>
      <w:pPr>
        <w:spacing w:after="50" w:before="0"/>
      </w:pPr>
      <w:r>
        <w:rPr>
          <w:rFonts w:ascii="Georgia" w:cs="Georgia" w:eastAsia="Georgia" w:hAnsi="Georgia"/>
          <w:i/>
          <w:iCs/>
          <w:color w:val="2E75B6"/>
          <w:sz w:val="22"/>
          <w:szCs w:val="22"/>
        </w:rPr>
        <w:t xml:space="preserve">Five Design Decisions</w:t>
      </w:r>
    </w:p>
    <w:p>
      <w:pPr>
        <w:spacing w:after="60" w:before="0"/>
      </w:pPr>
      <w:r>
        <w:rPr>
          <w:rFonts w:ascii="Georgia" w:cs="Georgia" w:eastAsia="Georgia" w:hAnsi="Georgia"/>
          <w:b/>
          <w:bCs/>
          <w:color w:val="0D1F3C"/>
          <w:sz w:val="46"/>
          <w:szCs w:val="46"/>
        </w:rPr>
        <w:t xml:space="preserve">Closing the Governance Gaps</w:t>
      </w:r>
    </w:p>
    <w:p>
      <w:pPr>
        <w:spacing w:after="280" w:before="0"/>
      </w:pPr>
      <w:r>
        <w:rPr>
          <w:rFonts w:ascii="Georgia" w:cs="Georgia" w:eastAsia="Georgia" w:hAnsi="Georgia"/>
          <w:i/>
          <w:iCs/>
          <w:color w:val="2E75B6"/>
          <w:sz w:val="22"/>
          <w:szCs w:val="22"/>
        </w:rPr>
        <w:t xml:space="preserve">The five governance gaps identified in the OUG stress test, closed by explicit design decisions — each gap named, the decision stated, and the structural mechanism specified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80"/>
              <w:left w:type="dxa" w:w="280"/>
              <w:bottom w:type="dxa" w:w="180"/>
              <w:right w:type="dxa" w:w="280"/>
            </w:tcMar>
          </w:tcPr>
          <w:p>
            <w:pPr>
              <w:spacing w:after="70" w:before="0"/>
            </w:pPr>
            <w:r>
              <w:rPr>
                <w:rFonts w:ascii="Arial" w:cs="Arial" w:eastAsia="Arial" w:hAnsi="Arial"/>
                <w:b/>
                <w:bCs/>
                <w:color w:val="1F3864"/>
                <w:sz w:val="18"/>
                <w:szCs w:val="18"/>
              </w:rPr>
              <w:t xml:space="preserve">How this document works</w:t>
            </w:r>
          </w:p>
          <w:p>
            <w:pPr>
              <w:spacing w:after="0" w:before="0"/>
              <w:jc w:val="both"/>
            </w:pPr>
            <w:r>
              <w:rPr>
                <w:rFonts w:ascii="Georgia" w:cs="Georgia" w:eastAsia="Georgia" w:hAnsi="Georgia"/>
                <w:color w:val="1A1A1A"/>
                <w:sz w:val="22"/>
                <w:szCs w:val="22"/>
              </w:rPr>
              <w:t xml:space="preserve">The OUG stress test against the eight HEI design principles identified five gaps: one critical absence (HP-7), three partial alignments requiring specification (HP-4, HP-5, HP-8), and one requiring a structured annotation exercise (HP-1). This document records the design decisions that close each gap — derived through dialogue and decided by the founding team. Each decision is stated explicitly, the structural mechanism for enforcing it is specified, and the rationale connecting it to the governing principle is given. These decisions are founding decisions: they shape the partnership agreement template, the Leadership and Stewardship Profiles, the governance calendar, and the legal framework map. They are not operational details — they are the architecture.</w:t>
            </w:r>
          </w:p>
        </w:tc>
      </w:tr>
    </w:tbl>
    <w:p>
      <w:pPr>
        <w:spacing w:after="2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10"/>
              <w:left w:type="dxa" w:w="220"/>
              <w:bottom w:type="dxa" w:w="110"/>
              <w:right w:type="dxa" w:w="180"/>
            </w:tcMar>
          </w:tcPr>
          <w:p>
            <w:pPr>
              <w:spacing w:after="25" w:before="0"/>
            </w:pPr>
            <w:r>
              <w:rPr>
                <w:rFonts w:ascii="Arial" w:cs="Arial" w:eastAsia="Arial" w:hAnsi="Arial"/>
                <w:b/>
                <w:bCs/>
                <w:color w:val="2E75B6"/>
                <w:sz w:val="16"/>
                <w:szCs w:val="16"/>
              </w:rPr>
              <w:t xml:space="preserve">HP-7  ·  </w:t>
            </w:r>
            <w:r>
              <w:rPr>
                <w:rFonts w:ascii="Georgia" w:cs="Georgia" w:eastAsia="Georgia" w:hAnsi="Georgia"/>
                <w:b/>
                <w:bCs/>
                <w:color w:val="FFFFFF"/>
                <w:sz w:val="26"/>
                <w:szCs w:val="26"/>
              </w:rPr>
              <w:t xml:space="preserve">The Designed Task</w:t>
            </w:r>
          </w:p>
          <w:p>
            <w:pPr>
              <w:spacing w:after="0" w:before="0"/>
            </w:pPr>
            <w:r>
              <w:rPr>
                <w:rFonts w:ascii="Arial" w:cs="Arial" w:eastAsia="Arial" w:hAnsi="Arial"/>
                <w:i/>
                <w:iCs/>
                <w:color w:val="8899BB"/>
                <w:sz w:val="15"/>
                <w:szCs w:val="15"/>
              </w:rPr>
              <w:t xml:space="preserve">Gap: No Task Architecture — Proximity Task pattern possible at OUG/partner boundary</w:t>
            </w:r>
          </w:p>
        </w:tc>
      </w:tr>
      <w:tr>
        <w:tc>
          <w:tcPr>
            <w:tcW w:type="dxa" w:w="9026"/>
            <w:tcBorders>
              <w:top w:val="none"/>
              <w:left w:val="none"/>
              <w:bottom w:val="none"/>
              <w:right w:val="none"/>
            </w:tcBorders>
            <w:shd w:fill="EAF5EE" w:val="clear"/>
            <w:tcMar>
              <w:top w:type="dxa" w:w="80"/>
              <w:left w:type="dxa" w:w="220"/>
              <w:bottom w:type="dxa" w:w="80"/>
              <w:right w:type="dxa" w:w="180"/>
            </w:tcMar>
          </w:tcPr>
          <w:p>
            <w:r>
              <w:rPr>
                <w:rFonts w:ascii="Arial" w:cs="Arial" w:eastAsia="Arial" w:hAnsi="Arial"/>
                <w:b/>
                <w:bCs/>
                <w:caps/>
                <w:color w:val="1A5C4A"/>
                <w:sz w:val="16"/>
                <w:szCs w:val="16"/>
              </w:rPr>
              <w:t xml:space="preserve">✓  Decision: </w:t>
            </w:r>
            <w:r>
              <w:rPr>
                <w:rFonts w:ascii="Georgia" w:cs="Georgia" w:eastAsia="Georgia" w:hAnsi="Georgia"/>
                <w:b/>
                <w:bCs/>
                <w:color w:val="1A5C4A"/>
                <w:sz w:val="21"/>
                <w:szCs w:val="21"/>
              </w:rPr>
              <w:t xml:space="preserve">Option C — Designed Split: OUG owns the credential layer and quality infrastructure; partners own the learning experience; a defined set of tasks is jointly governed</w:t>
            </w:r>
          </w:p>
        </w:tc>
      </w:tr>
    </w:tbl>
    <w:p>
      <w:pPr>
        <w:spacing w:after="80" w:before="0"/>
      </w:pPr>
    </w:p>
    <w:p>
      <w:pPr>
        <w:pStyle w:val="Heading2"/>
        <w:spacing w:after="100" w:before="320"/>
      </w:pPr>
      <w:r>
        <w:rPr>
          <w:rFonts w:ascii="Georgia" w:cs="Georgia" w:eastAsia="Georgia" w:hAnsi="Georgia"/>
          <w:b/>
          <w:bCs/>
          <w:color w:val="2E75B6"/>
          <w:sz w:val="25"/>
          <w:szCs w:val="25"/>
        </w:rPr>
        <w:t xml:space="preserve">The Boundary Line</w:t>
      </w:r>
    </w:p>
    <w:p>
      <w:pPr>
        <w:spacing w:after="185" w:before="0"/>
        <w:jc w:val="both"/>
      </w:pPr>
      <w:r>
        <w:rPr>
          <w:rFonts w:ascii="Georgia" w:cs="Georgia" w:eastAsia="Georgia" w:hAnsi="Georgia"/>
          <w:b w:val="false"/>
          <w:bCs w:val="false"/>
          <w:i w:val="false"/>
          <w:iCs w:val="false"/>
          <w:color w:val="1A1A1A"/>
          <w:sz w:val="23"/>
          <w:szCs w:val="23"/>
        </w:rPr>
        <w:t xml:space="preserve">The OUG/partner task boundary is drawn at the credential record. Every task that touches what a learner has officially achieved — its documentation, its verification, its issuance, its integrity — belongs to OUG. Every task that touches how a learner comes to achieve it — the learning environment, the teaching interaction, the assessment design and first execution — belongs to the partner. This is not a philosophical division: it is an auditable one. It makes the question 'whose task is this?' answerable by asking one question: does this task affect the credential record?</w:t>
      </w:r>
    </w:p>
    <w:p>
      <w:pPr>
        <w:spacing w:after="60" w:before="0"/>
      </w:pPr>
    </w:p>
    <w:p>
      <w:pPr>
        <w:pStyle w:val="Heading3"/>
        <w:spacing w:after="70" w:before="220"/>
      </w:pPr>
      <w:r>
        <w:rPr>
          <w:rFonts w:ascii="Arial" w:cs="Arial" w:eastAsia="Arial" w:hAnsi="Arial"/>
          <w:b/>
          <w:bCs/>
          <w:color w:val="1A5C4A"/>
          <w:sz w:val="21"/>
          <w:szCs w:val="21"/>
        </w:rPr>
        <w:t xml:space="preserve">OUG owns — the credential and quality layer</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Task</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OUG Role responsible</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Not the responsibility of</w:t>
            </w:r>
          </w:p>
        </w:tc>
        <w:tc>
          <w:tcPr>
            <w:tcW w:type="dxa" w:w="2426"/>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Structural reason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Europass digital credential issuance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OUG — Central Registrar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partner, not the student</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Credential sovereignty must rest with the degree-awarding body. Partners cannot issue OUG credentials.</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Student academic record maintenance</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OUG — Central Registrar</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partner</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The record is the institutional assertion. It must be controlled where the assertion is made.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Assessment integrity verification (Stichprobe)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OUG — Quality Commission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Studiendekan, not the partner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Independent verification is only independent if the verifier is not the delivery agent.</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Module learning outcome specification</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OUG — Academic Steward with partner input</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partner alone</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LOs define what the credential certifies. OUG must own the specification, even if delivery is shared.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Prior learning recognition decisions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OUG — Assessment and Recognition Committee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partner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PLR decisions affect the credential record and must be consistent across all partners.</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Platform architecture and data sovereignty</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OUG — Technology and Platform function</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partner</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OOAPI v5 data, Europass credential data, and engagement analytics are OUG institutional data.</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Partnership compliance monitoring</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OUG — Partnership Office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Quality Commission alone</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Compliance is operational; quality is academic. Conflating them overloads the Quality Commission.</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Degree award decision</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OUG — Academic Senate (G3)</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partner, not G2</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Degree award is the highest academic act. It must be made by the constitutionally protected academic governance layer.</w:t>
            </w:r>
          </w:p>
        </w:tc>
      </w:tr>
    </w:tbl>
    <w:p>
      <w:pPr>
        <w:spacing w:after="80" w:before="0"/>
      </w:pPr>
    </w:p>
    <w:p>
      <w:pPr>
        <w:pStyle w:val="Heading3"/>
        <w:spacing w:after="70" w:before="220"/>
      </w:pPr>
      <w:r>
        <w:rPr>
          <w:rFonts w:ascii="Arial" w:cs="Arial" w:eastAsia="Arial" w:hAnsi="Arial"/>
          <w:b/>
          <w:bCs/>
          <w:color w:val="1A5C4A"/>
          <w:sz w:val="21"/>
          <w:szCs w:val="21"/>
        </w:rPr>
        <w:t xml:space="preserve">Partner owns — the learning experience layer</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Task</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OUG Role responsible</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Not the responsibility of</w:t>
            </w:r>
          </w:p>
        </w:tc>
        <w:tc>
          <w:tcPr>
            <w:tcW w:type="dxa" w:w="2426"/>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Structural reason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Module delivery and teaching</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 — academic staff</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OUG central governance</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Teaching is where pedagogy lives. OUG governance of teaching would recreate the operational overload pattern at the centre.</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Assessment design within module</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Partner — Studiendekan / module lead</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OUG — except LO alignment check</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Partners know their disciplinary context. Assessment design must be locally owned to be pedagogically coherent.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First-marking and assessment feedback</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 — module assessor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OUG</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First-marking is a teaching act, not a credentialling act. OUG verifies outcomes, not marks.</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Student academic advising within module</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Partner — academic staff</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OUG Partnership Office</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Module-level advising is a teaching relationship. Centralising it at OUG would sever the learner from their teacher.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Learning environment management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 — local operations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OUG</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Physical, digital, and social learning environments are partner responsibilities. OUG specifies minimum standards, not implementations.</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Local student support services</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Partner — student services</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OUG</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Pastoral and welfare support requires local knowledge and local presence that OUG does not have.</w:t>
            </w:r>
          </w:p>
        </w:tc>
      </w:tr>
    </w:tbl>
    <w:p>
      <w:pPr>
        <w:spacing w:after="80" w:before="0"/>
      </w:pPr>
    </w:p>
    <w:p>
      <w:pPr>
        <w:pStyle w:val="Heading3"/>
        <w:spacing w:after="70" w:before="220"/>
      </w:pPr>
      <w:r>
        <w:rPr>
          <w:rFonts w:ascii="Arial" w:cs="Arial" w:eastAsia="Arial" w:hAnsi="Arial"/>
          <w:b/>
          <w:bCs/>
          <w:color w:val="1A5C4A"/>
          <w:sz w:val="21"/>
          <w:szCs w:val="21"/>
        </w:rPr>
        <w:t xml:space="preserve">Joint governance — the escalation and development layer</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Task</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OUG Role responsible</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Not the responsibility of</w:t>
            </w:r>
          </w:p>
        </w:tc>
        <w:tc>
          <w:tcPr>
            <w:tcW w:type="dxa" w:w="2426"/>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Structural reason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Complaint escalation above module level</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Joint — OUG Academic Senate + partner Studiendekan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Neither alone</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Module-level complaints resolved by partner. Systemic or unresolved complaints escalate to OUG — a structural crossing point, not a default.</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Programme development and curriculum review</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Joint — OUG Academic Steward + partner faculty</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Neither alone</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Programme ownership sits with OUG (the credential body); pedagogical knowledge sits with the partner. Both must contribute.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New module approval</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Joint — OUG Quality Commission (standards) + partner (proposal)</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Neither alone</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Partners propose; OUG validates against learning outcome standards. A two-step approval that protects quality without centralising curriculum.</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Partnership agreement review</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Joint — OUG Partnership Office + partner leadership</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Neither alone</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The agreement governs both parties. Neither can review it unilaterally without undermining the federated principle.</w:t>
            </w:r>
          </w:p>
        </w:tc>
      </w:tr>
    </w:tbl>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10"/>
              <w:left w:type="dxa" w:w="220"/>
              <w:bottom w:type="dxa" w:w="110"/>
              <w:right w:type="dxa" w:w="180"/>
            </w:tcMar>
          </w:tcPr>
          <w:p>
            <w:pPr>
              <w:spacing w:after="25" w:before="0"/>
            </w:pPr>
            <w:r>
              <w:rPr>
                <w:rFonts w:ascii="Arial" w:cs="Arial" w:eastAsia="Arial" w:hAnsi="Arial"/>
                <w:b/>
                <w:bCs/>
                <w:color w:val="2E75B6"/>
                <w:sz w:val="16"/>
                <w:szCs w:val="16"/>
              </w:rPr>
              <w:t xml:space="preserve">HP-4  ·  </w:t>
            </w:r>
            <w:r>
              <w:rPr>
                <w:rFonts w:ascii="Georgia" w:cs="Georgia" w:eastAsia="Georgia" w:hAnsi="Georgia"/>
                <w:b/>
                <w:bCs/>
                <w:color w:val="FFFFFF"/>
                <w:sz w:val="26"/>
                <w:szCs w:val="26"/>
              </w:rPr>
              <w:t xml:space="preserve">The Bounded Role</w:t>
            </w:r>
          </w:p>
          <w:p>
            <w:pPr>
              <w:spacing w:after="0" w:before="0"/>
            </w:pPr>
            <w:r>
              <w:rPr>
                <w:rFonts w:ascii="Arial" w:cs="Arial" w:eastAsia="Arial" w:hAnsi="Arial"/>
                <w:i/>
                <w:iCs/>
                <w:color w:val="8899BB"/>
                <w:sz w:val="15"/>
                <w:szCs w:val="15"/>
              </w:rPr>
              <w:t xml:space="preserve">Gap: Leadership and Stewardship Profiles lack Exclusion Lists, time allocation protections, and scope review triggers</w:t>
            </w:r>
          </w:p>
        </w:tc>
      </w:tr>
      <w:tr>
        <w:tc>
          <w:tcPr>
            <w:tcW w:type="dxa" w:w="9026"/>
            <w:tcBorders>
              <w:top w:val="none"/>
              <w:left w:val="none"/>
              <w:bottom w:val="none"/>
              <w:right w:val="none"/>
            </w:tcBorders>
            <w:shd w:fill="EAF5EE" w:val="clear"/>
            <w:tcMar>
              <w:top w:type="dxa" w:w="80"/>
              <w:left w:type="dxa" w:w="220"/>
              <w:bottom w:type="dxa" w:w="80"/>
              <w:right w:type="dxa" w:w="180"/>
            </w:tcMar>
          </w:tcPr>
          <w:p>
            <w:r>
              <w:rPr>
                <w:rFonts w:ascii="Arial" w:cs="Arial" w:eastAsia="Arial" w:hAnsi="Arial"/>
                <w:b/>
                <w:bCs/>
                <w:caps/>
                <w:color w:val="1A5C4A"/>
                <w:sz w:val="16"/>
                <w:szCs w:val="16"/>
              </w:rPr>
              <w:t xml:space="preserve">✓  Decision: </w:t>
            </w:r>
            <w:r>
              <w:rPr>
                <w:rFonts w:ascii="Georgia" w:cs="Georgia" w:eastAsia="Georgia" w:hAnsi="Georgia"/>
                <w:b/>
                <w:bCs/>
                <w:color w:val="1A5C4A"/>
                <w:sz w:val="21"/>
                <w:szCs w:val="21"/>
              </w:rPr>
              <w:t xml:space="preserve">Add three structural features to all Profiles: named Exclusion Lists with task re-assignment, Proactive Capacity requirements with enforcement mechanisms, and scope review triggers</w:t>
            </w:r>
          </w:p>
        </w:tc>
      </w:tr>
    </w:tbl>
    <w:p>
      <w:pPr>
        <w:spacing w:after="80" w:before="0"/>
      </w:pPr>
    </w:p>
    <w:p>
      <w:pPr>
        <w:pStyle w:val="Heading2"/>
        <w:spacing w:after="100" w:before="320"/>
      </w:pPr>
      <w:r>
        <w:rPr>
          <w:rFonts w:ascii="Georgia" w:cs="Georgia" w:eastAsia="Georgia" w:hAnsi="Georgia"/>
          <w:b/>
          <w:bCs/>
          <w:color w:val="2E75B6"/>
          <w:sz w:val="25"/>
          <w:szCs w:val="25"/>
        </w:rPr>
        <w:t xml:space="preserve">The Exclusion Lists</w:t>
      </w:r>
    </w:p>
    <w:p>
      <w:pPr>
        <w:spacing w:after="185" w:before="0"/>
        <w:jc w:val="both"/>
      </w:pPr>
      <w:r>
        <w:rPr>
          <w:rFonts w:ascii="Georgia" w:cs="Georgia" w:eastAsia="Georgia" w:hAnsi="Georgia"/>
          <w:b w:val="false"/>
          <w:bCs w:val="false"/>
          <w:i w:val="false"/>
          <w:iCs w:val="false"/>
          <w:color w:val="1A1A1A"/>
          <w:sz w:val="23"/>
          <w:szCs w:val="23"/>
        </w:rPr>
        <w:t xml:space="preserve">An Exclusion List is not a list of things a role-holder is forbidden from caring about. It is a list of tasks that have a different designated home — so that when those tasks arrive, they do not default to the nearest available governance role. Each item names the task, names who actually owns it, and states the structural reason for the assignment.</w:t>
      </w:r>
    </w:p>
    <w:p>
      <w:pPr>
        <w:spacing w:after="60" w:before="0"/>
      </w:pPr>
    </w:p>
    <w:p>
      <w:pPr>
        <w:pStyle w:val="Heading3"/>
        <w:spacing w:after="70" w:before="220"/>
      </w:pPr>
      <w:r>
        <w:rPr>
          <w:rFonts w:ascii="Arial" w:cs="Arial" w:eastAsia="Arial" w:hAnsi="Arial"/>
          <w:b/>
          <w:bCs/>
          <w:color w:val="1A5C4A"/>
          <w:sz w:val="21"/>
          <w:szCs w:val="21"/>
        </w:rPr>
        <w:t xml:space="preserve">Rector / Executive Lead — Exclusion List</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Task</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OUG Role responsible</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Not the responsibility of</w:t>
            </w:r>
          </w:p>
        </w:tc>
        <w:tc>
          <w:tcPr>
            <w:tcW w:type="dxa" w:w="2426"/>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Structural reason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Individual partner contract negotiation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Partnership Office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Rector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Rector sets the framework; Partnership Office executes within it. Conflating these makes the Rector operationally capturable by any single partner relationship.</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Committee meeting convening and minuting</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2E75B6"/>
                <w:sz w:val="18"/>
                <w:szCs w:val="18"/>
              </w:rPr>
              <w:t xml:space="preserve">Governance Administrator</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Rector</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Administrative governance support is a designated operational function, not a leadership task. Assigning it to the Rector is Role Overflow by a different name.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Student complaint handling below escalation threshold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 Studiendekan / Academic Steward</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Rector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Complaint routing is specified in the Task Architecture. The Rector handles systemic issues, not individual cases.</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Accreditation document production</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2E75B6"/>
                <w:sz w:val="18"/>
                <w:szCs w:val="18"/>
              </w:rPr>
              <w:t xml:space="preserve">Quality Commission + Academic Stewards</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Rector</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The Rector is accountable for accreditation outcomes; the Quality Commission and Stewards produce the evidence. Conflating accountability with production is a governance failure.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Platform technical issue management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2E75B6"/>
                <w:sz w:val="18"/>
                <w:szCs w:val="18"/>
              </w:rPr>
              <w:t xml:space="preserve">Technology and Platform function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Rector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Technical operations are G4. Rector involvement in technical issues is a symptom of operational overload, not strategic leadership.</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External communication drafting below institutional level</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2E75B6"/>
                <w:sz w:val="18"/>
                <w:szCs w:val="18"/>
              </w:rPr>
              <w:t xml:space="preserve">Communications function</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Rector</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The Rector approves institutional voice; they do not draft routine communications. This protects Proactive Capacity from low-value time consumption.</w:t>
            </w:r>
          </w:p>
        </w:tc>
      </w:tr>
    </w:tbl>
    <w:p>
      <w:pPr>
        <w:spacing w:after="80" w:before="0"/>
      </w:pPr>
    </w:p>
    <w:p>
      <w:pPr>
        <w:pStyle w:val="Heading3"/>
        <w:spacing w:after="70" w:before="220"/>
      </w:pPr>
      <w:r>
        <w:rPr>
          <w:rFonts w:ascii="Arial" w:cs="Arial" w:eastAsia="Arial" w:hAnsi="Arial"/>
          <w:b/>
          <w:bCs/>
          <w:color w:val="1A5C4A"/>
          <w:sz w:val="21"/>
          <w:szCs w:val="21"/>
        </w:rPr>
        <w:t xml:space="preserve">Academic Steward (Mission Hub) — Exclusion List</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Task</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OUG Role responsible</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Not the responsibility of</w:t>
            </w:r>
          </w:p>
        </w:tc>
        <w:tc>
          <w:tcPr>
            <w:tcW w:type="dxa" w:w="2426"/>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Structural reason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Partner contract management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Partnership Office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Academic Steward</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Stewards develop academic relationships; contracts are operational instruments. Conflating them pulls Stewards into administrative work that has no academic value.</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Budget allocation and financial oversight</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A5C4A"/>
                <w:sz w:val="18"/>
                <w:szCs w:val="18"/>
              </w:rPr>
              <w:t xml:space="preserve">OUG Finance function</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Academic Steward</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Academic stewardship is about curriculum and quality, not resource management. Financial authority belongs at G2, not G3.</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Individual student query responses outside formal channels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 academic staff</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Academic Steward</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Direct student query routing bypasses the partner relationship and creates informal escalation pathways that undermine the Task Architecture.</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External communications and marketing</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2E75B6"/>
                <w:sz w:val="18"/>
                <w:szCs w:val="18"/>
              </w:rPr>
              <w:t xml:space="preserve">Communications function</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Academic Steward</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Stewards contribute content and expertise; they do not manage institutional communications. This is a boundary that protects both the Steward and the communications function.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HR processes for partner staff</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 HR / OUG HR function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Academic Steward</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Partner staff are employed by partners. OUG Academic Stewards have no HR standing over partner employees and must not acquire it informally.</w:t>
            </w:r>
          </w:p>
        </w:tc>
      </w:tr>
    </w:tbl>
    <w:p>
      <w:pPr>
        <w:spacing w:after="80" w:before="0"/>
      </w:pPr>
    </w:p>
    <w:p>
      <w:pPr>
        <w:pStyle w:val="Heading3"/>
        <w:spacing w:after="70" w:before="220"/>
      </w:pPr>
      <w:r>
        <w:rPr>
          <w:rFonts w:ascii="Arial" w:cs="Arial" w:eastAsia="Arial" w:hAnsi="Arial"/>
          <w:b/>
          <w:bCs/>
          <w:color w:val="1A5C4A"/>
          <w:sz w:val="21"/>
          <w:szCs w:val="21"/>
        </w:rPr>
        <w:t xml:space="preserve">Quality Commission Chair — Exclusion List</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Task</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OUG Role responsible</w:t>
            </w:r>
          </w:p>
        </w:tc>
        <w:tc>
          <w:tcPr>
            <w:tcW w:type="dxa" w:w="2200"/>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Not the responsibility of</w:t>
            </w:r>
          </w:p>
        </w:tc>
        <w:tc>
          <w:tcPr>
            <w:tcW w:type="dxa" w:w="2426"/>
            <w:tcBorders>
              <w:top w:val="single" w:color="DDDDDD" w:sz="1"/>
              <w:left w:val="single" w:color="DDDDDD" w:sz="1"/>
              <w:bottom w:val="single" w:color="DDDDDD" w:sz="1"/>
              <w:right w:val="single" w:color="DDDDDD" w:sz="1"/>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Structural reason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Curriculum design decisions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2E75B6"/>
                <w:sz w:val="18"/>
                <w:szCs w:val="18"/>
              </w:rPr>
              <w:t xml:space="preserve">Academic Stewards + partners</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Quality Commission Chair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Quality assesses whether curriculum meets defined standards; it does not design curriculum. Conflating these removes the independence that gives quality assurance its authority.</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Individual academic decisions on student cases</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2E75B6"/>
                <w:sz w:val="18"/>
                <w:szCs w:val="18"/>
              </w:rPr>
              <w:t xml:space="preserve">Academic Stewards / Assessment Committee</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Quality Commission Chair</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Case-by-case academic decisions are an executive academic function. The Quality Commission operates at the systemic level — patterns, not cases.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Partnership relationship management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5C4A"/>
                <w:sz w:val="18"/>
                <w:szCs w:val="18"/>
              </w:rPr>
              <w:t xml:space="preserve">Partnership Office</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Quality Commission Chair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The Quality Commission's independence from partner relationships is structurally essential. If the Chair manages partner relationships, they cannot objectively assess partner quality.</w:t>
            </w:r>
          </w:p>
        </w:tc>
      </w:tr>
      <w:tr>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Georgia" w:cs="Georgia" w:eastAsia="Georgia" w:hAnsi="Georgia"/>
                <w:b/>
                <w:bCs/>
                <w:color w:val="1A1A1A"/>
                <w:sz w:val="20"/>
                <w:szCs w:val="20"/>
              </w:rPr>
              <w:t xml:space="preserve">Senate business convening</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2E75B6"/>
                <w:sz w:val="18"/>
                <w:szCs w:val="18"/>
              </w:rPr>
              <w:t xml:space="preserve">Rector / Governance Administrator</w:t>
            </w:r>
          </w:p>
        </w:tc>
        <w:tc>
          <w:tcPr>
            <w:tcW w:type="dxa" w:w="22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i/>
                <w:iCs/>
                <w:color w:val="8B1A1A"/>
                <w:sz w:val="18"/>
                <w:szCs w:val="18"/>
              </w:rPr>
              <w:t xml:space="preserve">Not the Quality Commission Chair</w:t>
            </w:r>
          </w:p>
        </w:tc>
        <w:tc>
          <w:tcPr>
            <w:tcW w:type="dxa" w:w="24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G3 governance and G3 quality assurance are separate functions by design. The Chair of one must not default into convening the other.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Georgia" w:cs="Georgia" w:eastAsia="Georgia" w:hAnsi="Georgia"/>
                <w:b/>
                <w:bCs/>
                <w:color w:val="1A1A1A"/>
                <w:sz w:val="20"/>
                <w:szCs w:val="20"/>
              </w:rPr>
              <w:t xml:space="preserve">Platform technical specification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2E75B6"/>
                <w:sz w:val="18"/>
                <w:szCs w:val="18"/>
              </w:rPr>
              <w:t xml:space="preserve">Technology and Platform function</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i/>
                <w:iCs/>
                <w:color w:val="8B1A1A"/>
                <w:sz w:val="18"/>
                <w:szCs w:val="18"/>
              </w:rPr>
              <w:t xml:space="preserve">Not the Quality Commission Chair</w:t>
            </w:r>
          </w:p>
        </w:tc>
        <w:tc>
          <w:tcPr>
            <w:tcW w:type="dxa" w:w="24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4A5568"/>
                <w:sz w:val="19"/>
                <w:szCs w:val="19"/>
              </w:rPr>
              <w:t xml:space="preserve">The Quality Commission specifies quality requirements; the Platform function translates them into technical specifications. These are distinct tasks requiring distinct expertise.</w:t>
            </w:r>
          </w:p>
        </w:tc>
      </w:tr>
    </w:tbl>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10"/>
              <w:left w:type="dxa" w:w="220"/>
              <w:bottom w:type="dxa" w:w="110"/>
              <w:right w:type="dxa" w:w="180"/>
            </w:tcMar>
          </w:tcPr>
          <w:p>
            <w:pPr>
              <w:spacing w:after="25" w:before="0"/>
            </w:pPr>
            <w:r>
              <w:rPr>
                <w:rFonts w:ascii="Arial" w:cs="Arial" w:eastAsia="Arial" w:hAnsi="Arial"/>
                <w:b/>
                <w:bCs/>
                <w:color w:val="2E75B6"/>
                <w:sz w:val="16"/>
                <w:szCs w:val="16"/>
              </w:rPr>
              <w:t xml:space="preserve">HP-4 / HP-5  ·  </w:t>
            </w:r>
            <w:r>
              <w:rPr>
                <w:rFonts w:ascii="Georgia" w:cs="Georgia" w:eastAsia="Georgia" w:hAnsi="Georgia"/>
                <w:b/>
                <w:bCs/>
                <w:color w:val="FFFFFF"/>
                <w:sz w:val="26"/>
                <w:szCs w:val="26"/>
              </w:rPr>
              <w:t xml:space="preserve">Proactive Capacity — the structural protection of forward-thinking time</w:t>
            </w:r>
          </w:p>
          <w:p>
            <w:pPr>
              <w:spacing w:after="0" w:before="0"/>
            </w:pPr>
            <w:r>
              <w:rPr>
                <w:rFonts w:ascii="Arial" w:cs="Arial" w:eastAsia="Arial" w:hAnsi="Arial"/>
                <w:i/>
                <w:iCs/>
                <w:color w:val="8899BB"/>
                <w:sz w:val="15"/>
                <w:szCs w:val="15"/>
              </w:rPr>
              <w:t xml:space="preserve">Gap: No time allocation protections; strategic work competes with operational urgency without structural protection</w:t>
            </w:r>
          </w:p>
        </w:tc>
      </w:tr>
      <w:tr>
        <w:tc>
          <w:tcPr>
            <w:tcW w:type="dxa" w:w="9026"/>
            <w:tcBorders>
              <w:top w:val="none"/>
              <w:left w:val="none"/>
              <w:bottom w:val="none"/>
              <w:right w:val="none"/>
            </w:tcBorders>
            <w:shd w:fill="EAF5EE" w:val="clear"/>
            <w:tcMar>
              <w:top w:type="dxa" w:w="80"/>
              <w:left w:type="dxa" w:w="220"/>
              <w:bottom w:type="dxa" w:w="80"/>
              <w:right w:type="dxa" w:w="180"/>
            </w:tcMar>
          </w:tcPr>
          <w:p>
            <w:r>
              <w:rPr>
                <w:rFonts w:ascii="Arial" w:cs="Arial" w:eastAsia="Arial" w:hAnsi="Arial"/>
                <w:b/>
                <w:bCs/>
                <w:caps/>
                <w:color w:val="1A5C4A"/>
                <w:sz w:val="16"/>
                <w:szCs w:val="16"/>
              </w:rPr>
              <w:t xml:space="preserve">✓  Decision: </w:t>
            </w:r>
            <w:r>
              <w:rPr>
                <w:rFonts w:ascii="Georgia" w:cs="Georgia" w:eastAsia="Georgia" w:hAnsi="Georgia"/>
                <w:b/>
                <w:bCs/>
                <w:color w:val="1A5C4A"/>
                <w:sz w:val="21"/>
                <w:szCs w:val="21"/>
              </w:rPr>
              <w:t xml:space="preserve">Proactive Capacity: a named, measured, and enforced minimum of role time reserved for thinking ahead — not reacting to urgent and important, but designing what comes next</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problem is not that governance role-holders do not want to think strategically. The problem is that the institution gives them no structural right to do so. Urgency always wins over importance when both compete for the same unprotected time. Proactive Capacity is the structural right to think ahead.</w:t>
            </w:r>
          </w:p>
        </w:tc>
      </w:tr>
    </w:tbl>
    <w:p>
      <w:pPr>
        <w:spacing w:after="80" w:before="0"/>
      </w:pPr>
    </w:p>
    <w:p>
      <w:pPr>
        <w:spacing w:after="185" w:before="0"/>
        <w:jc w:val="both"/>
      </w:pPr>
      <w:r>
        <w:rPr>
          <w:rFonts w:ascii="Georgia" w:cs="Georgia" w:eastAsia="Georgia" w:hAnsi="Georgia"/>
          <w:b w:val="false"/>
          <w:bCs w:val="false"/>
          <w:i w:val="false"/>
          <w:iCs w:val="false"/>
          <w:color w:val="1A1A1A"/>
          <w:sz w:val="23"/>
          <w:szCs w:val="23"/>
        </w:rPr>
        <w:t xml:space="preserve">Proactive Capacity is not 'protected time for strategic thinking' in the aspirational sense. It is a governance metric — a percentage of role time that is formally allocated to forward-looking work, measured through the quarterly time audit, and reviewed by the governance layer above when the threshold is not met. It is the structural mechanism that prevents the Operational Overload pattern from consuming the institution's capacity to develop.</w:t>
      </w:r>
    </w:p>
    <w:p>
      <w:pPr>
        <w:spacing w:after="185" w:before="0"/>
        <w:jc w:val="both"/>
      </w:pPr>
      <w:r>
        <w:rPr>
          <w:rFonts w:ascii="Georgia" w:cs="Georgia" w:eastAsia="Georgia" w:hAnsi="Georgia"/>
          <w:b w:val="false"/>
          <w:bCs w:val="false"/>
          <w:i w:val="false"/>
          <w:iCs w:val="false"/>
          <w:color w:val="1A1A1A"/>
          <w:sz w:val="23"/>
          <w:szCs w:val="23"/>
        </w:rPr>
        <w:t xml:space="preserve">Three categories of work qualify as Proactive Capacity use: Strategic Development (thinking about what the institution should become), Innovation Design (designing new approaches to existing institutional challenges before those challenges become crises), and Environmental Scanning (understanding what is changing in the external context before it requires a reactive response). Meetings that address urgent operational problems do not count, however important they are. The distinction is temporal: Proactive Capacity is always oriented toward what is not yet urgent.</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80"/>
              <w:left w:type="dxa" w:w="220"/>
              <w:bottom w:type="dxa" w:w="80"/>
              <w:right w:type="dxa" w:w="180"/>
            </w:tcMar>
          </w:tcPr>
          <w:p>
            <w:r>
              <w:rPr>
                <w:rFonts w:ascii="Georgia" w:cs="Georgia" w:eastAsia="Georgia" w:hAnsi="Georgia"/>
                <w:b/>
                <w:bCs/>
                <w:color w:val="FFFFFF"/>
                <w:sz w:val="22"/>
                <w:szCs w:val="22"/>
              </w:rPr>
              <w:t xml:space="preserve">Rector / Executive Lead</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EAF5EE" w:val="clear"/>
                  <w:tcMar>
                    <w:top w:type="dxa" w:w="90"/>
                    <w:left w:type="dxa" w:w="180"/>
                    <w:bottom w:type="dxa" w:w="90"/>
                    <w:right w:type="dxa" w:w="120"/>
                  </w:tcMar>
                </w:tcPr>
                <w:p>
                  <w:pPr>
                    <w:spacing w:after="30" w:before="0"/>
                  </w:pPr>
                  <w:r>
                    <w:rPr>
                      <w:rFonts w:ascii="Arial" w:cs="Arial" w:eastAsia="Arial" w:hAnsi="Arial"/>
                      <w:b/>
                      <w:bCs/>
                      <w:caps/>
                      <w:color w:val="1A5C4A"/>
                      <w:sz w:val="14"/>
                      <w:szCs w:val="14"/>
                    </w:rPr>
                    <w:t xml:space="preserve">Proactive Capacity</w:t>
                  </w:r>
                </w:p>
                <w:p>
                  <w:r>
                    <w:rPr>
                      <w:rFonts w:ascii="Georgia" w:cs="Georgia" w:eastAsia="Georgia" w:hAnsi="Georgia"/>
                      <w:b/>
                      <w:bCs/>
                      <w:color w:val="1A5C4A"/>
                      <w:sz w:val="36"/>
                      <w:szCs w:val="36"/>
                    </w:rPr>
                    <w:t xml:space="preserve">60%</w:t>
                  </w:r>
                  <w:r>
                    <w:rPr>
                      <w:rFonts w:ascii="Georgia" w:cs="Georgia" w:eastAsia="Georgia" w:hAnsi="Georgia"/>
                      <w:color w:val="4A5568"/>
                      <w:sz w:val="20"/>
                      <w:szCs w:val="20"/>
                    </w:rPr>
                    <w:t xml:space="preserve">  of role time</w:t>
                  </w:r>
                </w:p>
              </w:tc>
              <w:tc>
                <w:tcPr>
                  <w:tcW w:type="dxa" w:w="4513"/>
                  <w:tcBorders>
                    <w:top w:val="none"/>
                    <w:left w:val="none"/>
                    <w:bottom w:val="none"/>
                    <w:right w:val="none"/>
                  </w:tcBorders>
                  <w:shd w:fill="FDF6EC" w:val="clear"/>
                  <w:tcMar>
                    <w:top w:type="dxa" w:w="90"/>
                    <w:left w:type="dxa" w:w="120"/>
                    <w:bottom w:type="dxa" w:w="90"/>
                    <w:right w:type="dxa" w:w="180"/>
                  </w:tcMar>
                </w:tcPr>
                <w:p>
                  <w:pPr>
                    <w:spacing w:after="30" w:before="0"/>
                  </w:pPr>
                  <w:r>
                    <w:rPr>
                      <w:rFonts w:ascii="Arial" w:cs="Arial" w:eastAsia="Arial" w:hAnsi="Arial"/>
                      <w:b/>
                      <w:bCs/>
                      <w:caps/>
                      <w:color w:val="7A4A00"/>
                      <w:sz w:val="14"/>
                      <w:szCs w:val="14"/>
                    </w:rPr>
                    <w:t xml:space="preserve">Operational Ceiling</w:t>
                  </w:r>
                </w:p>
                <w:p>
                  <w:r>
                    <w:rPr>
                      <w:rFonts w:ascii="Georgia" w:cs="Georgia" w:eastAsia="Georgia" w:hAnsi="Georgia"/>
                      <w:b/>
                      <w:bCs/>
                      <w:color w:val="7A4A00"/>
                      <w:sz w:val="36"/>
                      <w:szCs w:val="36"/>
                    </w:rPr>
                    <w:t xml:space="preserve">40%</w:t>
                  </w:r>
                  <w:r>
                    <w:rPr>
                      <w:rFonts w:ascii="Georgia" w:cs="Georgia" w:eastAsia="Georgia" w:hAnsi="Georgia"/>
                      <w:color w:val="4A5568"/>
                      <w:sz w:val="20"/>
                      <w:szCs w:val="20"/>
                    </w:rPr>
                    <w:t xml:space="preserve">  maximum</w:t>
                  </w:r>
                </w:p>
              </w:tc>
            </w:tr>
          </w:tbl>
          <w:p/>
        </w:tc>
      </w:tr>
      <w:tr>
        <w:tc>
          <w:tcPr>
            <w:tcW w:type="dxa" w:w="9026"/>
            <w:tcBorders>
              <w:top w:val="none"/>
              <w:left w:val="none"/>
              <w:bottom w:val="none"/>
              <w:right w:val="none"/>
            </w:tcBorders>
            <w:shd w:fill="F4F7FA" w:val="clear"/>
            <w:tcMar>
              <w:top w:type="dxa" w:w="100"/>
              <w:left w:type="dxa" w:w="220"/>
              <w:bottom w:type="dxa" w:w="110"/>
              <w:right w:type="dxa" w:w="180"/>
            </w:tcMar>
          </w:tcPr>
          <w:p>
            <w:pPr>
              <w:spacing w:after="50" w:before="0"/>
            </w:pPr>
            <w:r>
              <w:rPr>
                <w:rFonts w:ascii="Arial" w:cs="Arial" w:eastAsia="Arial" w:hAnsi="Arial"/>
                <w:b/>
                <w:bCs/>
                <w:caps/>
                <w:color w:val="2E75B6"/>
                <w:sz w:val="15"/>
                <w:szCs w:val="15"/>
              </w:rPr>
              <w:t xml:space="preserve">How this is structurally enforced</w:t>
            </w:r>
          </w:p>
          <w:p>
            <w:pPr>
              <w:spacing w:after="0" w:before="0"/>
              <w:jc w:val="both"/>
            </w:pPr>
            <w:r>
              <w:rPr>
                <w:rFonts w:ascii="Georgia" w:cs="Georgia" w:eastAsia="Georgia" w:hAnsi="Georgia"/>
                <w:color w:val="1A1A1A"/>
                <w:sz w:val="22"/>
                <w:szCs w:val="22"/>
              </w:rPr>
              <w:t xml:space="preserve">The Rector's quarterly time audit is reviewed by the Hochschulrat (G1) — not by a peer or a subordinate. G1 holds the OUG to its strategic promise: if the Rector is spending less than 60% of time on Proactive Capacity, G1 has both the standing and the responsibility to ask why and to require a structural remedy. The audit is a standing item on the annual Hochschulrat review agenda. If the 60% threshold is not met for two consecutive quarters, the Hochschulrat may require a governance review of the Rector's role scope and support structure.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80"/>
              <w:left w:type="dxa" w:w="220"/>
              <w:bottom w:type="dxa" w:w="80"/>
              <w:right w:type="dxa" w:w="180"/>
            </w:tcMar>
          </w:tcPr>
          <w:p>
            <w:r>
              <w:rPr>
                <w:rFonts w:ascii="Georgia" w:cs="Georgia" w:eastAsia="Georgia" w:hAnsi="Georgia"/>
                <w:b/>
                <w:bCs/>
                <w:color w:val="FFFFFF"/>
                <w:sz w:val="22"/>
                <w:szCs w:val="22"/>
              </w:rPr>
              <w:t xml:space="preserve">Academic Steward (Mission Hub)</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EAF5EE" w:val="clear"/>
                  <w:tcMar>
                    <w:top w:type="dxa" w:w="90"/>
                    <w:left w:type="dxa" w:w="180"/>
                    <w:bottom w:type="dxa" w:w="90"/>
                    <w:right w:type="dxa" w:w="120"/>
                  </w:tcMar>
                </w:tcPr>
                <w:p>
                  <w:pPr>
                    <w:spacing w:after="30" w:before="0"/>
                  </w:pPr>
                  <w:r>
                    <w:rPr>
                      <w:rFonts w:ascii="Arial" w:cs="Arial" w:eastAsia="Arial" w:hAnsi="Arial"/>
                      <w:b/>
                      <w:bCs/>
                      <w:caps/>
                      <w:color w:val="1A5C4A"/>
                      <w:sz w:val="14"/>
                      <w:szCs w:val="14"/>
                    </w:rPr>
                    <w:t xml:space="preserve">Proactive Capacity</w:t>
                  </w:r>
                </w:p>
                <w:p>
                  <w:r>
                    <w:rPr>
                      <w:rFonts w:ascii="Georgia" w:cs="Georgia" w:eastAsia="Georgia" w:hAnsi="Georgia"/>
                      <w:b/>
                      <w:bCs/>
                      <w:color w:val="1A5C4A"/>
                      <w:sz w:val="36"/>
                      <w:szCs w:val="36"/>
                    </w:rPr>
                    <w:t xml:space="preserve">50%</w:t>
                  </w:r>
                  <w:r>
                    <w:rPr>
                      <w:rFonts w:ascii="Georgia" w:cs="Georgia" w:eastAsia="Georgia" w:hAnsi="Georgia"/>
                      <w:color w:val="4A5568"/>
                      <w:sz w:val="20"/>
                      <w:szCs w:val="20"/>
                    </w:rPr>
                    <w:t xml:space="preserve">  of role time</w:t>
                  </w:r>
                </w:p>
              </w:tc>
              <w:tc>
                <w:tcPr>
                  <w:tcW w:type="dxa" w:w="4513"/>
                  <w:tcBorders>
                    <w:top w:val="none"/>
                    <w:left w:val="none"/>
                    <w:bottom w:val="none"/>
                    <w:right w:val="none"/>
                  </w:tcBorders>
                  <w:shd w:fill="FDF6EC" w:val="clear"/>
                  <w:tcMar>
                    <w:top w:type="dxa" w:w="90"/>
                    <w:left w:type="dxa" w:w="120"/>
                    <w:bottom w:type="dxa" w:w="90"/>
                    <w:right w:type="dxa" w:w="180"/>
                  </w:tcMar>
                </w:tcPr>
                <w:p>
                  <w:pPr>
                    <w:spacing w:after="30" w:before="0"/>
                  </w:pPr>
                  <w:r>
                    <w:rPr>
                      <w:rFonts w:ascii="Arial" w:cs="Arial" w:eastAsia="Arial" w:hAnsi="Arial"/>
                      <w:b/>
                      <w:bCs/>
                      <w:caps/>
                      <w:color w:val="7A4A00"/>
                      <w:sz w:val="14"/>
                      <w:szCs w:val="14"/>
                    </w:rPr>
                    <w:t xml:space="preserve">Operational Ceiling</w:t>
                  </w:r>
                </w:p>
                <w:p>
                  <w:r>
                    <w:rPr>
                      <w:rFonts w:ascii="Georgia" w:cs="Georgia" w:eastAsia="Georgia" w:hAnsi="Georgia"/>
                      <w:b/>
                      <w:bCs/>
                      <w:color w:val="7A4A00"/>
                      <w:sz w:val="36"/>
                      <w:szCs w:val="36"/>
                    </w:rPr>
                    <w:t xml:space="preserve">50%</w:t>
                  </w:r>
                  <w:r>
                    <w:rPr>
                      <w:rFonts w:ascii="Georgia" w:cs="Georgia" w:eastAsia="Georgia" w:hAnsi="Georgia"/>
                      <w:color w:val="4A5568"/>
                      <w:sz w:val="20"/>
                      <w:szCs w:val="20"/>
                    </w:rPr>
                    <w:t xml:space="preserve">  maximum</w:t>
                  </w:r>
                </w:p>
              </w:tc>
            </w:tr>
          </w:tbl>
          <w:p/>
        </w:tc>
      </w:tr>
      <w:tr>
        <w:tc>
          <w:tcPr>
            <w:tcW w:type="dxa" w:w="9026"/>
            <w:tcBorders>
              <w:top w:val="none"/>
              <w:left w:val="none"/>
              <w:bottom w:val="none"/>
              <w:right w:val="none"/>
            </w:tcBorders>
            <w:shd w:fill="F4F7FA" w:val="clear"/>
            <w:tcMar>
              <w:top w:type="dxa" w:w="100"/>
              <w:left w:type="dxa" w:w="220"/>
              <w:bottom w:type="dxa" w:w="110"/>
              <w:right w:type="dxa" w:w="180"/>
            </w:tcMar>
          </w:tcPr>
          <w:p>
            <w:pPr>
              <w:spacing w:after="50" w:before="0"/>
            </w:pPr>
            <w:r>
              <w:rPr>
                <w:rFonts w:ascii="Arial" w:cs="Arial" w:eastAsia="Arial" w:hAnsi="Arial"/>
                <w:b/>
                <w:bCs/>
                <w:caps/>
                <w:color w:val="2E75B6"/>
                <w:sz w:val="15"/>
                <w:szCs w:val="15"/>
              </w:rPr>
              <w:t xml:space="preserve">How this is structurally enforced</w:t>
            </w:r>
          </w:p>
          <w:p>
            <w:pPr>
              <w:spacing w:after="0" w:before="0"/>
              <w:jc w:val="both"/>
            </w:pPr>
            <w:r>
              <w:rPr>
                <w:rFonts w:ascii="Georgia" w:cs="Georgia" w:eastAsia="Georgia" w:hAnsi="Georgia"/>
                <w:color w:val="1A1A1A"/>
                <w:sz w:val="22"/>
                <w:szCs w:val="22"/>
              </w:rPr>
              <w:t xml:space="preserve">The Academic Steward's quarterly audit is reviewed by the Rector. A Steward operating below 50% Proactive Capacity for two consecutive quarters triggers a scope review: the Mission Hub's operational load is assessed against the Task Architecture, and tasks that have migrated from operational functions to the Steward role are reassigned. The review is conducted by the Rector with a report to the Quality Commission. This ensures that the Steward's Proactive Capacity is protected not by goodwill but by a named review mechanism with a named reviewer and a named consequence.</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80"/>
              <w:left w:type="dxa" w:w="220"/>
              <w:bottom w:type="dxa" w:w="80"/>
              <w:right w:type="dxa" w:w="180"/>
            </w:tcMar>
          </w:tcPr>
          <w:p>
            <w:r>
              <w:rPr>
                <w:rFonts w:ascii="Georgia" w:cs="Georgia" w:eastAsia="Georgia" w:hAnsi="Georgia"/>
                <w:b/>
                <w:bCs/>
                <w:color w:val="FFFFFF"/>
                <w:sz w:val="22"/>
                <w:szCs w:val="22"/>
              </w:rPr>
              <w:t xml:space="preserve">Quality Commission Chair</w:t>
            </w:r>
          </w:p>
        </w:tc>
      </w:tr>
      <w:tr>
        <w:tc>
          <w:tcPr>
            <w:tcW w:type="dxa" w:w="9026"/>
            <w:tcBorders>
              <w:top w:val="none"/>
              <w:left w:val="none"/>
              <w:bottom w:val="none"/>
              <w:right w:val="none"/>
            </w:tcBorders>
            <w:shd w:fill="FFFFFF" w:val="clear"/>
            <w:tcMar>
              <w:top w:type="dxa" w:w="0"/>
              <w:left w:type="dxa" w:w="0"/>
              <w:bottom w:type="dxa" w:w="0"/>
              <w:right w:type="dxa" w:w="0"/>
            </w:tcMar>
          </w:tcPr>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none"/>
                    <w:right w:val="none"/>
                  </w:tcBorders>
                  <w:shd w:fill="EAF5EE" w:val="clear"/>
                  <w:tcMar>
                    <w:top w:type="dxa" w:w="90"/>
                    <w:left w:type="dxa" w:w="180"/>
                    <w:bottom w:type="dxa" w:w="90"/>
                    <w:right w:type="dxa" w:w="120"/>
                  </w:tcMar>
                </w:tcPr>
                <w:p>
                  <w:pPr>
                    <w:spacing w:after="30" w:before="0"/>
                  </w:pPr>
                  <w:r>
                    <w:rPr>
                      <w:rFonts w:ascii="Arial" w:cs="Arial" w:eastAsia="Arial" w:hAnsi="Arial"/>
                      <w:b/>
                      <w:bCs/>
                      <w:caps/>
                      <w:color w:val="1A5C4A"/>
                      <w:sz w:val="14"/>
                      <w:szCs w:val="14"/>
                    </w:rPr>
                    <w:t xml:space="preserve">Proactive Capacity</w:t>
                  </w:r>
                </w:p>
                <w:p>
                  <w:r>
                    <w:rPr>
                      <w:rFonts w:ascii="Georgia" w:cs="Georgia" w:eastAsia="Georgia" w:hAnsi="Georgia"/>
                      <w:b/>
                      <w:bCs/>
                      <w:color w:val="1A5C4A"/>
                      <w:sz w:val="36"/>
                      <w:szCs w:val="36"/>
                    </w:rPr>
                    <w:t xml:space="preserve">40%</w:t>
                  </w:r>
                  <w:r>
                    <w:rPr>
                      <w:rFonts w:ascii="Georgia" w:cs="Georgia" w:eastAsia="Georgia" w:hAnsi="Georgia"/>
                      <w:color w:val="4A5568"/>
                      <w:sz w:val="20"/>
                      <w:szCs w:val="20"/>
                    </w:rPr>
                    <w:t xml:space="preserve">  of role time</w:t>
                  </w:r>
                </w:p>
              </w:tc>
              <w:tc>
                <w:tcPr>
                  <w:tcW w:type="dxa" w:w="4513"/>
                  <w:tcBorders>
                    <w:top w:val="none"/>
                    <w:left w:val="none"/>
                    <w:bottom w:val="none"/>
                    <w:right w:val="none"/>
                  </w:tcBorders>
                  <w:shd w:fill="FDF6EC" w:val="clear"/>
                  <w:tcMar>
                    <w:top w:type="dxa" w:w="90"/>
                    <w:left w:type="dxa" w:w="120"/>
                    <w:bottom w:type="dxa" w:w="90"/>
                    <w:right w:type="dxa" w:w="180"/>
                  </w:tcMar>
                </w:tcPr>
                <w:p>
                  <w:pPr>
                    <w:spacing w:after="30" w:before="0"/>
                  </w:pPr>
                  <w:r>
                    <w:rPr>
                      <w:rFonts w:ascii="Arial" w:cs="Arial" w:eastAsia="Arial" w:hAnsi="Arial"/>
                      <w:b/>
                      <w:bCs/>
                      <w:caps/>
                      <w:color w:val="7A4A00"/>
                      <w:sz w:val="14"/>
                      <w:szCs w:val="14"/>
                    </w:rPr>
                    <w:t xml:space="preserve">Operational Ceiling</w:t>
                  </w:r>
                </w:p>
                <w:p>
                  <w:r>
                    <w:rPr>
                      <w:rFonts w:ascii="Georgia" w:cs="Georgia" w:eastAsia="Georgia" w:hAnsi="Georgia"/>
                      <w:b/>
                      <w:bCs/>
                      <w:color w:val="7A4A00"/>
                      <w:sz w:val="36"/>
                      <w:szCs w:val="36"/>
                    </w:rPr>
                    <w:t xml:space="preserve">60%</w:t>
                  </w:r>
                  <w:r>
                    <w:rPr>
                      <w:rFonts w:ascii="Georgia" w:cs="Georgia" w:eastAsia="Georgia" w:hAnsi="Georgia"/>
                      <w:color w:val="4A5568"/>
                      <w:sz w:val="20"/>
                      <w:szCs w:val="20"/>
                    </w:rPr>
                    <w:t xml:space="preserve">  maximum</w:t>
                  </w:r>
                </w:p>
              </w:tc>
            </w:tr>
          </w:tbl>
          <w:p/>
        </w:tc>
      </w:tr>
      <w:tr>
        <w:tc>
          <w:tcPr>
            <w:tcW w:type="dxa" w:w="9026"/>
            <w:tcBorders>
              <w:top w:val="none"/>
              <w:left w:val="none"/>
              <w:bottom w:val="none"/>
              <w:right w:val="none"/>
            </w:tcBorders>
            <w:shd w:fill="F4F7FA" w:val="clear"/>
            <w:tcMar>
              <w:top w:type="dxa" w:w="100"/>
              <w:left w:type="dxa" w:w="220"/>
              <w:bottom w:type="dxa" w:w="110"/>
              <w:right w:type="dxa" w:w="180"/>
            </w:tcMar>
          </w:tcPr>
          <w:p>
            <w:pPr>
              <w:spacing w:after="50" w:before="0"/>
            </w:pPr>
            <w:r>
              <w:rPr>
                <w:rFonts w:ascii="Arial" w:cs="Arial" w:eastAsia="Arial" w:hAnsi="Arial"/>
                <w:b/>
                <w:bCs/>
                <w:caps/>
                <w:color w:val="2E75B6"/>
                <w:sz w:val="15"/>
                <w:szCs w:val="15"/>
              </w:rPr>
              <w:t xml:space="preserve">How this is structurally enforced</w:t>
            </w:r>
          </w:p>
          <w:p>
            <w:pPr>
              <w:spacing w:after="0" w:before="0"/>
              <w:jc w:val="both"/>
            </w:pPr>
            <w:r>
              <w:rPr>
                <w:rFonts w:ascii="Georgia" w:cs="Georgia" w:eastAsia="Georgia" w:hAnsi="Georgia"/>
                <w:color w:val="1A1A1A"/>
                <w:sz w:val="22"/>
                <w:szCs w:val="22"/>
              </w:rPr>
              <w:t xml:space="preserve">The Quality Commission Chair has a structurally higher operational load than the other governance roles — the Stichprobe, the annual quality cycle, and the review of assessment standards are all operational quality functions. The 40% Proactive Capacity threshold reflects this reality while still protecting the Chair's capacity to improve the quality system rather than only run it. The Chair's audit is reviewed by the Rector and reported to G1 annually. Proactive Capacity work for the Quality Commission Chair includes: quality system redesign, benchmarking against external quality frameworks, development of new quality indicators, and assessment of whether the current quality architecture is fit for purpose as the institution scales.</w:t>
            </w:r>
          </w:p>
        </w:tc>
      </w:tr>
    </w:tbl>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10"/>
              <w:left w:type="dxa" w:w="220"/>
              <w:bottom w:type="dxa" w:w="110"/>
              <w:right w:type="dxa" w:w="180"/>
            </w:tcMar>
          </w:tcPr>
          <w:p>
            <w:pPr>
              <w:spacing w:after="25" w:before="0"/>
            </w:pPr>
            <w:r>
              <w:rPr>
                <w:rFonts w:ascii="Arial" w:cs="Arial" w:eastAsia="Arial" w:hAnsi="Arial"/>
                <w:b/>
                <w:bCs/>
                <w:color w:val="2E75B6"/>
                <w:sz w:val="16"/>
                <w:szCs w:val="16"/>
              </w:rPr>
              <w:t xml:space="preserve">HP-5  ·  </w:t>
            </w:r>
            <w:r>
              <w:rPr>
                <w:rFonts w:ascii="Georgia" w:cs="Georgia" w:eastAsia="Georgia" w:hAnsi="Georgia"/>
                <w:b/>
                <w:bCs/>
                <w:color w:val="FFFFFF"/>
                <w:sz w:val="26"/>
                <w:szCs w:val="26"/>
              </w:rPr>
              <w:t xml:space="preserve">The Protected Strategy</w:t>
            </w:r>
          </w:p>
          <w:p>
            <w:pPr>
              <w:spacing w:after="0" w:before="0"/>
            </w:pPr>
            <w:r>
              <w:rPr>
                <w:rFonts w:ascii="Arial" w:cs="Arial" w:eastAsia="Arial" w:hAnsi="Arial"/>
                <w:i/>
                <w:iCs/>
                <w:color w:val="8899BB"/>
                <w:sz w:val="15"/>
                <w:szCs w:val="15"/>
              </w:rPr>
              <w:t xml:space="preserve">Gap: No strategic forums with protected agendas; strategic and operational governance occupy the same time and space</w:t>
            </w:r>
          </w:p>
        </w:tc>
      </w:tr>
      <w:tr>
        <w:tc>
          <w:tcPr>
            <w:tcW w:type="dxa" w:w="9026"/>
            <w:tcBorders>
              <w:top w:val="none"/>
              <w:left w:val="none"/>
              <w:bottom w:val="none"/>
              <w:right w:val="none"/>
            </w:tcBorders>
            <w:shd w:fill="EAF5EE" w:val="clear"/>
            <w:tcMar>
              <w:top w:type="dxa" w:w="80"/>
              <w:left w:type="dxa" w:w="220"/>
              <w:bottom w:type="dxa" w:w="80"/>
              <w:right w:type="dxa" w:w="180"/>
            </w:tcMar>
          </w:tcPr>
          <w:p>
            <w:r>
              <w:rPr>
                <w:rFonts w:ascii="Arial" w:cs="Arial" w:eastAsia="Arial" w:hAnsi="Arial"/>
                <w:b/>
                <w:bCs/>
                <w:caps/>
                <w:color w:val="1A5C4A"/>
                <w:sz w:val="16"/>
                <w:szCs w:val="16"/>
              </w:rPr>
              <w:t xml:space="preserve">✓  Decision: </w:t>
            </w:r>
            <w:r>
              <w:rPr>
                <w:rFonts w:ascii="Georgia" w:cs="Georgia" w:eastAsia="Georgia" w:hAnsi="Georgia"/>
                <w:b/>
                <w:bCs/>
                <w:color w:val="1A5C4A"/>
                <w:sz w:val="21"/>
                <w:szCs w:val="21"/>
              </w:rPr>
              <w:t xml:space="preserve">Designate four strategic forums with explicit agenda protection rules; Hochschulrat (G1) holds accountability for OUG's strategic performance</w:t>
            </w:r>
          </w:p>
        </w:tc>
      </w:tr>
    </w:tbl>
    <w:p>
      <w:pPr>
        <w:spacing w:after="80" w:before="0"/>
      </w:pPr>
    </w:p>
    <w:p>
      <w:pPr>
        <w:pStyle w:val="Heading2"/>
        <w:spacing w:after="100" w:before="320"/>
      </w:pPr>
      <w:r>
        <w:rPr>
          <w:rFonts w:ascii="Georgia" w:cs="Georgia" w:eastAsia="Georgia" w:hAnsi="Georgia"/>
          <w:b/>
          <w:bCs/>
          <w:color w:val="2E75B6"/>
          <w:sz w:val="25"/>
          <w:szCs w:val="25"/>
        </w:rPr>
        <w:t xml:space="preserve">The Four Strategic Forums</w:t>
      </w:r>
    </w:p>
    <w:p>
      <w:pPr>
        <w:spacing w:after="185" w:before="0"/>
        <w:jc w:val="both"/>
      </w:pPr>
      <w:r>
        <w:rPr>
          <w:rFonts w:ascii="Georgia" w:cs="Georgia" w:eastAsia="Georgia" w:hAnsi="Georgia"/>
          <w:b w:val="false"/>
          <w:bCs w:val="false"/>
          <w:i w:val="false"/>
          <w:iCs w:val="false"/>
          <w:color w:val="1A1A1A"/>
          <w:sz w:val="23"/>
          <w:szCs w:val="23"/>
        </w:rPr>
        <w:t xml:space="preserve">Strategic forums are governance bodies whose agendas are constitutionally protected from operational, compliance, facilities, and routine administrative items. The protection rule is simple: no such item may appear on a strategic forum agenda without a formal exception request submitted to the convener at least two weeks in advance and recorded in the minutes with the convener's stated reason for granting the exception. The two-week threshold is not arbitrary — it creates a deliberate friction that distinguishes genuine strategic urgency (which can be justified and documented) from operational convenience (which cannot).</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426"/>
      </w:tblGrid>
      <w:tr>
        <w:tc>
          <w:tcPr>
            <w:tcW w:type="dxa" w:w="2200"/>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Strategic Forum</w:t>
            </w:r>
          </w:p>
        </w:tc>
        <w:tc>
          <w:tcPr>
            <w:tcW w:type="dxa" w:w="1800"/>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Convener</w:t>
            </w:r>
          </w:p>
        </w:tc>
        <w:tc>
          <w:tcPr>
            <w:tcW w:type="dxa" w:w="1600"/>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Frequency</w:t>
            </w:r>
          </w:p>
        </w:tc>
        <w:tc>
          <w:tcPr>
            <w:tcW w:type="dxa" w:w="3426"/>
            <w:tcBorders>
              <w:top w:val="none"/>
              <w:left w:val="none"/>
              <w:bottom w:val="none"/>
              <w:right w:val="none"/>
            </w:tcBorders>
            <w:shd w:fill="0D1F3C" w:val="clear"/>
            <w:tcMar>
              <w:top w:type="dxa" w:w="70"/>
              <w:left w:type="dxa" w:w="120"/>
              <w:bottom w:type="dxa" w:w="70"/>
              <w:right w:type="dxa" w:w="80"/>
            </w:tcMar>
          </w:tcPr>
          <w:p>
            <w:r>
              <w:rPr>
                <w:rFonts w:ascii="Arial" w:cs="Arial" w:eastAsia="Arial" w:hAnsi="Arial"/>
                <w:b/>
                <w:bCs/>
                <w:color w:val="FFFFFF"/>
                <w:sz w:val="16"/>
                <w:szCs w:val="16"/>
              </w:rPr>
              <w:t xml:space="preserve">Strategic mandate</w:t>
            </w:r>
          </w:p>
        </w:tc>
      </w:tr>
      <w:tr>
        <w:tc>
          <w:tcPr>
            <w:tcW w:type="dxa" w:w="2200"/>
            <w:tcBorders>
              <w:top w:val="none"/>
              <w:left w:val="none"/>
              <w:bottom w:val="none"/>
              <w:right w:val="none"/>
            </w:tcBorders>
            <w:shd w:fill="FFFFFF" w:val="clear"/>
            <w:tcMar>
              <w:top w:type="dxa" w:w="80"/>
              <w:left w:type="dxa" w:w="120"/>
              <w:bottom w:type="dxa" w:w="80"/>
              <w:right w:type="dxa" w:w="80"/>
            </w:tcMar>
          </w:tcPr>
          <w:p>
            <w:r>
              <w:rPr>
                <w:rFonts w:ascii="Georgia" w:cs="Georgia" w:eastAsia="Georgia" w:hAnsi="Georgia"/>
                <w:b/>
                <w:bCs/>
                <w:color w:val="1F3864"/>
                <w:sz w:val="20"/>
                <w:szCs w:val="20"/>
              </w:rPr>
              <w:t xml:space="preserve">Hochschulrat Strategic Review</w:t>
            </w:r>
          </w:p>
        </w:tc>
        <w:tc>
          <w:tcPr>
            <w:tcW w:type="dxa" w:w="180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color w:val="1A1A1A"/>
                <w:sz w:val="17"/>
                <w:szCs w:val="17"/>
              </w:rPr>
              <w:t xml:space="preserve">Hochschulrat Chair (G1)</w:t>
            </w:r>
          </w:p>
        </w:tc>
        <w:tc>
          <w:tcPr>
            <w:tcW w:type="dxa" w:w="160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i/>
                <w:iCs/>
                <w:color w:val="4A5568"/>
                <w:sz w:val="17"/>
                <w:szCs w:val="17"/>
              </w:rPr>
              <w:t xml:space="preserve">Annual — plus extraordinary as needed</w:t>
            </w:r>
          </w:p>
        </w:tc>
        <w:tc>
          <w:tcPr>
            <w:tcW w:type="dxa" w:w="3426"/>
            <w:tcBorders>
              <w:top w:val="none"/>
              <w:left w:val="none"/>
              <w:bottom w:val="none"/>
              <w:right w:val="none"/>
            </w:tcBorders>
            <w:shd w:fill="FFFFFF" w:val="clear"/>
            <w:tcMar>
              <w:top w:type="dxa" w:w="80"/>
              <w:left w:type="dxa" w:w="120"/>
              <w:bottom w:type="dxa" w:w="80"/>
              <w:right w:type="dxa" w:w="80"/>
            </w:tcMar>
          </w:tcPr>
          <w:p>
            <w:pPr>
              <w:jc w:val="both"/>
            </w:pPr>
            <w:r>
              <w:rPr>
                <w:rFonts w:ascii="Georgia" w:cs="Georgia" w:eastAsia="Georgia" w:hAnsi="Georgia"/>
                <w:color w:val="1A1A1A"/>
                <w:sz w:val="20"/>
                <w:szCs w:val="20"/>
              </w:rPr>
              <w:t xml:space="preserve">Holds the OUG to its strategic promise. Reviews Rector Proactive Capacity audit. Assesses OKR performance at institutional level. Approves or challenges the strategic direction for the following year.</w:t>
            </w:r>
          </w:p>
        </w:tc>
      </w:tr>
      <w:tr>
        <w:tc>
          <w:tcPr>
            <w:tcW w:type="dxa" w:w="2200"/>
            <w:tcBorders>
              <w:top w:val="none"/>
              <w:left w:val="none"/>
              <w:bottom w:val="none"/>
              <w:right w:val="none"/>
            </w:tcBorders>
            <w:shd w:fill="F4F7FA" w:val="clear"/>
            <w:tcMar>
              <w:top w:type="dxa" w:w="80"/>
              <w:left w:type="dxa" w:w="120"/>
              <w:bottom w:type="dxa" w:w="80"/>
              <w:right w:type="dxa" w:w="80"/>
            </w:tcMar>
          </w:tcPr>
          <w:p>
            <w:r>
              <w:rPr>
                <w:rFonts w:ascii="Georgia" w:cs="Georgia" w:eastAsia="Georgia" w:hAnsi="Georgia"/>
                <w:b/>
                <w:bCs/>
                <w:color w:val="1F3864"/>
                <w:sz w:val="20"/>
                <w:szCs w:val="20"/>
              </w:rPr>
              <w:t xml:space="preserve">G2 Strategic Steering Forum</w:t>
            </w:r>
          </w:p>
        </w:tc>
        <w:tc>
          <w:tcPr>
            <w:tcW w:type="dxa" w:w="1800"/>
            <w:tcBorders>
              <w:top w:val="none"/>
              <w:left w:val="none"/>
              <w:bottom w:val="none"/>
              <w:right w:val="none"/>
            </w:tcBorders>
            <w:shd w:fill="F4F7FA" w:val="clear"/>
            <w:tcMar>
              <w:top w:type="dxa" w:w="80"/>
              <w:left w:type="dxa" w:w="120"/>
              <w:bottom w:type="dxa" w:w="80"/>
              <w:right w:type="dxa" w:w="80"/>
            </w:tcMar>
          </w:tcPr>
          <w:p>
            <w:r>
              <w:rPr>
                <w:rFonts w:ascii="Arial" w:cs="Arial" w:eastAsia="Arial" w:hAnsi="Arial"/>
                <w:color w:val="1A1A1A"/>
                <w:sz w:val="17"/>
                <w:szCs w:val="17"/>
              </w:rPr>
              <w:t xml:space="preserve">Rector</w:t>
            </w:r>
          </w:p>
        </w:tc>
        <w:tc>
          <w:tcPr>
            <w:tcW w:type="dxa" w:w="1600"/>
            <w:tcBorders>
              <w:top w:val="none"/>
              <w:left w:val="none"/>
              <w:bottom w:val="none"/>
              <w:right w:val="none"/>
            </w:tcBorders>
            <w:shd w:fill="F4F7FA" w:val="clear"/>
            <w:tcMar>
              <w:top w:type="dxa" w:w="80"/>
              <w:left w:type="dxa" w:w="120"/>
              <w:bottom w:type="dxa" w:w="80"/>
              <w:right w:type="dxa" w:w="80"/>
            </w:tcMar>
          </w:tcPr>
          <w:p>
            <w:r>
              <w:rPr>
                <w:rFonts w:ascii="Arial" w:cs="Arial" w:eastAsia="Arial" w:hAnsi="Arial"/>
                <w:i/>
                <w:iCs/>
                <w:color w:val="4A5568"/>
                <w:sz w:val="17"/>
                <w:szCs w:val="17"/>
              </w:rPr>
              <w:t xml:space="preserve">Quarterly</w:t>
            </w:r>
          </w:p>
        </w:tc>
        <w:tc>
          <w:tcPr>
            <w:tcW w:type="dxa" w:w="3426"/>
            <w:tcBorders>
              <w:top w:val="none"/>
              <w:left w:val="none"/>
              <w:bottom w:val="none"/>
              <w:right w:val="none"/>
            </w:tcBorders>
            <w:shd w:fill="F4F7FA" w:val="clear"/>
            <w:tcMar>
              <w:top w:type="dxa" w:w="80"/>
              <w:left w:type="dxa" w:w="120"/>
              <w:bottom w:type="dxa" w:w="80"/>
              <w:right w:type="dxa" w:w="80"/>
            </w:tcMar>
          </w:tcPr>
          <w:p>
            <w:pPr>
              <w:jc w:val="both"/>
            </w:pPr>
            <w:r>
              <w:rPr>
                <w:rFonts w:ascii="Georgia" w:cs="Georgia" w:eastAsia="Georgia" w:hAnsi="Georgia"/>
                <w:color w:val="1A1A1A"/>
                <w:sz w:val="20"/>
                <w:szCs w:val="20"/>
              </w:rPr>
              <w:t xml:space="preserve">Translates institutional strategy into the following quarter's priorities. Reviews OKR progress. Identifies strategic risks and opportunities. No operational items without two-week exception notice.</w:t>
            </w:r>
          </w:p>
        </w:tc>
      </w:tr>
      <w:tr>
        <w:tc>
          <w:tcPr>
            <w:tcW w:type="dxa" w:w="2200"/>
            <w:tcBorders>
              <w:top w:val="none"/>
              <w:left w:val="none"/>
              <w:bottom w:val="none"/>
              <w:right w:val="none"/>
            </w:tcBorders>
            <w:shd w:fill="FFFFFF" w:val="clear"/>
            <w:tcMar>
              <w:top w:type="dxa" w:w="80"/>
              <w:left w:type="dxa" w:w="120"/>
              <w:bottom w:type="dxa" w:w="80"/>
              <w:right w:type="dxa" w:w="80"/>
            </w:tcMar>
          </w:tcPr>
          <w:p>
            <w:r>
              <w:rPr>
                <w:rFonts w:ascii="Georgia" w:cs="Georgia" w:eastAsia="Georgia" w:hAnsi="Georgia"/>
                <w:b/>
                <w:bCs/>
                <w:color w:val="1F3864"/>
                <w:sz w:val="20"/>
                <w:szCs w:val="20"/>
              </w:rPr>
              <w:t xml:space="preserve">Annual Senate Strategy Session</w:t>
            </w:r>
          </w:p>
        </w:tc>
        <w:tc>
          <w:tcPr>
            <w:tcW w:type="dxa" w:w="180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color w:val="1A1A1A"/>
                <w:sz w:val="17"/>
                <w:szCs w:val="17"/>
              </w:rPr>
              <w:t xml:space="preserve">Rector / Academic Senate Chair</w:t>
            </w:r>
          </w:p>
        </w:tc>
        <w:tc>
          <w:tcPr>
            <w:tcW w:type="dxa" w:w="1600"/>
            <w:tcBorders>
              <w:top w:val="none"/>
              <w:left w:val="none"/>
              <w:bottom w:val="none"/>
              <w:right w:val="none"/>
            </w:tcBorders>
            <w:shd w:fill="FFFFFF" w:val="clear"/>
            <w:tcMar>
              <w:top w:type="dxa" w:w="80"/>
              <w:left w:type="dxa" w:w="120"/>
              <w:bottom w:type="dxa" w:w="80"/>
              <w:right w:type="dxa" w:w="80"/>
            </w:tcMar>
          </w:tcPr>
          <w:p>
            <w:r>
              <w:rPr>
                <w:rFonts w:ascii="Arial" w:cs="Arial" w:eastAsia="Arial" w:hAnsi="Arial"/>
                <w:i/>
                <w:iCs/>
                <w:color w:val="4A5568"/>
                <w:sz w:val="17"/>
                <w:szCs w:val="17"/>
              </w:rPr>
              <w:t xml:space="preserve">Annual — separate from regular Senate cycle</w:t>
            </w:r>
          </w:p>
        </w:tc>
        <w:tc>
          <w:tcPr>
            <w:tcW w:type="dxa" w:w="3426"/>
            <w:tcBorders>
              <w:top w:val="none"/>
              <w:left w:val="none"/>
              <w:bottom w:val="none"/>
              <w:right w:val="none"/>
            </w:tcBorders>
            <w:shd w:fill="FFFFFF" w:val="clear"/>
            <w:tcMar>
              <w:top w:type="dxa" w:w="80"/>
              <w:left w:type="dxa" w:w="120"/>
              <w:bottom w:type="dxa" w:w="80"/>
              <w:right w:type="dxa" w:w="80"/>
            </w:tcMar>
          </w:tcPr>
          <w:p>
            <w:pPr>
              <w:jc w:val="both"/>
            </w:pPr>
            <w:r>
              <w:rPr>
                <w:rFonts w:ascii="Georgia" w:cs="Georgia" w:eastAsia="Georgia" w:hAnsi="Georgia"/>
                <w:color w:val="1A1A1A"/>
                <w:sz w:val="20"/>
                <w:szCs w:val="20"/>
              </w:rPr>
              <w:t xml:space="preserve">The Senate's dedicated strategic session: programme direction, academic quality strategy, research development. Distinct from the operational Senate cycle that handles examination regulations and appointments.</w:t>
            </w:r>
          </w:p>
        </w:tc>
      </w:tr>
      <w:tr>
        <w:tc>
          <w:tcPr>
            <w:tcW w:type="dxa" w:w="2200"/>
            <w:tcBorders>
              <w:top w:val="none"/>
              <w:left w:val="none"/>
              <w:bottom w:val="none"/>
              <w:right w:val="none"/>
            </w:tcBorders>
            <w:shd w:fill="F4F7FA" w:val="clear"/>
            <w:tcMar>
              <w:top w:type="dxa" w:w="80"/>
              <w:left w:type="dxa" w:w="120"/>
              <w:bottom w:type="dxa" w:w="80"/>
              <w:right w:type="dxa" w:w="80"/>
            </w:tcMar>
          </w:tcPr>
          <w:p>
            <w:r>
              <w:rPr>
                <w:rFonts w:ascii="Georgia" w:cs="Georgia" w:eastAsia="Georgia" w:hAnsi="Georgia"/>
                <w:b/>
                <w:bCs/>
                <w:color w:val="1F3864"/>
                <w:sz w:val="20"/>
                <w:szCs w:val="20"/>
              </w:rPr>
              <w:t xml:space="preserve">Mission Hub Strategy Review</w:t>
            </w:r>
          </w:p>
        </w:tc>
        <w:tc>
          <w:tcPr>
            <w:tcW w:type="dxa" w:w="1800"/>
            <w:tcBorders>
              <w:top w:val="none"/>
              <w:left w:val="none"/>
              <w:bottom w:val="none"/>
              <w:right w:val="none"/>
            </w:tcBorders>
            <w:shd w:fill="F4F7FA" w:val="clear"/>
            <w:tcMar>
              <w:top w:type="dxa" w:w="80"/>
              <w:left w:type="dxa" w:w="120"/>
              <w:bottom w:type="dxa" w:w="80"/>
              <w:right w:type="dxa" w:w="80"/>
            </w:tcMar>
          </w:tcPr>
          <w:p>
            <w:r>
              <w:rPr>
                <w:rFonts w:ascii="Arial" w:cs="Arial" w:eastAsia="Arial" w:hAnsi="Arial"/>
                <w:color w:val="1A1A1A"/>
                <w:sz w:val="17"/>
                <w:szCs w:val="17"/>
              </w:rPr>
              <w:t xml:space="preserve">Academic Steward</w:t>
            </w:r>
          </w:p>
        </w:tc>
        <w:tc>
          <w:tcPr>
            <w:tcW w:type="dxa" w:w="1600"/>
            <w:tcBorders>
              <w:top w:val="none"/>
              <w:left w:val="none"/>
              <w:bottom w:val="none"/>
              <w:right w:val="none"/>
            </w:tcBorders>
            <w:shd w:fill="F4F7FA" w:val="clear"/>
            <w:tcMar>
              <w:top w:type="dxa" w:w="80"/>
              <w:left w:type="dxa" w:w="120"/>
              <w:bottom w:type="dxa" w:w="80"/>
              <w:right w:type="dxa" w:w="80"/>
            </w:tcMar>
          </w:tcPr>
          <w:p>
            <w:r>
              <w:rPr>
                <w:rFonts w:ascii="Arial" w:cs="Arial" w:eastAsia="Arial" w:hAnsi="Arial"/>
                <w:i/>
                <w:iCs/>
                <w:color w:val="4A5568"/>
                <w:sz w:val="17"/>
                <w:szCs w:val="17"/>
              </w:rPr>
              <w:t xml:space="preserve">Annual per Hub</w:t>
            </w:r>
          </w:p>
        </w:tc>
        <w:tc>
          <w:tcPr>
            <w:tcW w:type="dxa" w:w="3426"/>
            <w:tcBorders>
              <w:top w:val="none"/>
              <w:left w:val="none"/>
              <w:bottom w:val="none"/>
              <w:right w:val="none"/>
            </w:tcBorders>
            <w:shd w:fill="F4F7FA" w:val="clear"/>
            <w:tcMar>
              <w:top w:type="dxa" w:w="80"/>
              <w:left w:type="dxa" w:w="120"/>
              <w:bottom w:type="dxa" w:w="80"/>
              <w:right w:type="dxa" w:w="80"/>
            </w:tcMar>
          </w:tcPr>
          <w:p>
            <w:pPr>
              <w:jc w:val="both"/>
            </w:pPr>
            <w:r>
              <w:rPr>
                <w:rFonts w:ascii="Georgia" w:cs="Georgia" w:eastAsia="Georgia" w:hAnsi="Georgia"/>
                <w:color w:val="1A1A1A"/>
                <w:sz w:val="20"/>
                <w:szCs w:val="20"/>
              </w:rPr>
              <w:t xml:space="preserve">Each Mission Hub's dedicated forward-looking session: what should this Hub become in the next three years? Separate from the Hub's operational coordination meetings.</w:t>
            </w:r>
          </w:p>
        </w:tc>
      </w:tr>
    </w:tbl>
    <w:p>
      <w:pPr>
        <w:spacing w:after="80" w:before="0"/>
      </w:pPr>
    </w:p>
    <w:p>
      <w:pPr>
        <w:pStyle w:val="Heading2"/>
        <w:spacing w:after="100" w:before="320"/>
      </w:pPr>
      <w:r>
        <w:rPr>
          <w:rFonts w:ascii="Georgia" w:cs="Georgia" w:eastAsia="Georgia" w:hAnsi="Georgia"/>
          <w:b/>
          <w:bCs/>
          <w:color w:val="2E75B6"/>
          <w:sz w:val="25"/>
          <w:szCs w:val="25"/>
        </w:rPr>
        <w:t xml:space="preserve">The Hochschulrat's Role in Strategic Accountability</w:t>
      </w:r>
    </w:p>
    <w:p>
      <w:pPr>
        <w:spacing w:after="185" w:before="0"/>
        <w:jc w:val="both"/>
      </w:pPr>
      <w:r>
        <w:rPr>
          <w:rFonts w:ascii="Georgia" w:cs="Georgia" w:eastAsia="Georgia" w:hAnsi="Georgia"/>
          <w:b w:val="false"/>
          <w:bCs w:val="false"/>
          <w:i w:val="false"/>
          <w:iCs w:val="false"/>
          <w:color w:val="1A1A1A"/>
          <w:sz w:val="23"/>
          <w:szCs w:val="23"/>
        </w:rPr>
        <w:t xml:space="preserve">The Hochschulrat (G1) is not merely the body that appoints the Rector and approves the constitution. It is the body that holds the OUG to its founding strategic promise — the promise that this institution will serve the learners the existing system does not serve, at a price they can afford, with a credential that travels with them. That promise is the OUG's reason for existing. G1's strategic accountability function is the structural mechanism that ensures the promise does not erode under operational pressure.</w:t>
      </w:r>
    </w:p>
    <w:p>
      <w:pPr>
        <w:spacing w:after="185" w:before="0"/>
        <w:jc w:val="both"/>
      </w:pPr>
      <w:r>
        <w:rPr>
          <w:rFonts w:ascii="Georgia" w:cs="Georgia" w:eastAsia="Georgia" w:hAnsi="Georgia"/>
          <w:b w:val="false"/>
          <w:bCs w:val="false"/>
          <w:i w:val="false"/>
          <w:iCs w:val="false"/>
          <w:color w:val="1A1A1A"/>
          <w:sz w:val="23"/>
          <w:szCs w:val="23"/>
        </w:rPr>
        <w:t xml:space="preserve">Concretely: the Hochschulrat's Annual Strategic Review is not a reporting session. It is an accountability session. The Rector presents against three questions: Has the institution served its target population at the promised scale and price? Has the governance architecture maintained its strategic orientation — specifically, are Proactive Capacity thresholds being met? Has the OKR performance at institutional level demonstrated progression rather than merely maintenance? G1 can, and should, require remedial action when the answers are unsatisfactory. This is not micromanagement — it is the structural expression of the founding promise.</w:t>
      </w:r>
    </w:p>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10"/>
              <w:left w:type="dxa" w:w="220"/>
              <w:bottom w:type="dxa" w:w="110"/>
              <w:right w:type="dxa" w:w="180"/>
            </w:tcMar>
          </w:tcPr>
          <w:p>
            <w:pPr>
              <w:spacing w:after="25" w:before="0"/>
            </w:pPr>
            <w:r>
              <w:rPr>
                <w:rFonts w:ascii="Arial" w:cs="Arial" w:eastAsia="Arial" w:hAnsi="Arial"/>
                <w:b/>
                <w:bCs/>
                <w:color w:val="2E75B6"/>
                <w:sz w:val="16"/>
                <w:szCs w:val="16"/>
              </w:rPr>
              <w:t xml:space="preserve">HP-8  ·  </w:t>
            </w:r>
            <w:r>
              <w:rPr>
                <w:rFonts w:ascii="Georgia" w:cs="Georgia" w:eastAsia="Georgia" w:hAnsi="Georgia"/>
                <w:b/>
                <w:bCs/>
                <w:color w:val="FFFFFF"/>
                <w:sz w:val="26"/>
                <w:szCs w:val="26"/>
              </w:rPr>
              <w:t xml:space="preserve">The Structured Crossing</w:t>
            </w:r>
          </w:p>
          <w:p>
            <w:pPr>
              <w:spacing w:after="0" w:before="0"/>
            </w:pPr>
            <w:r>
              <w:rPr>
                <w:rFonts w:ascii="Arial" w:cs="Arial" w:eastAsia="Arial" w:hAnsi="Arial"/>
                <w:i/>
                <w:iCs/>
                <w:color w:val="8899BB"/>
                <w:sz w:val="15"/>
                <w:szCs w:val="15"/>
              </w:rPr>
              <w:t xml:space="preserve">Gap: No continuous intelligence mechanism between OUG governance and partner operational reality</w:t>
            </w:r>
          </w:p>
        </w:tc>
      </w:tr>
      <w:tr>
        <w:tc>
          <w:tcPr>
            <w:tcW w:type="dxa" w:w="9026"/>
            <w:tcBorders>
              <w:top w:val="none"/>
              <w:left w:val="none"/>
              <w:bottom w:val="none"/>
              <w:right w:val="none"/>
            </w:tcBorders>
            <w:shd w:fill="EAF5EE" w:val="clear"/>
            <w:tcMar>
              <w:top w:type="dxa" w:w="80"/>
              <w:left w:type="dxa" w:w="220"/>
              <w:bottom w:type="dxa" w:w="80"/>
              <w:right w:type="dxa" w:w="180"/>
            </w:tcMar>
          </w:tcPr>
          <w:p>
            <w:r>
              <w:rPr>
                <w:rFonts w:ascii="Arial" w:cs="Arial" w:eastAsia="Arial" w:hAnsi="Arial"/>
                <w:b/>
                <w:bCs/>
                <w:caps/>
                <w:color w:val="1A5C4A"/>
                <w:sz w:val="16"/>
                <w:szCs w:val="16"/>
              </w:rPr>
              <w:t xml:space="preserve">✓  Decision: </w:t>
            </w:r>
            <w:r>
              <w:rPr>
                <w:rFonts w:ascii="Georgia" w:cs="Georgia" w:eastAsia="Georgia" w:hAnsi="Georgia"/>
                <w:b/>
                <w:bCs/>
                <w:color w:val="1A5C4A"/>
                <w:sz w:val="21"/>
                <w:szCs w:val="21"/>
              </w:rPr>
              <w:t xml:space="preserve">Three-layer crossing architecture: platform signal (always-on), quarterly partner signal report (early mechanism), Partnership Office deep-dive (anomaly-triggered)</w:t>
            </w:r>
          </w:p>
        </w:tc>
      </w:tr>
    </w:tbl>
    <w:p>
      <w:pPr>
        <w:spacing w:after="80" w:before="0"/>
      </w:pPr>
    </w:p>
    <w:p>
      <w:pPr>
        <w:pStyle w:val="Heading2"/>
        <w:spacing w:after="100" w:before="320"/>
      </w:pPr>
      <w:r>
        <w:rPr>
          <w:rFonts w:ascii="Georgia" w:cs="Georgia" w:eastAsia="Georgia" w:hAnsi="Georgia"/>
          <w:b/>
          <w:bCs/>
          <w:color w:val="2E75B6"/>
          <w:sz w:val="25"/>
          <w:szCs w:val="25"/>
        </w:rPr>
        <w:t xml:space="preserve">Why three layers</w:t>
      </w:r>
    </w:p>
    <w:p>
      <w:pPr>
        <w:spacing w:after="185" w:before="0"/>
        <w:jc w:val="both"/>
      </w:pPr>
      <w:r>
        <w:rPr>
          <w:rFonts w:ascii="Georgia" w:cs="Georgia" w:eastAsia="Georgia" w:hAnsi="Georgia"/>
          <w:b w:val="false"/>
          <w:bCs w:val="false"/>
          <w:i w:val="false"/>
          <w:iCs w:val="false"/>
          <w:color w:val="1A1A1A"/>
          <w:sz w:val="23"/>
          <w:szCs w:val="23"/>
        </w:rPr>
        <w:t xml:space="preserve">A single annual Stichprobe is a governance instrument, not an intelligence instrument. It verifies quality at a point in time; it does not detect drift between verifications. The three-layer crossing architecture is designed to provide continuous operational intelligence at proportionate cost — lightweight and always-on at the base, more intensive and targeted at higher levels, triggered by signal rather than by calendar.</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90"/>
              <w:left w:type="dxa" w:w="200"/>
              <w:bottom w:type="dxa" w:w="90"/>
              <w:right w:type="dxa" w:w="160"/>
            </w:tcMar>
          </w:tcPr>
          <w:p>
            <w:r>
              <w:rPr>
                <w:rFonts w:ascii="Arial" w:cs="Arial" w:eastAsia="Arial" w:hAnsi="Arial"/>
                <w:color w:val="88BBAA"/>
                <w:sz w:val="15"/>
                <w:szCs w:val="15"/>
              </w:rPr>
              <w:t xml:space="preserve">Layer 1  ·  </w:t>
            </w:r>
            <w:r>
              <w:rPr>
                <w:rFonts w:ascii="Georgia" w:cs="Georgia" w:eastAsia="Georgia" w:hAnsi="Georgia"/>
                <w:b/>
                <w:bCs/>
                <w:color w:val="FFFFFF"/>
                <w:sz w:val="22"/>
                <w:szCs w:val="22"/>
              </w:rPr>
              <w:t xml:space="preserve">Platform Signal Layer</w:t>
            </w:r>
            <w:r>
              <w:rPr>
                <w:rFonts w:ascii="Arial" w:cs="Arial" w:eastAsia="Arial" w:hAnsi="Arial"/>
                <w:i/>
                <w:iCs/>
                <w:color w:val="88BBAA"/>
                <w:sz w:val="15"/>
                <w:szCs w:val="15"/>
              </w:rPr>
              <w:t xml:space="preserve">  ·  always-on once platform is live</w:t>
            </w:r>
          </w:p>
        </w:tc>
      </w:tr>
      <w:tr>
        <w:tc>
          <w:tcPr>
            <w:tcW w:type="dxa" w:w="9026"/>
            <w:tcBorders>
              <w:top w:val="none"/>
              <w:left w:val="none"/>
              <w:bottom w:val="none"/>
              <w:right w:val="none"/>
            </w:tcBorders>
            <w:shd w:fill="FFFFFF" w:val="clear"/>
            <w:tcMar>
              <w:top w:type="dxa" w:w="100"/>
              <w:left w:type="dxa" w:w="200"/>
              <w:bottom w:type="dxa" w:w="100"/>
              <w:right w:type="dxa" w:w="160"/>
            </w:tcMar>
          </w:tcPr>
          <w:p>
            <w:pPr>
              <w:spacing w:after="60" w:before="0"/>
              <w:jc w:val="both"/>
            </w:pPr>
            <w:r>
              <w:rPr>
                <w:rFonts w:ascii="Georgia" w:cs="Georgia" w:eastAsia="Georgia" w:hAnsi="Georgia"/>
                <w:color w:val="1A1A1A"/>
                <w:sz w:val="22"/>
                <w:szCs w:val="22"/>
              </w:rPr>
              <w:t xml:space="preserve">The platform's competency-level feedback mechanism (Milestone 7 of the Living Learning System) generates continuous student-generated signals about the gap between intended and perceived learning outcomes. The Partnership Office monitors aggregated signal data in real time and flags anomalies — defined as a module where the gap between intended and perceived outcomes exceeds two standard deviations from the programme mean, or where engagement metrics drop below threshold for three consecutive weeks. Anomaly flags go to the relevant Academic Steward and to the Quality Commission Chair within five working days.</w:t>
            </w:r>
          </w:p>
          <w:p>
            <w:pPr>
              <w:spacing w:after="0" w:before="0"/>
              <w:jc w:val="both"/>
            </w:pPr>
            <w:r>
              <w:rPr>
                <w:rFonts w:ascii="Georgia" w:cs="Georgia" w:eastAsia="Georgia" w:hAnsi="Georgia"/>
                <w:i/>
                <w:iCs/>
                <w:color w:val="4A5568"/>
                <w:sz w:val="22"/>
                <w:szCs w:val="22"/>
              </w:rPr>
              <w:t xml:space="preserve">No additional reporting burden on partners. No additional cost once the platform is operational. The signal is a byproduct of normal student interaction with the learning environment.</w:t>
            </w:r>
          </w:p>
        </w:tc>
      </w:tr>
      <w:tr>
        <w:tc>
          <w:tcPr>
            <w:tcW w:type="dxa" w:w="9026"/>
            <w:tcBorders>
              <w:top w:val="none"/>
              <w:left w:val="none"/>
              <w:bottom w:val="none"/>
              <w:right w:val="none"/>
            </w:tcBorders>
            <w:shd w:fill="2E75B6" w:val="clear"/>
            <w:tcMar>
              <w:top w:type="dxa" w:w="90"/>
              <w:left w:type="dxa" w:w="200"/>
              <w:bottom w:type="dxa" w:w="90"/>
              <w:right w:type="dxa" w:w="160"/>
            </w:tcMar>
          </w:tcPr>
          <w:p>
            <w:r>
              <w:rPr>
                <w:rFonts w:ascii="Arial" w:cs="Arial" w:eastAsia="Arial" w:hAnsi="Arial"/>
                <w:color w:val="AACCEE"/>
                <w:sz w:val="15"/>
                <w:szCs w:val="15"/>
              </w:rPr>
              <w:t xml:space="preserve">Layer 2  ·  </w:t>
            </w:r>
            <w:r>
              <w:rPr>
                <w:rFonts w:ascii="Georgia" w:cs="Georgia" w:eastAsia="Georgia" w:hAnsi="Georgia"/>
                <w:b/>
                <w:bCs/>
                <w:color w:val="FFFFFF"/>
                <w:sz w:val="22"/>
                <w:szCs w:val="22"/>
              </w:rPr>
              <w:t xml:space="preserve">Quarterly Partner Signal Report</w:t>
            </w:r>
            <w:r>
              <w:rPr>
                <w:rFonts w:ascii="Arial" w:cs="Arial" w:eastAsia="Arial" w:hAnsi="Arial"/>
                <w:i/>
                <w:iCs/>
                <w:color w:val="AACCEE"/>
                <w:sz w:val="15"/>
                <w:szCs w:val="15"/>
              </w:rPr>
              <w:t xml:space="preserve">  ·  pre-platform mechanism, retained as structural check</w:t>
            </w:r>
          </w:p>
        </w:tc>
      </w:tr>
      <w:tr>
        <w:tc>
          <w:tcPr>
            <w:tcW w:type="dxa" w:w="9026"/>
            <w:tcBorders>
              <w:top w:val="none"/>
              <w:left w:val="none"/>
              <w:bottom w:val="none"/>
              <w:right w:val="none"/>
            </w:tcBorders>
            <w:shd w:fill="FFFFFF" w:val="clear"/>
            <w:tcMar>
              <w:top w:type="dxa" w:w="100"/>
              <w:left w:type="dxa" w:w="200"/>
              <w:bottom w:type="dxa" w:w="100"/>
              <w:right w:type="dxa" w:w="160"/>
            </w:tcMar>
          </w:tcPr>
          <w:p>
            <w:pPr>
              <w:spacing w:after="60" w:before="0"/>
              <w:jc w:val="both"/>
            </w:pPr>
            <w:r>
              <w:rPr>
                <w:rFonts w:ascii="Georgia" w:cs="Georgia" w:eastAsia="Georgia" w:hAnsi="Georgia"/>
                <w:color w:val="1A1A1A"/>
                <w:sz w:val="22"/>
                <w:szCs w:val="22"/>
              </w:rPr>
              <w:t xml:space="preserve">Each partner submits a structured signal report four times per year using a standardised three-metric format: module completion rate against expected pace, assessment integrity incidents (any deviation from the defined assessment protocol), and student query volume above baseline. One open text field is included for the partner to flag anything the metrics do not capture. The Partnership Office aggregates all partner reports and produces a one-page Crossing Point Summary for the Quality Commission Chair within ten working days of each reporting deadline.</w:t>
            </w:r>
          </w:p>
          <w:p>
            <w:pPr>
              <w:spacing w:after="0" w:before="0"/>
              <w:jc w:val="both"/>
            </w:pPr>
            <w:r>
              <w:rPr>
                <w:rFonts w:ascii="Georgia" w:cs="Georgia" w:eastAsia="Georgia" w:hAnsi="Georgia"/>
                <w:i/>
                <w:iCs/>
                <w:color w:val="4A5568"/>
                <w:sz w:val="22"/>
                <w:szCs w:val="22"/>
              </w:rPr>
              <w:t xml:space="preserve">Design principle: the report is lean by design. Three metrics and one open field. Adding metrics increases reporting burden and reduces compliance quality. The Partnership Office's job is to interpret signals, not to design exhaustive measurement frameworks.</w:t>
            </w:r>
          </w:p>
        </w:tc>
      </w:tr>
      <w:tr>
        <w:tc>
          <w:tcPr>
            <w:tcW w:type="dxa" w:w="9026"/>
            <w:tcBorders>
              <w:top w:val="none"/>
              <w:left w:val="none"/>
              <w:bottom w:val="none"/>
              <w:right w:val="none"/>
            </w:tcBorders>
            <w:shd w:fill="1F3864" w:val="clear"/>
            <w:tcMar>
              <w:top w:type="dxa" w:w="90"/>
              <w:left w:type="dxa" w:w="200"/>
              <w:bottom w:type="dxa" w:w="90"/>
              <w:right w:type="dxa" w:w="160"/>
            </w:tcMar>
          </w:tcPr>
          <w:p>
            <w:r>
              <w:rPr>
                <w:rFonts w:ascii="Arial" w:cs="Arial" w:eastAsia="Arial" w:hAnsi="Arial"/>
                <w:color w:val="8899BB"/>
                <w:sz w:val="15"/>
                <w:szCs w:val="15"/>
              </w:rPr>
              <w:t xml:space="preserve">Layer 3  ·  </w:t>
            </w:r>
            <w:r>
              <w:rPr>
                <w:rFonts w:ascii="Georgia" w:cs="Georgia" w:eastAsia="Georgia" w:hAnsi="Georgia"/>
                <w:b/>
                <w:bCs/>
                <w:color w:val="FFFFFF"/>
                <w:sz w:val="22"/>
                <w:szCs w:val="22"/>
              </w:rPr>
              <w:t xml:space="preserve">Partnership Office Deep-Dive</w:t>
            </w:r>
            <w:r>
              <w:rPr>
                <w:rFonts w:ascii="Arial" w:cs="Arial" w:eastAsia="Arial" w:hAnsi="Arial"/>
                <w:i/>
                <w:iCs/>
                <w:color w:val="8899BB"/>
                <w:sz w:val="15"/>
                <w:szCs w:val="15"/>
              </w:rPr>
              <w:t xml:space="preserve">  ·  anomaly-triggered, not calendar-driven</w:t>
            </w:r>
          </w:p>
        </w:tc>
      </w:tr>
      <w:tr>
        <w:tc>
          <w:tcPr>
            <w:tcW w:type="dxa" w:w="9026"/>
            <w:tcBorders>
              <w:top w:val="none"/>
              <w:left w:val="none"/>
              <w:bottom w:val="none"/>
              <w:right w:val="none"/>
            </w:tcBorders>
            <w:shd w:fill="FFFFFF" w:val="clear"/>
            <w:tcMar>
              <w:top w:type="dxa" w:w="100"/>
              <w:left w:type="dxa" w:w="200"/>
              <w:bottom w:type="dxa" w:w="100"/>
              <w:right w:type="dxa" w:w="160"/>
            </w:tcMar>
          </w:tcPr>
          <w:p>
            <w:pPr>
              <w:spacing w:after="60" w:before="0"/>
              <w:jc w:val="both"/>
            </w:pPr>
            <w:r>
              <w:rPr>
                <w:rFonts w:ascii="Georgia" w:cs="Georgia" w:eastAsia="Georgia" w:hAnsi="Georgia"/>
                <w:color w:val="1A1A1A"/>
                <w:sz w:val="22"/>
                <w:szCs w:val="22"/>
              </w:rPr>
              <w:t xml:space="preserve">When either Layer 1 or Layer 2 produces an anomaly flag, the Partnership Office conducts a structured deep-dive: a direct engagement with the partner that combines document review (assessment records, student feedback, module delivery logs) with a structured conversation with the partner's Studiendekan or equivalent. The deep-dive produces a written report to the Quality Commission within three weeks of the trigger. The Quality Commission determines whether the issue is isolated (resolved at partner level with monitoring), systemic (requiring a programme review), or critical (triggering the Quality Commission's mandate action process).</w:t>
            </w:r>
          </w:p>
          <w:p>
            <w:pPr>
              <w:spacing w:after="0" w:before="0"/>
              <w:jc w:val="both"/>
            </w:pPr>
            <w:r>
              <w:rPr>
                <w:rFonts w:ascii="Georgia" w:cs="Georgia" w:eastAsia="Georgia" w:hAnsi="Georgia"/>
                <w:i/>
                <w:iCs/>
                <w:color w:val="4A5568"/>
                <w:sz w:val="22"/>
                <w:szCs w:val="22"/>
              </w:rPr>
              <w:t xml:space="preserve">Design principle: the deep-dive is reserved for genuine anomalies. Calendar-driven visits produce compliance behaviour, not operational intelligence. Anomaly-triggering ensures the deep-dive is proportionate and that partners do not experience routine inspection as their default relationship with OUG.</w:t>
            </w:r>
          </w:p>
        </w:tc>
      </w:tr>
    </w:tbl>
    <w:p>
      <w:pPr>
        <w:spacing w:after="200" w:before="0"/>
      </w:pPr>
    </w:p>
    <w:p>
      <w:pPr>
        <w:pBdr>
          <w:bottom w:val="single" w:color="CCCCCC" w:sz="2"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10"/>
              <w:left w:type="dxa" w:w="220"/>
              <w:bottom w:type="dxa" w:w="110"/>
              <w:right w:type="dxa" w:w="180"/>
            </w:tcMar>
          </w:tcPr>
          <w:p>
            <w:pPr>
              <w:spacing w:after="25" w:before="0"/>
            </w:pPr>
            <w:r>
              <w:rPr>
                <w:rFonts w:ascii="Arial" w:cs="Arial" w:eastAsia="Arial" w:hAnsi="Arial"/>
                <w:b/>
                <w:bCs/>
                <w:color w:val="2E75B6"/>
                <w:sz w:val="16"/>
                <w:szCs w:val="16"/>
              </w:rPr>
              <w:t xml:space="preserve">HP-1  ·  </w:t>
            </w:r>
            <w:r>
              <w:rPr>
                <w:rFonts w:ascii="Georgia" w:cs="Georgia" w:eastAsia="Georgia" w:hAnsi="Georgia"/>
                <w:b/>
                <w:bCs/>
                <w:color w:val="FFFFFF"/>
                <w:sz w:val="26"/>
                <w:szCs w:val="26"/>
              </w:rPr>
              <w:t xml:space="preserve">The Legible Law</w:t>
            </w:r>
          </w:p>
          <w:p>
            <w:pPr>
              <w:spacing w:after="0" w:before="0"/>
            </w:pPr>
            <w:r>
              <w:rPr>
                <w:rFonts w:ascii="Arial" w:cs="Arial" w:eastAsia="Arial" w:hAnsi="Arial"/>
                <w:i/>
                <w:iCs/>
                <w:color w:val="8899BB"/>
                <w:sz w:val="15"/>
                <w:szCs w:val="15"/>
              </w:rPr>
              <w:t xml:space="preserve">Gap: Governance choices not systematically distinguished from statutory requirements</w:t>
            </w:r>
          </w:p>
        </w:tc>
      </w:tr>
      <w:tr>
        <w:tc>
          <w:tcPr>
            <w:tcW w:type="dxa" w:w="9026"/>
            <w:tcBorders>
              <w:top w:val="none"/>
              <w:left w:val="none"/>
              <w:bottom w:val="none"/>
              <w:right w:val="none"/>
            </w:tcBorders>
            <w:shd w:fill="EAF5EE" w:val="clear"/>
            <w:tcMar>
              <w:top w:type="dxa" w:w="80"/>
              <w:left w:type="dxa" w:w="220"/>
              <w:bottom w:type="dxa" w:w="80"/>
              <w:right w:type="dxa" w:w="180"/>
            </w:tcMar>
          </w:tcPr>
          <w:p>
            <w:r>
              <w:rPr>
                <w:rFonts w:ascii="Arial" w:cs="Arial" w:eastAsia="Arial" w:hAnsi="Arial"/>
                <w:b/>
                <w:bCs/>
                <w:caps/>
                <w:color w:val="1A5C4A"/>
                <w:sz w:val="16"/>
                <w:szCs w:val="16"/>
              </w:rPr>
              <w:t xml:space="preserve">✓  Decision: </w:t>
            </w:r>
            <w:r>
              <w:rPr>
                <w:rFonts w:ascii="Georgia" w:cs="Georgia" w:eastAsia="Georgia" w:hAnsi="Georgia"/>
                <w:b/>
                <w:bCs/>
                <w:color w:val="1A5C4A"/>
                <w:sz w:val="21"/>
                <w:szCs w:val="21"/>
              </w:rPr>
              <w:t xml:space="preserve">Governance Compliance Map: each governance rule classified as Statutory Requirement, Institutional Choice, or Open Design Space — with explicit OUG position and design rationale</w:t>
            </w:r>
          </w:p>
        </w:tc>
      </w:tr>
    </w:tbl>
    <w:p>
      <w:pPr>
        <w:spacing w:after="80" w:before="0"/>
      </w:pPr>
    </w:p>
    <w:p>
      <w:pPr>
        <w:pStyle w:val="Heading2"/>
        <w:spacing w:after="100" w:before="320"/>
      </w:pPr>
      <w:r>
        <w:rPr>
          <w:rFonts w:ascii="Georgia" w:cs="Georgia" w:eastAsia="Georgia" w:hAnsi="Georgia"/>
          <w:b/>
          <w:bCs/>
          <w:color w:val="2E75B6"/>
          <w:sz w:val="25"/>
          <w:szCs w:val="25"/>
        </w:rPr>
        <w:t xml:space="preserve">Design principle for the map</w:t>
      </w:r>
    </w:p>
    <w:p>
      <w:pPr>
        <w:spacing w:after="185" w:before="0"/>
        <w:jc w:val="both"/>
      </w:pPr>
      <w:r>
        <w:rPr>
          <w:rFonts w:ascii="Georgia" w:cs="Georgia" w:eastAsia="Georgia" w:hAnsi="Georgia"/>
          <w:b w:val="false"/>
          <w:bCs w:val="false"/>
          <w:i w:val="false"/>
          <w:iCs w:val="false"/>
          <w:color w:val="1A1A1A"/>
          <w:sz w:val="23"/>
          <w:szCs w:val="23"/>
        </w:rPr>
        <w:t xml:space="preserve">The OUG's approach to the LHG is deliberate: take the law as open as possible, implement by design principles, and keep the architecture lean but resistant to stagnation. This means that wherever the law provides a design space, the OUG occupies it with a principled choice rather than defaulting to traditional practice. The Compliance Map makes these choices visible — so that practitioners joining the institution in later years know what is a constraint and what is a decision, and so that when the law changes (as it will), the institution can quickly identify which governance rules need revisiting.</w:t>
      </w:r>
    </w:p>
    <w:p>
      <w:pPr>
        <w:spacing w:after="185" w:before="0"/>
        <w:jc w:val="both"/>
      </w:pPr>
      <w:r>
        <w:rPr>
          <w:rFonts w:ascii="Georgia" w:cs="Georgia" w:eastAsia="Georgia" w:hAnsi="Georgia"/>
          <w:b w:val="false"/>
          <w:bCs w:val="false"/>
          <w:i w:val="false"/>
          <w:iCs w:val="false"/>
          <w:color w:val="1A1A1A"/>
          <w:sz w:val="23"/>
          <w:szCs w:val="23"/>
        </w:rPr>
        <w:t xml:space="preserve">Three classification categories: Statutory Requirement (S) — the law mandates this and the OUG has no choice; Institutional Choice (C) — the law permits a range and the OUG has selected a specific position within that range; Open Design Space (O) — the law permits approaches the OUG has not yet fully explored and which remain available for future development.</w:t>
      </w:r>
    </w:p>
    <w:p>
      <w:pPr>
        <w:spacing w:after="60" w:before="0"/>
      </w:pPr>
    </w:p>
    <w:p>
      <w:pPr>
        <w:pStyle w:val="Heading3"/>
        <w:spacing w:after="70" w:before="220"/>
      </w:pPr>
      <w:r>
        <w:rPr>
          <w:rFonts w:ascii="Arial" w:cs="Arial" w:eastAsia="Arial" w:hAnsi="Arial"/>
          <w:b/>
          <w:bCs/>
          <w:color w:val="1A5C4A"/>
          <w:sz w:val="21"/>
          <w:szCs w:val="21"/>
        </w:rPr>
        <w:t xml:space="preserve">Governance architecture</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70"/>
              <w:left w:type="dxa" w:w="180"/>
              <w:bottom w:type="dxa" w:w="70"/>
              <w:right w:type="dxa" w:w="140"/>
            </w:tcMar>
          </w:tcPr>
          <w:p>
            <w:r>
              <w:rPr>
                <w:rFonts w:ascii="Arial" w:cs="Arial" w:eastAsia="Arial" w:hAnsi="Arial"/>
                <w:b/>
                <w:bCs/>
                <w:color w:val="88BBAA"/>
                <w:sz w:val="14"/>
                <w:szCs w:val="14"/>
              </w:rPr>
              <w:t xml:space="preserve">C — Institutional Choice  ·  </w:t>
            </w:r>
            <w:r>
              <w:rPr>
                <w:rFonts w:ascii="Georgia" w:cs="Georgia" w:eastAsia="Georgia" w:hAnsi="Georgia"/>
                <w:b/>
                <w:bCs/>
                <w:color w:val="FFFFFF"/>
                <w:sz w:val="20"/>
                <w:szCs w:val="20"/>
              </w:rPr>
              <w:t xml:space="preserve">Four-layer G1–G4 governance architecture</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OUG has chosen a four-layer constitutional architecture (Hochschulrat, Strategic Steering, Academic and Quality Governance, Operational Execution). The LHG requires governance bodies but does not mandate this specific layering.</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The layering is designed to prevent the Delegation Paradox and the Leaderless System. It is a principled choice, not a statutory requirement. Future governance reforms should treat it as a design decision, not a legal constraint.</w:t>
            </w:r>
          </w:p>
        </w:tc>
      </w:tr>
    </w:tbl>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70"/>
              <w:left w:type="dxa" w:w="180"/>
              <w:bottom w:type="dxa" w:w="70"/>
              <w:right w:type="dxa" w:w="140"/>
            </w:tcMar>
          </w:tcPr>
          <w:p>
            <w:r>
              <w:rPr>
                <w:rFonts w:ascii="Arial" w:cs="Arial" w:eastAsia="Arial" w:hAnsi="Arial"/>
                <w:b/>
                <w:bCs/>
                <w:color w:val="88BBAA"/>
                <w:sz w:val="14"/>
                <w:szCs w:val="14"/>
              </w:rPr>
              <w:t xml:space="preserve">C — Institutional Choice (takes the most permissive LHG interpretation)  ·  </w:t>
            </w:r>
            <w:r>
              <w:rPr>
                <w:rFonts w:ascii="Georgia" w:cs="Georgia" w:eastAsia="Georgia" w:hAnsi="Georgia"/>
                <w:b/>
                <w:bCs/>
                <w:color w:val="FFFFFF"/>
                <w:sz w:val="20"/>
                <w:szCs w:val="20"/>
              </w:rPr>
              <w:t xml:space="preserve">Constitutional insulation of G3 from G2 financial pressure</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 requires academic governance bodies but does not mandate their insulation from executive financial decisions at this level of specificity. The OUG has chosen maximum insulation, treating academic standards decisions as constitutionally separate from strategic and financial decisions.</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This is the OUG's strongest anti-dysfunction design feature. It is a choice — and a vulnerable one: future pressure to 'streamline' governance could erode it if practitioners do not know it is a choice that was made deliberately, not a constraint they are stuck with.</w:t>
            </w:r>
          </w:p>
        </w:tc>
      </w:tr>
    </w:tbl>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70"/>
              <w:left w:type="dxa" w:w="180"/>
              <w:bottom w:type="dxa" w:w="70"/>
              <w:right w:type="dxa" w:w="140"/>
            </w:tcMar>
          </w:tcPr>
          <w:p>
            <w:r>
              <w:rPr>
                <w:rFonts w:ascii="Arial" w:cs="Arial" w:eastAsia="Arial" w:hAnsi="Arial"/>
                <w:b/>
                <w:bCs/>
                <w:color w:val="88BBAA"/>
                <w:sz w:val="14"/>
                <w:szCs w:val="14"/>
              </w:rPr>
              <w:t xml:space="preserve">C — Institutional Choice, explicitly rejecting the advisory Senate model  ·  </w:t>
            </w:r>
            <w:r>
              <w:rPr>
                <w:rFonts w:ascii="Georgia" w:cs="Georgia" w:eastAsia="Georgia" w:hAnsi="Georgia"/>
                <w:b/>
                <w:bCs/>
                <w:color w:val="FFFFFF"/>
                <w:sz w:val="20"/>
                <w:szCs w:val="20"/>
              </w:rPr>
              <w:t xml:space="preserve">Senate as decision-making body (not advisory)</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 permits both decision-making and advisory Senate configurations. The OUG has chosen a decision-making Senate. This was a conscious rejection of the efficiency argument for advisory conversion — the argument that advisory bodies are faster.</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The Senate's decision-making authority on academic matters is the structural expression of the Living Mandate: the people most affected by academic decisions (faculty, students) must hold genuine power over them, not advisory standing. This choice must be defended as a design decision in every accreditation and governance review.</w:t>
            </w:r>
          </w:p>
        </w:tc>
      </w:tr>
    </w:tbl>
    <w:p>
      <w:pPr>
        <w:spacing w:after="80" w:before="0"/>
      </w:pPr>
    </w:p>
    <w:p>
      <w:pPr>
        <w:pStyle w:val="Heading3"/>
        <w:spacing w:after="70" w:before="220"/>
      </w:pPr>
      <w:r>
        <w:rPr>
          <w:rFonts w:ascii="Arial" w:cs="Arial" w:eastAsia="Arial" w:hAnsi="Arial"/>
          <w:b/>
          <w:bCs/>
          <w:color w:val="1A5C4A"/>
          <w:sz w:val="21"/>
          <w:szCs w:val="21"/>
        </w:rPr>
        <w:t xml:space="preserve">Student participation</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70"/>
              <w:left w:type="dxa" w:w="180"/>
              <w:bottom w:type="dxa" w:w="70"/>
              <w:right w:type="dxa" w:w="140"/>
            </w:tcMar>
          </w:tcPr>
          <w:p>
            <w:r>
              <w:rPr>
                <w:rFonts w:ascii="Arial" w:cs="Arial" w:eastAsia="Arial" w:hAnsi="Arial"/>
                <w:b/>
                <w:bCs/>
                <w:color w:val="8899BB"/>
                <w:sz w:val="14"/>
                <w:szCs w:val="14"/>
              </w:rPr>
              <w:t xml:space="preserve">C — Institutional Choice (takes maximum permissive position within BVerfGE 35/LHG framework)  ·  </w:t>
            </w:r>
            <w:r>
              <w:rPr>
                <w:rFonts w:ascii="Georgia" w:cs="Georgia" w:eastAsia="Georgia" w:hAnsi="Georgia"/>
                <w:b/>
                <w:bCs/>
                <w:color w:val="FFFFFF"/>
                <w:sz w:val="20"/>
                <w:szCs w:val="20"/>
              </w:rPr>
              <w:t xml:space="preserve">Student voting rights in Senate on academic matters</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 and BVerfGE 35 require student participation but do not mandate full voting rights on all academic matters. The OUG has chosen maximum student decision-making authority consistent with the legal framework.</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This choice is the OUG's implementation of HP-2 (The Living Mandate) at the governance level. The 1973 ruling established a floor; the OUG builds to the ceiling. Future governance reviews must distinguish between 'we are legally required to have students here' (the floor) and 'we chose to give students genuine authority here' (the OUG's position).</w:t>
            </w:r>
          </w:p>
        </w:tc>
      </w:tr>
    </w:tbl>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b/>
                <w:bCs/>
                <w:color w:val="AACCEE"/>
                <w:sz w:val="14"/>
                <w:szCs w:val="14"/>
              </w:rPr>
              <w:t xml:space="preserve">O — Open Design Space (not yet addressed in LHG)  ·  </w:t>
            </w:r>
            <w:r>
              <w:rPr>
                <w:rFonts w:ascii="Georgia" w:cs="Georgia" w:eastAsia="Georgia" w:hAnsi="Georgia"/>
                <w:b/>
                <w:bCs/>
                <w:color w:val="FFFFFF"/>
                <w:sz w:val="20"/>
                <w:szCs w:val="20"/>
              </w:rPr>
              <w:t xml:space="preserve">Lifelong learner as primary governance subject</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 does not recognise the lifelong learner — the working adult, the caregiver, the professional reorienting mid-career — as a distinct governance subject with participation rights. The OUG's founding documents address this in mission language but not yet in formal governance rights language.</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This is the most significant Open Design Space in the OUG's governance architecture. Advocating for a legal framework that extends governance participation rights to non-traditional learners is a long-term institutional mission. The OUG should document this gap and include it in legislative advocacy priorities.</w:t>
            </w:r>
          </w:p>
        </w:tc>
      </w:tr>
    </w:tbl>
    <w:p>
      <w:pPr>
        <w:spacing w:after="80" w:before="0"/>
      </w:pPr>
    </w:p>
    <w:p>
      <w:pPr>
        <w:pStyle w:val="Heading3"/>
        <w:spacing w:after="70" w:before="220"/>
      </w:pPr>
      <w:r>
        <w:rPr>
          <w:rFonts w:ascii="Arial" w:cs="Arial" w:eastAsia="Arial" w:hAnsi="Arial"/>
          <w:b/>
          <w:bCs/>
          <w:color w:val="1A5C4A"/>
          <w:sz w:val="21"/>
          <w:szCs w:val="21"/>
        </w:rPr>
        <w:t xml:space="preserve">Examination and quality governance</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70"/>
              <w:left w:type="dxa" w:w="180"/>
              <w:bottom w:type="dxa" w:w="70"/>
              <w:right w:type="dxa" w:w="140"/>
            </w:tcMar>
          </w:tcPr>
          <w:p>
            <w:r>
              <w:rPr>
                <w:rFonts w:ascii="Arial" w:cs="Arial" w:eastAsia="Arial" w:hAnsi="Arial"/>
                <w:b/>
                <w:bCs/>
                <w:color w:val="88BBAA"/>
                <w:sz w:val="14"/>
                <w:szCs w:val="14"/>
              </w:rPr>
              <w:t xml:space="preserve">C — Institutional Choice taking maximum use of Einvernehmen provision  ·  </w:t>
            </w:r>
            <w:r>
              <w:rPr>
                <w:rFonts w:ascii="Georgia" w:cs="Georgia" w:eastAsia="Georgia" w:hAnsi="Georgia"/>
                <w:b/>
                <w:bCs/>
                <w:color w:val="FFFFFF"/>
                <w:sz w:val="20"/>
                <w:szCs w:val="20"/>
              </w:rPr>
              <w:t xml:space="preserve">Studienkommission as Consent Body (not merely advisory)</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LHG's Einvernehmen provision gives the Studienkommission a structural veto over examination regulation changes. The OUG's quality architecture treats this as a genuine consent mechanism, not a formality — consistent with HP-3 (The Aligned Authority).</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Most institutions treat the Einvernehmen as a procedural step. The OUG treats it as a substantive quality protection. This is a choice that requires cultural reinforcement: future committee members must understand that they hold real authority, not a rubber stamp.</w:t>
            </w:r>
          </w:p>
        </w:tc>
      </w:tr>
    </w:tbl>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70"/>
              <w:left w:type="dxa" w:w="180"/>
              <w:bottom w:type="dxa" w:w="70"/>
              <w:right w:type="dxa" w:w="140"/>
            </w:tcMar>
          </w:tcPr>
          <w:p>
            <w:r>
              <w:rPr>
                <w:rFonts w:ascii="Arial" w:cs="Arial" w:eastAsia="Arial" w:hAnsi="Arial"/>
                <w:b/>
                <w:bCs/>
                <w:color w:val="88BBAA"/>
                <w:sz w:val="14"/>
                <w:szCs w:val="14"/>
              </w:rPr>
              <w:t xml:space="preserve">C — Institutional Choice beyond statutory minimum  ·  </w:t>
            </w:r>
            <w:r>
              <w:rPr>
                <w:rFonts w:ascii="Georgia" w:cs="Georgia" w:eastAsia="Georgia" w:hAnsi="Georgia"/>
                <w:b/>
                <w:bCs/>
                <w:color w:val="FFFFFF"/>
                <w:sz w:val="20"/>
                <w:szCs w:val="20"/>
              </w:rPr>
              <w:t xml:space="preserve">Independent assessment sampling (Stichprobe) as binding QA mechanism</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 requires quality assurance but does not mandate independent assessment sampling at the 5% threshold the OUG has specified. The Stichprobe is an OUG design choice that exceeds statutory minimum.</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The OUG designed beyond the statutory minimum because the minimum is insufficient for a federated institution where teaching is distributed across multiple partners. This is a principled choice that strengthens the credential's trustworthiness — it should be communicated as a quality commitment, not as compliance overhead.</w:t>
            </w:r>
          </w:p>
        </w:tc>
      </w:tr>
    </w:tbl>
    <w:p>
      <w:pPr>
        <w:spacing w:after="80" w:before="0"/>
      </w:pPr>
    </w:p>
    <w:p>
      <w:pPr>
        <w:pStyle w:val="Heading3"/>
        <w:spacing w:after="70" w:before="220"/>
      </w:pPr>
      <w:r>
        <w:rPr>
          <w:rFonts w:ascii="Arial" w:cs="Arial" w:eastAsia="Arial" w:hAnsi="Arial"/>
          <w:b/>
          <w:bCs/>
          <w:color w:val="1A5C4A"/>
          <w:sz w:val="21"/>
          <w:szCs w:val="21"/>
        </w:rPr>
        <w:t xml:space="preserve">Leadership and appointments</w:t>
      </w:r>
    </w:p>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70"/>
              <w:left w:type="dxa" w:w="180"/>
              <w:bottom w:type="dxa" w:w="70"/>
              <w:right w:type="dxa" w:w="140"/>
            </w:tcMar>
          </w:tcPr>
          <w:p>
            <w:r>
              <w:rPr>
                <w:rFonts w:ascii="Arial" w:cs="Arial" w:eastAsia="Arial" w:hAnsi="Arial"/>
                <w:b/>
                <w:bCs/>
                <w:color w:val="8899BB"/>
                <w:sz w:val="14"/>
                <w:szCs w:val="14"/>
              </w:rPr>
              <w:t xml:space="preserve">C — Institutional Choice aligned with Kanzlerin reform proposal 1  ·  </w:t>
            </w:r>
            <w:r>
              <w:rPr>
                <w:rFonts w:ascii="Georgia" w:cs="Georgia" w:eastAsia="Georgia" w:hAnsi="Georgia"/>
                <w:b/>
                <w:bCs/>
                <w:color w:val="FFFFFF"/>
                <w:sz w:val="20"/>
                <w:szCs w:val="20"/>
              </w:rPr>
              <w:t xml:space="preserve">Hochschulrat appointment of Rector (not Senate election)</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 permits both Senate election and Hochschulrat appointment of the Rector. The OUG has chosen Hochschulrat appointment to prevent electoral capture — the Rector must be accountable to the institution's mission, not to the constituency that elected them.</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This choice removes the most common source of leadership capture in traditional German universities. It is a principled governance decision with well-documented structural consequences. Future governance reviews must treat it as a choice that can be revisited, not as a legal requirement.</w:t>
            </w:r>
          </w:p>
        </w:tc>
      </w:tr>
    </w:tbl>
    <w:p>
      <w:pPr>
        <w:spacing w:after="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70"/>
              <w:left w:type="dxa" w:w="180"/>
              <w:bottom w:type="dxa" w:w="70"/>
              <w:right w:type="dxa" w:w="140"/>
            </w:tcMar>
          </w:tcPr>
          <w:p>
            <w:r>
              <w:rPr>
                <w:rFonts w:ascii="Arial" w:cs="Arial" w:eastAsia="Arial" w:hAnsi="Arial"/>
                <w:b/>
                <w:bCs/>
                <w:color w:val="AACCEE"/>
                <w:sz w:val="14"/>
                <w:szCs w:val="14"/>
              </w:rPr>
              <w:t xml:space="preserve">O — Open Design Space (LHG silent on appointment criteria beyond minimum qualifications)  ·  </w:t>
            </w:r>
            <w:r>
              <w:rPr>
                <w:rFonts w:ascii="Georgia" w:cs="Georgia" w:eastAsia="Georgia" w:hAnsi="Georgia"/>
                <w:b/>
                <w:bCs/>
                <w:color w:val="FFFFFF"/>
                <w:sz w:val="20"/>
                <w:szCs w:val="20"/>
              </w:rPr>
              <w:t xml:space="preserve">Competency-based appointment criteria for all governance roles</w:t>
            </w:r>
          </w:p>
        </w:tc>
      </w:tr>
      <w:tr>
        <w:tc>
          <w:tcPr>
            <w:tcW w:type="dxa" w:w="9026"/>
            <w:tcBorders>
              <w:top w:val="none"/>
              <w:left w:val="none"/>
              <w:bottom w:val="none"/>
              <w:right w:val="none"/>
            </w:tcBorders>
            <w:shd w:fill="FFFFFF" w:val="clear"/>
            <w:tcMar>
              <w:top w:type="dxa" w:w="90"/>
              <w:left w:type="dxa" w:w="180"/>
              <w:bottom w:type="dxa" w:w="80"/>
              <w:right w:type="dxa" w:w="140"/>
            </w:tcMar>
          </w:tcPr>
          <w:p>
            <w:pPr>
              <w:spacing w:after="40" w:before="0"/>
            </w:pPr>
            <w:r>
              <w:rPr>
                <w:rFonts w:ascii="Arial" w:cs="Arial" w:eastAsia="Arial" w:hAnsi="Arial"/>
                <w:b/>
                <w:bCs/>
                <w:caps/>
                <w:color w:val="2E75B6"/>
                <w:sz w:val="14"/>
                <w:szCs w:val="14"/>
              </w:rPr>
              <w:t xml:space="preserve">OUG position</w:t>
            </w:r>
          </w:p>
          <w:p>
            <w:pPr>
              <w:spacing w:after="0" w:before="0"/>
              <w:jc w:val="both"/>
            </w:pPr>
            <w:r>
              <w:rPr>
                <w:rFonts w:ascii="Georgia" w:cs="Georgia" w:eastAsia="Georgia" w:hAnsi="Georgia"/>
                <w:color w:val="1A1A1A"/>
                <w:sz w:val="21"/>
                <w:szCs w:val="21"/>
              </w:rPr>
              <w:t xml:space="preserve">The LHG specifies minimum qualifications for academic positions but is largely silent on governance role appointment criteria. The OUG's Leadership and Stewardship Profiles specify competency-based criteria for all governance roles — going substantially beyond statutory minimum.</w:t>
            </w:r>
          </w:p>
        </w:tc>
      </w:tr>
      <w:tr>
        <w:tc>
          <w:tcPr>
            <w:tcW w:type="dxa" w:w="9026"/>
            <w:tcBorders>
              <w:top w:val="none"/>
              <w:left w:val="none"/>
              <w:bottom w:val="none"/>
              <w:right w:val="none"/>
            </w:tcBorders>
            <w:shd w:fill="F4F7FA" w:val="clear"/>
            <w:tcMar>
              <w:top w:type="dxa" w:w="80"/>
              <w:left w:type="dxa" w:w="180"/>
              <w:bottom w:type="dxa" w:w="90"/>
              <w:right w:type="dxa" w:w="140"/>
            </w:tcMar>
          </w:tcPr>
          <w:p>
            <w:pPr>
              <w:spacing w:after="40" w:before="0"/>
            </w:pPr>
            <w:r>
              <w:rPr>
                <w:rFonts w:ascii="Arial" w:cs="Arial" w:eastAsia="Arial" w:hAnsi="Arial"/>
                <w:b/>
                <w:bCs/>
                <w:caps/>
                <w:color w:val="4A5568"/>
                <w:sz w:val="14"/>
                <w:szCs w:val="14"/>
              </w:rPr>
              <w:t xml:space="preserve">Design rationale</w:t>
            </w:r>
          </w:p>
          <w:p>
            <w:pPr>
              <w:spacing w:after="0" w:before="0"/>
              <w:jc w:val="both"/>
            </w:pPr>
            <w:r>
              <w:rPr>
                <w:rFonts w:ascii="Georgia" w:cs="Georgia" w:eastAsia="Georgia" w:hAnsi="Georgia"/>
                <w:i/>
                <w:iCs/>
                <w:color w:val="4A5568"/>
                <w:sz w:val="21"/>
                <w:szCs w:val="21"/>
              </w:rPr>
              <w:t xml:space="preserve">This is among the OUG's most important Open Design Space occupations. The LHG does not prevent competency-based governance appointment. The OUG chooses to implement it because the Subject-Expertise System — putting technically excellent people in leadership roles because of their excellence rather than their leadership capacity — is one of the five most common governance dysfunctions. Naming this as a choice makes it defensible and replicable.</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What These Five Decisions Produce</w:t>
      </w:r>
    </w:p>
    <w:p>
      <w:pPr>
        <w:spacing w:after="185" w:before="0"/>
        <w:jc w:val="both"/>
      </w:pPr>
      <w:r>
        <w:rPr>
          <w:rFonts w:ascii="Georgia" w:cs="Georgia" w:eastAsia="Georgia" w:hAnsi="Georgia"/>
          <w:b w:val="false"/>
          <w:bCs w:val="false"/>
          <w:i w:val="false"/>
          <w:iCs w:val="false"/>
          <w:color w:val="1A1A1A"/>
          <w:sz w:val="23"/>
          <w:szCs w:val="23"/>
        </w:rPr>
        <w:t xml:space="preserve">Five gaps. Five decisions. Together they produce something that neither the gap list nor the decisions individually makes fully visible: a complete operational architecture for a federated institution that does not have the traditional machinery of a university but still needs to function with the reliability and accountability of one.</w:t>
      </w:r>
    </w:p>
    <w:p>
      <w:pPr>
        <w:spacing w:after="185" w:before="0"/>
        <w:jc w:val="both"/>
      </w:pPr>
      <w:r>
        <w:rPr>
          <w:rFonts w:ascii="Georgia" w:cs="Georgia" w:eastAsia="Georgia" w:hAnsi="Georgia"/>
          <w:b w:val="false"/>
          <w:bCs w:val="false"/>
          <w:i w:val="false"/>
          <w:iCs w:val="false"/>
          <w:color w:val="1A1A1A"/>
          <w:sz w:val="23"/>
          <w:szCs w:val="23"/>
        </w:rPr>
        <w:t xml:space="preserve">The Task Architecture defines who owns what. The Bounded Role ensures that role-holders can exercise the authority they have been given without being consumed by tasks that belong elsewhere. The Proactive Capacity requirement ensures that the institution keeps thinking ahead rather than only reacting. The Protected Strategy forums ensure that thinking ahead has a scheduled, protected time and place. The Structured Crossing ensures that the intelligence needed to govern well keeps flowing between the OUG's governance layer and the operational reality of its partner network. The Compliance Map ensures that everyone working within the institution — now and in future years — knows what is a legal constraint and what is a design choice, and therefore what can be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These are not administrative decisions. They are founding decisions — the decisions that determine whether the OUG's governance architecture delivers its design principles in practice, or whether those principles remain aspirational while operational pressure quietly reproduces the patterns the architecture was designed to prevent.</w:t>
            </w:r>
          </w:p>
        </w:tc>
      </w:tr>
    </w:tbl>
    <w:p>
      <w:pPr>
        <w:spacing w:after="200" w:before="0"/>
      </w:pPr>
    </w:p>
    <w:p>
      <w:pPr>
        <w:pBdr>
          <w:bottom w:val="single" w:color="2E75B6" w:sz="4" w:space="1"/>
        </w:pBdr>
        <w:spacing w:after="160" w:before="0"/>
      </w:pPr>
    </w:p>
    <w:p>
      <w:pPr>
        <w:spacing w:after="0" w:before="160"/>
        <w:jc w:val="right"/>
      </w:pPr>
      <w:r>
        <w:rPr>
          <w:rFonts w:ascii="Arial" w:cs="Arial" w:eastAsia="Arial" w:hAnsi="Arial"/>
          <w:i/>
          <w:iCs/>
          <w:color w:val="BBBBBB"/>
          <w:sz w:val="17"/>
          <w:szCs w:val="17"/>
        </w:rPr>
        <w:t xml:space="preserve">Open University of Germany  ·  Gap Closure Decisions  ·  Governance Design  ·  2026</w:t>
      </w:r>
    </w:p>
    <w:sectPr>
      <w:pgSz w:w="11906" w:h="16838" w:orient="portrait"/>
      <w:pgMar w:top="13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00" w:before="32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70" w:before="22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2026-04-17T07:10:46.632Z</dcterms:created>
  <dcterms:modified xsi:type="dcterms:W3CDTF">2026-04-17T07:10:46.633Z</dcterms:modified>
</cp:coreProperties>
</file>

<file path=docProps/custom.xml><?xml version="1.0" encoding="utf-8"?>
<Properties xmlns="http://schemas.openxmlformats.org/officeDocument/2006/custom-properties" xmlns:vt="http://schemas.openxmlformats.org/officeDocument/2006/docPropsVTypes"/>
</file>