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aps/>
          <w:color w:val="2E75B6"/>
          <w:sz w:val="17"/>
          <w:szCs w:val="17"/>
        </w:rPr>
        <w:t xml:space="preserve">OPEN UNIVERSITY OF GERMANY</w:t>
      </w:r>
    </w:p>
    <w:p>
      <w:pPr>
        <w:spacing w:before="0" w:after="60"/>
        <w:jc w:val="left"/>
      </w:pPr>
      <w:r>
        <w:rPr>
          <w:rFonts w:ascii="Arial" w:cs="Arial" w:eastAsia="Arial" w:hAnsi="Arial"/>
          <w:color w:val="AAAAAA"/>
          <w:sz w:val="17"/>
          <w:szCs w:val="17"/>
        </w:rPr>
        <w:t xml:space="preserve">Institutional Governance  ·  2026</w:t>
      </w:r>
    </w:p>
    <w:p>
      <w:pPr>
        <w:pBdr>
          <w:bottom w:val="single" w:color="2E75B6" w:sz="10" w:space="1"/>
        </w:pBdr>
        <w:spacing w:before="0" w:after="280"/>
      </w:pPr>
    </w:p>
    <w:p>
      <w:pPr>
        <w:spacing w:before="0" w:after="60"/>
        <w:jc w:val="left"/>
      </w:pPr>
      <w:r>
        <w:rPr>
          <w:rFonts w:ascii="Arial" w:cs="Arial" w:eastAsia="Arial" w:hAnsi="Arial"/>
          <w:b/>
          <w:bCs/>
          <w:caps/>
          <w:color w:val="2E75B6"/>
          <w:sz w:val="14"/>
          <w:szCs w:val="14"/>
        </w:rPr>
        <w:t xml:space="preserve">Operational Governance Document</w:t>
      </w:r>
    </w:p>
    <w:p>
      <w:pPr>
        <w:spacing w:before="0" w:after="80"/>
        <w:jc w:val="left"/>
      </w:pPr>
      <w:r>
        <w:rPr>
          <w:rFonts w:ascii="Georgia" w:cs="Georgia" w:eastAsia="Georgia" w:hAnsi="Georgia"/>
          <w:b/>
          <w:bCs/>
          <w:color w:val="0D1F3C"/>
          <w:sz w:val="48"/>
          <w:szCs w:val="48"/>
        </w:rPr>
        <w:t xml:space="preserve">Inter-Layer
Feedback Protocol</w:t>
      </w:r>
    </w:p>
    <w:p>
      <w:pPr>
        <w:spacing w:before="0" w:after="60"/>
        <w:jc w:val="left"/>
      </w:pPr>
      <w:r>
        <w:rPr>
          <w:rFonts w:ascii="Georgia" w:cs="Georgia" w:eastAsia="Georgia" w:hAnsi="Georgia"/>
          <w:i/>
          <w:iCs/>
          <w:color w:val="2E75B6"/>
          <w:sz w:val="24"/>
          <w:szCs w:val="24"/>
        </w:rPr>
        <w:t xml:space="preserve">How implementation findings move through the governance architecture — and what the institution does with them</w:t>
      </w:r>
    </w:p>
    <w:p>
      <w:pPr>
        <w:spacing w:before="0" w:after="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jc w:val="both"/>
            </w:pPr>
            <w:r>
              <w:rPr>
                <w:rFonts w:ascii="Georgia" w:cs="Georgia" w:eastAsia="Georgia" w:hAnsi="Georgia"/>
                <w:i/>
                <w:iCs/>
                <w:color w:val="1A1A1A"/>
                <w:sz w:val="22"/>
                <w:szCs w:val="22"/>
              </w:rPr>
              <w:t xml:space="preserve">This Protocol specifies the mechanisms by which operational and academic implementation findings travel upward through the OUG's four governance layers — from G4 operational execution through G3 academic governance, G2 strategic steering, and where necessary to G1 constitutional stewardship. It defines what must be reported, in what form, at what cadence, through which channels, and — critically — what actions are triggered when findings indicate that strategy is not being implemented as intended or that implementation is encountering conditions that strategy did not anticipate. This Protocol connects the OKR Framework and the Quality Assurance Framework to the governance architecture, closing the feedback loop that makes the OUG a learning institution rather than one that monitors without responding.</w:t>
            </w:r>
          </w:p>
        </w:tc>
      </w:tr>
    </w:tbl>
    <w:p>
      <w:pPr>
        <w:spacing w:before="0" w:after="320"/>
      </w:pPr>
    </w:p>
    <w:p>
      <w:pPr>
        <w:pStyle w:val="Heading1"/>
        <w:spacing w:before="480" w:after="140"/>
      </w:pPr>
      <w:r>
        <w:rPr>
          <w:rFonts w:ascii="Georgia" w:cs="Georgia" w:eastAsia="Georgia" w:hAnsi="Georgia"/>
          <w:b/>
          <w:bCs/>
          <w:color w:val="1F3864"/>
          <w:sz w:val="30"/>
          <w:szCs w:val="30"/>
        </w:rPr>
        <w:t xml:space="preserve">I.  The Problem This Protocol Solves</w:t>
      </w:r>
    </w:p>
    <w:p>
      <w:pPr>
        <w:spacing w:before="0" w:after="185"/>
        <w:ind/>
        <w:jc w:val="both"/>
      </w:pPr>
      <w:r>
        <w:rPr>
          <w:rFonts w:ascii="Georgia" w:cs="Georgia" w:eastAsia="Georgia" w:hAnsi="Georgia"/>
          <w:b w:val="false"/>
          <w:bCs w:val="false"/>
          <w:i w:val="false"/>
          <w:iCs w:val="false"/>
          <w:color w:val="1A1A1A"/>
          <w:sz w:val="23"/>
          <w:szCs w:val="23"/>
        </w:rPr>
        <w:t xml:space="preserve">The OUG's governance architecture defines four layers with clear mandates. The OKR Framework defines how objectives are set and Key Results measured. The Quality Assurance Framework defines how programme quality is reviewed. What none of these documents specifies is how findings from the operational layer reach the strategic layer — and what governance bodies do when they get there.</w:t>
      </w:r>
    </w:p>
    <w:p>
      <w:pPr>
        <w:spacing w:before="0" w:after="185"/>
        <w:ind/>
        <w:jc w:val="both"/>
      </w:pPr>
      <w:r>
        <w:rPr>
          <w:rFonts w:ascii="Georgia" w:cs="Georgia" w:eastAsia="Georgia" w:hAnsi="Georgia"/>
          <w:b w:val="false"/>
          <w:bCs w:val="false"/>
          <w:i w:val="false"/>
          <w:iCs w:val="false"/>
          <w:color w:val="1A1A1A"/>
          <w:sz w:val="23"/>
          <w:szCs w:val="23"/>
        </w:rPr>
        <w:t xml:space="preserve">Without an explicit feedback architecture, three failure modes occur. First, operational findings stay in G4 and never inform strategy — implementation problems accumulate silently until they become crises. Second, findings reach G2 without context or structure, producing either panic or dismissal rather than calibrated response. Third, the same problems recur because the institution lacks a mechanism for converting operational experience into strategic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A governance architecture without a feedback protocol is a management system, not a learning system. It can direct; it cannot adapt. This Protocol is the mechanism through which the OUG adapts.</w:t>
            </w:r>
          </w:p>
        </w:tc>
      </w:tr>
    </w:tbl>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This Protocol does not create new reporting obligations that add administrative burden to operational units. It structures reporting that should be happening anyway — the natural flow of information from implementation to governance — and ensures that information arrives in a form that governance bodies can act on.</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  What Must Be Reported and When</w:t>
      </w:r>
    </w:p>
    <w:p>
      <w:pPr>
        <w:pStyle w:val="Heading2"/>
        <w:spacing w:before="320" w:after="100"/>
      </w:pPr>
      <w:r>
        <w:rPr>
          <w:rFonts w:ascii="Georgia" w:cs="Georgia" w:eastAsia="Georgia" w:hAnsi="Georgia"/>
          <w:b/>
          <w:bCs/>
          <w:color w:val="2E75B6"/>
          <w:sz w:val="25"/>
          <w:szCs w:val="25"/>
        </w:rPr>
        <w:t xml:space="preserve">Regular Reporting Cadences</w:t>
      </w:r>
    </w:p>
    <w:p>
      <w:pPr>
        <w:spacing w:before="0" w:after="185"/>
        <w:ind/>
        <w:jc w:val="both"/>
      </w:pPr>
      <w:r>
        <w:rPr>
          <w:rFonts w:ascii="Georgia" w:cs="Georgia" w:eastAsia="Georgia" w:hAnsi="Georgia"/>
          <w:b w:val="false"/>
          <w:bCs w:val="false"/>
          <w:i w:val="false"/>
          <w:iCs w:val="false"/>
          <w:color w:val="1A1A1A"/>
          <w:sz w:val="23"/>
          <w:szCs w:val="23"/>
        </w:rPr>
        <w:t xml:space="preserve">Each governance layer produces and receives structured reports at defined intervals. These are not ad hoc or discretionary — they are institutional obligations embedded in governance role descriptions and reviewed as part of the annual assessment cycle.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Layer</w:t>
            </w:r>
          </w:p>
        </w:tc>
        <w:tc>
          <w:tcPr>
            <w:tcW w:type="dxa" w:w="6026"/>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Regular Reporting Obligations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G4 Operational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Monthly: OKR progress update for all G4-level Key Results (dashboard entry). Semester: Implementation Review Report — structured summary of what is working, what is not, and what the G4 unit needs from higher layers. Annual: Contribution to Institutional Report section on operational quality.</w:t>
            </w:r>
          </w:p>
        </w:tc>
      </w:tr>
      <w:tr>
        <w:tc>
          <w:tcPr>
            <w:tcW w:type="dxa" w:w="30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G3 Academic &amp; Quality</w:t>
            </w:r>
          </w:p>
        </w:tc>
        <w:tc>
          <w:tcPr>
            <w:tcW w:type="dxa" w:w="60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Semester: Academic Quality Summary — aggregated findings from programme reviews, student experience data, academic contributor engagement, and research outputs. Semester: Escalation Log — all concerns escalated from G4 in the period, with resolution status. Annual: Academic Senate Annual Report to G2.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G2 Strategic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Annual: Strategic Implementation Review — assessment of progress against G2-level OKRs, incorporating G3 academic quality findings and G4 operational data. Includes explicit assessment of assumptions that have proven wrong. Annual: Institutional Report (public).</w:t>
            </w:r>
          </w:p>
        </w:tc>
      </w:tr>
      <w:tr>
        <w:tc>
          <w:tcPr>
            <w:tcW w:type="dxa" w:w="30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G1 Constitutional</w:t>
            </w:r>
          </w:p>
        </w:tc>
        <w:tc>
          <w:tcPr>
            <w:tcW w:type="dxa" w:w="60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Annual: Mission Integrity Report — assessment of whether the institution is serving its founding mission. Every four years: full Mission Integrity Review. Exceptional: Constitutional Concern Protocol (see Section V).</w:t>
            </w:r>
          </w:p>
        </w:tc>
      </w:tr>
    </w:tbl>
    <w:p>
      <w:pPr>
        <w:spacing w:before="0" w:after="80"/>
      </w:pPr>
    </w:p>
    <w:p>
      <w:pPr>
        <w:pStyle w:val="Heading2"/>
        <w:spacing w:before="320" w:after="100"/>
      </w:pPr>
      <w:r>
        <w:rPr>
          <w:rFonts w:ascii="Georgia" w:cs="Georgia" w:eastAsia="Georgia" w:hAnsi="Georgia"/>
          <w:b/>
          <w:bCs/>
          <w:color w:val="2E75B6"/>
          <w:sz w:val="25"/>
          <w:szCs w:val="25"/>
        </w:rPr>
        <w:t xml:space="preserve">What Goes In a Semester Implementation Review Report (G4)</w:t>
      </w:r>
    </w:p>
    <w:p>
      <w:pPr>
        <w:spacing w:before="0" w:after="185"/>
        <w:ind/>
        <w:jc w:val="both"/>
      </w:pPr>
      <w:r>
        <w:rPr>
          <w:rFonts w:ascii="Georgia" w:cs="Georgia" w:eastAsia="Georgia" w:hAnsi="Georgia"/>
          <w:b w:val="false"/>
          <w:bCs w:val="false"/>
          <w:i w:val="false"/>
          <w:iCs w:val="false"/>
          <w:color w:val="1A1A1A"/>
          <w:sz w:val="23"/>
          <w:szCs w:val="23"/>
        </w:rPr>
        <w:t xml:space="preserve">This is the document that does the most work in the feedback architecture. G4 units produce it each semester; G3 reads and synthesises it; G2 receives the synthesised picture. It has four mandatory sections:</w:t>
      </w:r>
    </w:p>
    <w:p>
      <w:pPr>
        <w:pStyle w:val="ListParagraph"/>
        <w:numPr>
          <w:ilvl w:val="0"/>
          <w:numId w:val="2"/>
        </w:numPr>
        <w:spacing w:before="55" w:after="70"/>
      </w:pPr>
      <w:r>
        <w:rPr>
          <w:rFonts w:ascii="Georgia" w:cs="Georgia" w:eastAsia="Georgia" w:hAnsi="Georgia"/>
          <w:color w:val="1A1A1A"/>
          <w:sz w:val="23"/>
          <w:szCs w:val="23"/>
        </w:rPr>
        <w:t xml:space="preserve">Progress: What did we set out to do this semester? What did we achieve? OKR scores with brief narrative for each Key Result.</w:t>
      </w:r>
    </w:p>
    <w:p>
      <w:pPr>
        <w:pStyle w:val="ListParagraph"/>
        <w:numPr>
          <w:ilvl w:val="0"/>
          <w:numId w:val="2"/>
        </w:numPr>
        <w:spacing w:before="55" w:after="70"/>
      </w:pPr>
      <w:r>
        <w:rPr>
          <w:rFonts w:ascii="Georgia" w:cs="Georgia" w:eastAsia="Georgia" w:hAnsi="Georgia"/>
          <w:color w:val="1A1A1A"/>
          <w:sz w:val="23"/>
          <w:szCs w:val="23"/>
        </w:rPr>
        <w:t xml:space="preserve">Blockers: What prevented us from achieving what we intended? Distinguish between: internal execution issues (things we could have done differently), resource constraints (things that required more than was allocated), and external factors (things outside our control).</w:t>
      </w:r>
    </w:p>
    <w:p>
      <w:pPr>
        <w:pStyle w:val="ListParagraph"/>
        <w:numPr>
          <w:ilvl w:val="0"/>
          <w:numId w:val="2"/>
        </w:numPr>
        <w:spacing w:before="55" w:after="70"/>
      </w:pPr>
      <w:r>
        <w:rPr>
          <w:rFonts w:ascii="Georgia" w:cs="Georgia" w:eastAsia="Georgia" w:hAnsi="Georgia"/>
          <w:color w:val="1A1A1A"/>
          <w:sz w:val="23"/>
          <w:szCs w:val="23"/>
        </w:rPr>
        <w:t xml:space="preserve">Assumptions: Which assumptions embedded in our OKRs or operational plans proved wrong or incomplete? What would we set differently if we were writing them now?</w:t>
      </w:r>
    </w:p>
    <w:p>
      <w:pPr>
        <w:pStyle w:val="ListParagraph"/>
        <w:numPr>
          <w:ilvl w:val="0"/>
          <w:numId w:val="2"/>
        </w:numPr>
        <w:spacing w:before="55" w:after="70"/>
      </w:pPr>
      <w:r>
        <w:rPr>
          <w:rFonts w:ascii="Georgia" w:cs="Georgia" w:eastAsia="Georgia" w:hAnsi="Georgia"/>
          <w:color w:val="1A1A1A"/>
          <w:sz w:val="23"/>
          <w:szCs w:val="23"/>
        </w:rPr>
        <w:t xml:space="preserve">Requests: What do we need from G3 or G2 to improve implementation next semester? Be specific: decisions, resources, clarifications, changes to mandate.</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 Implementation Review Report is not a performance report. It is not used to evaluate G4 units or their leaders. It is an institutional learning document — its value depends on honesty, and honesty depends on the culture around it. G3's responsibility when receiving these reports is to respond constructively, not to judge.</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III.  How Information Flows Upward</w:t>
      </w:r>
    </w:p>
    <w:p>
      <w:pPr>
        <w:spacing w:before="0" w:after="185"/>
        <w:ind/>
        <w:jc w:val="both"/>
      </w:pPr>
      <w:r>
        <w:rPr>
          <w:rFonts w:ascii="Georgia" w:cs="Georgia" w:eastAsia="Georgia" w:hAnsi="Georgia"/>
          <w:b w:val="false"/>
          <w:bCs w:val="false"/>
          <w:i w:val="false"/>
          <w:iCs w:val="false"/>
          <w:color w:val="1A1A1A"/>
          <w:sz w:val="23"/>
          <w:szCs w:val="23"/>
        </w:rPr>
        <w:t xml:space="preserve">Information does not simply arrive at G2 directly from G4. It is processed and synthesised at each layer before passing upward. This processing is not filtering in the sense of suppressing inconvenient findings — it is translation: converting operational detail into strategic signal.</w:t>
      </w:r>
    </w:p>
    <w:p>
      <w:pPr>
        <w:spacing w:before="0" w:after="80"/>
      </w:pPr>
    </w:p>
    <w:p>
      <w:pPr>
        <w:pStyle w:val="Heading2"/>
        <w:spacing w:before="320" w:after="100"/>
      </w:pPr>
      <w:r>
        <w:rPr>
          <w:rFonts w:ascii="Georgia" w:cs="Georgia" w:eastAsia="Georgia" w:hAnsi="Georgia"/>
          <w:b/>
          <w:bCs/>
          <w:color w:val="2E75B6"/>
          <w:sz w:val="25"/>
          <w:szCs w:val="25"/>
        </w:rPr>
        <w:t xml:space="preserve">The Translation Principle</w:t>
      </w:r>
    </w:p>
    <w:p>
      <w:pPr>
        <w:spacing w:before="0" w:after="185"/>
        <w:ind/>
        <w:jc w:val="both"/>
      </w:pPr>
      <w:r>
        <w:rPr>
          <w:rFonts w:ascii="Georgia" w:cs="Georgia" w:eastAsia="Georgia" w:hAnsi="Georgia"/>
          <w:b w:val="false"/>
          <w:bCs w:val="false"/>
          <w:i w:val="false"/>
          <w:iCs w:val="false"/>
          <w:color w:val="1A1A1A"/>
          <w:sz w:val="23"/>
          <w:szCs w:val="23"/>
        </w:rPr>
        <w:t xml:space="preserve">Each layer's job when receiving information from the layer below is to ask: what does this mean at our level of governance? A G4 report about a specific module delivery problem is operational detail. G3's job is to determine whether it reflects a pattern — a systematic quality issue, a resource constraint affecting multiple programmes, a partnership problem with broader implications. G2's job is to determine whether the G3 synthesis indicates that strategic assumptions need revision.</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4726"/>
      </w:tblGrid>
      <w:tr>
        <w:tc>
          <w:tcPr>
            <w:tcW w:type="dxa" w:w="3600"/>
            <w:tcBorders>
              <w:top w:val="none"/>
              <w:left w:val="none"/>
              <w:bottom w:val="none"/>
              <w:right w:val="none"/>
            </w:tcBorders>
            <w:shd w:fill="1A5C4A" w:val="clear"/>
            <w:tcMar>
              <w:top w:type="dxa" w:w="100"/>
              <w:left w:type="dxa" w:w="200"/>
              <w:bottom w:type="dxa" w:w="100"/>
              <w:right w:type="dxa" w:w="160"/>
            </w:tcMar>
          </w:tcPr>
          <w:p>
            <w:pPr>
              <w:jc w:val="center"/>
            </w:pPr>
            <w:r>
              <w:rPr>
                <w:rFonts w:ascii="Georgia" w:cs="Georgia" w:eastAsia="Georgia" w:hAnsi="Georgia"/>
                <w:b/>
                <w:bCs/>
                <w:color w:val="FFFFFF"/>
                <w:sz w:val="21"/>
                <w:szCs w:val="21"/>
              </w:rPr>
              <w:t xml:space="preserve">G4: Specific implementation finding</w:t>
            </w:r>
          </w:p>
        </w:tc>
        <w:tc>
          <w:tcPr>
            <w:tcW w:type="dxa" w:w="700"/>
            <w:tcBorders>
              <w:top w:val="none"/>
              <w:left w:val="none"/>
              <w:bottom w:val="none"/>
              <w:right w:val="none"/>
            </w:tcBorders>
            <w:shd w:fill="FFFFFF" w:val="clear"/>
            <w:tcMar>
              <w:top w:type="dxa" w:w="100"/>
              <w:left w:type="dxa" w:w="0"/>
              <w:bottom w:type="dxa" w:w="100"/>
              <w:right w:type="dxa" w:w="0"/>
            </w:tcMar>
          </w:tcPr>
          <w:p>
            <w:pPr>
              <w:jc w:val="center"/>
            </w:pPr>
            <w:r>
              <w:rPr>
                <w:rFonts w:ascii="Arial" w:cs="Arial" w:eastAsia="Arial" w:hAnsi="Arial"/>
                <w:b/>
                <w:bCs/>
                <w:color w:val="2E75B6"/>
                <w:sz w:val="22"/>
                <w:szCs w:val="22"/>
              </w:rPr>
              <w:t xml:space="preserve">→</w:t>
            </w:r>
          </w:p>
        </w:tc>
        <w:tc>
          <w:tcPr>
            <w:tcW w:type="dxa" w:w="4726"/>
            <w:tcBorders>
              <w:top w:val="none"/>
              <w:left w:val="none"/>
              <w:bottom w:val="none"/>
              <w:right w:val="none"/>
            </w:tcBorders>
            <w:shd w:fill="1A5C4A" w:val="clear"/>
            <w:tcMar>
              <w:top w:type="dxa" w:w="100"/>
              <w:left w:type="dxa" w:w="200"/>
              <w:bottom w:type="dxa" w:w="100"/>
              <w:right w:type="dxa" w:w="160"/>
            </w:tcMar>
          </w:tcPr>
          <w:p>
            <w:pPr>
              <w:jc w:val="both"/>
            </w:pPr>
            <w:r>
              <w:rPr>
                <w:rFonts w:ascii="Georgia" w:cs="Georgia" w:eastAsia="Georgia" w:hAnsi="Georgia"/>
                <w:color w:val="FFFFFF"/>
                <w:sz w:val="21"/>
                <w:szCs w:val="21"/>
              </w:rPr>
              <w:t xml:space="preserve">Named, documented, assessed against KR target</w:t>
            </w:r>
          </w:p>
        </w:tc>
      </w:tr>
    </w:tbl>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4726"/>
      </w:tblGrid>
      <w:tr>
        <w:tc>
          <w:tcPr>
            <w:tcW w:type="dxa" w:w="3600"/>
            <w:tcBorders>
              <w:top w:val="none"/>
              <w:left w:val="none"/>
              <w:bottom w:val="none"/>
              <w:right w:val="none"/>
            </w:tcBorders>
            <w:shd w:fill="2E75B6" w:val="clear"/>
            <w:tcMar>
              <w:top w:type="dxa" w:w="100"/>
              <w:left w:type="dxa" w:w="200"/>
              <w:bottom w:type="dxa" w:w="100"/>
              <w:right w:type="dxa" w:w="160"/>
            </w:tcMar>
          </w:tcPr>
          <w:p>
            <w:pPr>
              <w:jc w:val="center"/>
            </w:pPr>
            <w:r>
              <w:rPr>
                <w:rFonts w:ascii="Georgia" w:cs="Georgia" w:eastAsia="Georgia" w:hAnsi="Georgia"/>
                <w:b/>
                <w:bCs/>
                <w:color w:val="FFFFFF"/>
                <w:sz w:val="21"/>
                <w:szCs w:val="21"/>
              </w:rPr>
              <w:t xml:space="preserve">G3: Pattern identification</w:t>
            </w:r>
          </w:p>
        </w:tc>
        <w:tc>
          <w:tcPr>
            <w:tcW w:type="dxa" w:w="700"/>
            <w:tcBorders>
              <w:top w:val="none"/>
              <w:left w:val="none"/>
              <w:bottom w:val="none"/>
              <w:right w:val="none"/>
            </w:tcBorders>
            <w:shd w:fill="FFFFFF" w:val="clear"/>
            <w:tcMar>
              <w:top w:type="dxa" w:w="100"/>
              <w:left w:type="dxa" w:w="0"/>
              <w:bottom w:type="dxa" w:w="100"/>
              <w:right w:type="dxa" w:w="0"/>
            </w:tcMar>
          </w:tcPr>
          <w:p>
            <w:pPr>
              <w:jc w:val="center"/>
            </w:pPr>
            <w:r>
              <w:rPr>
                <w:rFonts w:ascii="Arial" w:cs="Arial" w:eastAsia="Arial" w:hAnsi="Arial"/>
                <w:b/>
                <w:bCs/>
                <w:color w:val="2E75B6"/>
                <w:sz w:val="22"/>
                <w:szCs w:val="22"/>
              </w:rPr>
              <w:t xml:space="preserve">→</w:t>
            </w:r>
          </w:p>
        </w:tc>
        <w:tc>
          <w:tcPr>
            <w:tcW w:type="dxa" w:w="4726"/>
            <w:tcBorders>
              <w:top w:val="none"/>
              <w:left w:val="none"/>
              <w:bottom w:val="none"/>
              <w:right w:val="none"/>
            </w:tcBorders>
            <w:shd w:fill="2E75B6" w:val="clear"/>
            <w:tcMar>
              <w:top w:type="dxa" w:w="100"/>
              <w:left w:type="dxa" w:w="200"/>
              <w:bottom w:type="dxa" w:w="100"/>
              <w:right w:type="dxa" w:w="160"/>
            </w:tcMar>
          </w:tcPr>
          <w:p>
            <w:pPr>
              <w:jc w:val="both"/>
            </w:pPr>
            <w:r>
              <w:rPr>
                <w:rFonts w:ascii="Georgia" w:cs="Georgia" w:eastAsia="Georgia" w:hAnsi="Georgia"/>
                <w:color w:val="FFFFFF"/>
                <w:sz w:val="21"/>
                <w:szCs w:val="21"/>
              </w:rPr>
              <w:t xml:space="preserve">Is this isolated or systemic? What level of response?</w:t>
            </w:r>
          </w:p>
        </w:tc>
      </w:tr>
    </w:tbl>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4726"/>
      </w:tblGrid>
      <w:tr>
        <w:tc>
          <w:tcPr>
            <w:tcW w:type="dxa" w:w="3600"/>
            <w:tcBorders>
              <w:top w:val="none"/>
              <w:left w:val="none"/>
              <w:bottom w:val="none"/>
              <w:right w:val="none"/>
            </w:tcBorders>
            <w:shd w:fill="1F3864" w:val="clear"/>
            <w:tcMar>
              <w:top w:type="dxa" w:w="100"/>
              <w:left w:type="dxa" w:w="200"/>
              <w:bottom w:type="dxa" w:w="100"/>
              <w:right w:type="dxa" w:w="160"/>
            </w:tcMar>
          </w:tcPr>
          <w:p>
            <w:pPr>
              <w:jc w:val="center"/>
            </w:pPr>
            <w:r>
              <w:rPr>
                <w:rFonts w:ascii="Georgia" w:cs="Georgia" w:eastAsia="Georgia" w:hAnsi="Georgia"/>
                <w:b/>
                <w:bCs/>
                <w:color w:val="FFFFFF"/>
                <w:sz w:val="21"/>
                <w:szCs w:val="21"/>
              </w:rPr>
              <w:t xml:space="preserve">G2: Strategic signal</w:t>
            </w:r>
          </w:p>
        </w:tc>
        <w:tc>
          <w:tcPr>
            <w:tcW w:type="dxa" w:w="700"/>
            <w:tcBorders>
              <w:top w:val="none"/>
              <w:left w:val="none"/>
              <w:bottom w:val="none"/>
              <w:right w:val="none"/>
            </w:tcBorders>
            <w:shd w:fill="FFFFFF" w:val="clear"/>
            <w:tcMar>
              <w:top w:type="dxa" w:w="100"/>
              <w:left w:type="dxa" w:w="0"/>
              <w:bottom w:type="dxa" w:w="100"/>
              <w:right w:type="dxa" w:w="0"/>
            </w:tcMar>
          </w:tcPr>
          <w:p>
            <w:pPr>
              <w:jc w:val="center"/>
            </w:pPr>
            <w:r>
              <w:rPr>
                <w:rFonts w:ascii="Arial" w:cs="Arial" w:eastAsia="Arial" w:hAnsi="Arial"/>
                <w:b/>
                <w:bCs/>
                <w:color w:val="2E75B6"/>
                <w:sz w:val="22"/>
                <w:szCs w:val="22"/>
              </w:rPr>
              <w:t xml:space="preserve">→</w:t>
            </w:r>
          </w:p>
        </w:tc>
        <w:tc>
          <w:tcPr>
            <w:tcW w:type="dxa" w:w="4726"/>
            <w:tcBorders>
              <w:top w:val="none"/>
              <w:left w:val="none"/>
              <w:bottom w:val="none"/>
              <w:right w:val="none"/>
            </w:tcBorders>
            <w:shd w:fill="1F3864" w:val="clear"/>
            <w:tcMar>
              <w:top w:type="dxa" w:w="100"/>
              <w:left w:type="dxa" w:w="200"/>
              <w:bottom w:type="dxa" w:w="100"/>
              <w:right w:type="dxa" w:w="160"/>
            </w:tcMar>
          </w:tcPr>
          <w:p>
            <w:pPr>
              <w:jc w:val="both"/>
            </w:pPr>
            <w:r>
              <w:rPr>
                <w:rFonts w:ascii="Georgia" w:cs="Georgia" w:eastAsia="Georgia" w:hAnsi="Georgia"/>
                <w:color w:val="FFFFFF"/>
                <w:sz w:val="21"/>
                <w:szCs w:val="21"/>
              </w:rPr>
              <w:t xml:space="preserve">Does this require an OKR revision? A resource reallocation? A mandate clarification?</w:t>
            </w:r>
          </w:p>
        </w:tc>
      </w:tr>
    </w:tbl>
    <w:p>
      <w:pPr>
        <w:spacing w:before="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4726"/>
      </w:tblGrid>
      <w:tr>
        <w:tc>
          <w:tcPr>
            <w:tcW w:type="dxa" w:w="3600"/>
            <w:tcBorders>
              <w:top w:val="none"/>
              <w:left w:val="none"/>
              <w:bottom w:val="none"/>
              <w:right w:val="none"/>
            </w:tcBorders>
            <w:shd w:fill="0D1F3C" w:val="clear"/>
            <w:tcMar>
              <w:top w:type="dxa" w:w="100"/>
              <w:left w:type="dxa" w:w="200"/>
              <w:bottom w:type="dxa" w:w="100"/>
              <w:right w:type="dxa" w:w="160"/>
            </w:tcMar>
          </w:tcPr>
          <w:p>
            <w:pPr>
              <w:jc w:val="center"/>
            </w:pPr>
            <w:r>
              <w:rPr>
                <w:rFonts w:ascii="Georgia" w:cs="Georgia" w:eastAsia="Georgia" w:hAnsi="Georgia"/>
                <w:b/>
                <w:bCs/>
                <w:color w:val="FFFFFF"/>
                <w:sz w:val="21"/>
                <w:szCs w:val="21"/>
              </w:rPr>
              <w:t xml:space="preserve">G1: Mission signal</w:t>
            </w:r>
          </w:p>
        </w:tc>
        <w:tc>
          <w:tcPr>
            <w:tcW w:type="dxa" w:w="700"/>
            <w:tcBorders>
              <w:top w:val="none"/>
              <w:left w:val="none"/>
              <w:bottom w:val="none"/>
              <w:right w:val="none"/>
            </w:tcBorders>
            <w:shd w:fill="FFFFFF" w:val="clear"/>
            <w:tcMar>
              <w:top w:type="dxa" w:w="100"/>
              <w:left w:type="dxa" w:w="0"/>
              <w:bottom w:type="dxa" w:w="100"/>
              <w:right w:type="dxa" w:w="0"/>
            </w:tcMar>
          </w:tcPr>
          <w:p>
            <w:pPr>
              <w:jc w:val="center"/>
            </w:pPr>
            <w:r>
              <w:rPr>
                <w:rFonts w:ascii="Arial" w:cs="Arial" w:eastAsia="Arial" w:hAnsi="Arial"/>
                <w:b/>
                <w:bCs/>
                <w:color w:val="2E75B6"/>
                <w:sz w:val="22"/>
                <w:szCs w:val="22"/>
              </w:rPr>
              <w:t xml:space="preserve">→</w:t>
            </w:r>
          </w:p>
        </w:tc>
        <w:tc>
          <w:tcPr>
            <w:tcW w:type="dxa" w:w="4726"/>
            <w:tcBorders>
              <w:top w:val="none"/>
              <w:left w:val="none"/>
              <w:bottom w:val="none"/>
              <w:right w:val="none"/>
            </w:tcBorders>
            <w:shd w:fill="0D1F3C" w:val="clear"/>
            <w:tcMar>
              <w:top w:type="dxa" w:w="100"/>
              <w:left w:type="dxa" w:w="200"/>
              <w:bottom w:type="dxa" w:w="100"/>
              <w:right w:type="dxa" w:w="160"/>
            </w:tcMar>
          </w:tcPr>
          <w:p>
            <w:pPr>
              <w:jc w:val="both"/>
            </w:pPr>
            <w:r>
              <w:rPr>
                <w:rFonts w:ascii="Georgia" w:cs="Georgia" w:eastAsia="Georgia" w:hAnsi="Georgia"/>
                <w:color w:val="FFFFFF"/>
                <w:sz w:val="21"/>
                <w:szCs w:val="21"/>
              </w:rPr>
              <w:t xml:space="preserve">Does this indicate drift from founding principles? (Exceptional — not routine)</w:t>
            </w:r>
          </w:p>
        </w:tc>
      </w:tr>
    </w:tbl>
    <w:p>
      <w:pPr>
        <w:spacing w:before="0" w:after="100"/>
      </w:pPr>
    </w:p>
    <w:p>
      <w:pPr>
        <w:pStyle w:val="Heading2"/>
        <w:spacing w:before="320" w:after="100"/>
      </w:pPr>
      <w:r>
        <w:rPr>
          <w:rFonts w:ascii="Georgia" w:cs="Georgia" w:eastAsia="Georgia" w:hAnsi="Georgia"/>
          <w:b/>
          <w:bCs/>
          <w:color w:val="2E75B6"/>
          <w:sz w:val="25"/>
          <w:szCs w:val="25"/>
        </w:rPr>
        <w:t xml:space="preserve">The Synthesis Meeting</w:t>
      </w:r>
    </w:p>
    <w:p>
      <w:pPr>
        <w:spacing w:before="0" w:after="185"/>
        <w:ind/>
        <w:jc w:val="both"/>
      </w:pPr>
      <w:r>
        <w:rPr>
          <w:rFonts w:ascii="Georgia" w:cs="Georgia" w:eastAsia="Georgia" w:hAnsi="Georgia"/>
          <w:b w:val="false"/>
          <w:bCs w:val="false"/>
          <w:i w:val="false"/>
          <w:iCs w:val="false"/>
          <w:color w:val="1A1A1A"/>
          <w:sz w:val="23"/>
          <w:szCs w:val="23"/>
        </w:rPr>
        <w:t xml:space="preserve">At the end of each semester, the Academic Senate Chair convenes a Synthesis Meeting attended by the leads of all active G3 committees and G4 units. The purpose is not to review individual reports but to identify cross-cutting patterns — issues that appear in multiple units' Implementation Review Reports and therefore require a response at G3 or G2 level rather than unit level.</w:t>
      </w:r>
    </w:p>
    <w:p>
      <w:pPr>
        <w:spacing w:before="0" w:after="185"/>
        <w:ind/>
        <w:jc w:val="both"/>
      </w:pPr>
      <w:r>
        <w:rPr>
          <w:rFonts w:ascii="Georgia" w:cs="Georgia" w:eastAsia="Georgia" w:hAnsi="Georgia"/>
          <w:b w:val="false"/>
          <w:bCs w:val="false"/>
          <w:i w:val="false"/>
          <w:iCs w:val="false"/>
          <w:color w:val="1A1A1A"/>
          <w:sz w:val="23"/>
          <w:szCs w:val="23"/>
        </w:rPr>
        <w:t xml:space="preserve">The Synthesis Meeting produces a short Strategic Signal Document (maximum two pages) that summarises: the three to five most significant patterns identified across G4 reports, their strategic implications, and the recommended response level. This document goes to G2 within two weeks of the Synthesis Meeting.</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IV.  Signal Classification and Required Response</w:t>
      </w:r>
    </w:p>
    <w:p>
      <w:pPr>
        <w:spacing w:before="0" w:after="185"/>
        <w:ind/>
        <w:jc w:val="both"/>
      </w:pPr>
      <w:r>
        <w:rPr>
          <w:rFonts w:ascii="Georgia" w:cs="Georgia" w:eastAsia="Georgia" w:hAnsi="Georgia"/>
          <w:b w:val="false"/>
          <w:bCs w:val="false"/>
          <w:i w:val="false"/>
          <w:iCs w:val="false"/>
          <w:color w:val="1A1A1A"/>
          <w:sz w:val="23"/>
          <w:szCs w:val="23"/>
        </w:rPr>
        <w:t xml:space="preserve">Not all findings require the same response. This Protocol uses a four-level signal classification that determines who must respond, at what speed, and through which governance process. The classification is applied by the G3 layer when synthesising G4 reports.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126"/>
        <w:gridCol w:w="3500"/>
      </w:tblGrid>
      <w:tr>
        <w:tc>
          <w:tcPr>
            <w:tcW w:type="dxa" w:w="1400"/>
            <w:tcBorders>
              <w:top w:val="single" w:color="DDDDDD" w:sz="1"/>
              <w:left w:val="single" w:color="DDDDDD" w:sz="1"/>
              <w:bottom w:val="single" w:color="DDDDDD" w:sz="1"/>
              <w:right w:val="single" w:color="DDDDDD" w:sz="1"/>
            </w:tcBorders>
            <w:shd w:fill="0D1F3C" w:val="clear"/>
            <w:tcMar>
              <w:top w:type="dxa" w:w="90"/>
              <w:left w:type="dxa" w:w="120"/>
              <w:bottom w:type="dxa" w:w="90"/>
              <w:right w:type="dxa" w:w="80"/>
            </w:tcMar>
          </w:tcPr>
          <w:p>
            <w:pPr>
              <w:jc w:val="center"/>
            </w:pPr>
            <w:r>
              <w:rPr>
                <w:rFonts w:ascii="Arial" w:cs="Arial" w:eastAsia="Arial" w:hAnsi="Arial"/>
                <w:b/>
                <w:bCs/>
                <w:color w:val="FFFFFF"/>
                <w:sz w:val="17"/>
                <w:szCs w:val="17"/>
              </w:rPr>
              <w:t xml:space="preserve">Signal Level</w:t>
            </w:r>
          </w:p>
        </w:tc>
        <w:tc>
          <w:tcPr>
            <w:tcW w:type="dxa" w:w="2000"/>
            <w:tcBorders>
              <w:top w:val="single" w:color="DDDDDD" w:sz="1"/>
              <w:left w:val="single" w:color="DDDDDD" w:sz="1"/>
              <w:bottom w:val="single" w:color="DDDDDD" w:sz="1"/>
              <w:right w:val="single" w:color="DDDDDD" w:sz="1"/>
            </w:tcBorders>
            <w:shd w:fill="0D1F3C" w:val="clear"/>
            <w:tcMar>
              <w:top w:type="dxa" w:w="90"/>
              <w:left w:type="dxa" w:w="120"/>
              <w:bottom w:type="dxa" w:w="90"/>
              <w:right w:type="dxa" w:w="80"/>
            </w:tcMar>
          </w:tcPr>
          <w:p>
            <w:pPr>
              <w:jc w:val="center"/>
            </w:pPr>
            <w:r>
              <w:rPr>
                <w:rFonts w:ascii="Arial" w:cs="Arial" w:eastAsia="Arial" w:hAnsi="Arial"/>
                <w:b/>
                <w:bCs/>
                <w:color w:val="FFFFFF"/>
                <w:sz w:val="17"/>
                <w:szCs w:val="17"/>
              </w:rPr>
              <w:t xml:space="preserve">Trigger Condition</w:t>
            </w:r>
          </w:p>
        </w:tc>
        <w:tc>
          <w:tcPr>
            <w:tcW w:type="dxa" w:w="2126"/>
            <w:tcBorders>
              <w:top w:val="single" w:color="DDDDDD" w:sz="1"/>
              <w:left w:val="single" w:color="DDDDDD" w:sz="1"/>
              <w:bottom w:val="single" w:color="DDDDDD" w:sz="1"/>
              <w:right w:val="single" w:color="DDDDDD" w:sz="1"/>
            </w:tcBorders>
            <w:shd w:fill="0D1F3C" w:val="clear"/>
            <w:tcMar>
              <w:top w:type="dxa" w:w="90"/>
              <w:left w:type="dxa" w:w="120"/>
              <w:bottom w:type="dxa" w:w="90"/>
              <w:right w:type="dxa" w:w="80"/>
            </w:tcMar>
          </w:tcPr>
          <w:p>
            <w:pPr>
              <w:jc w:val="center"/>
            </w:pPr>
            <w:r>
              <w:rPr>
                <w:rFonts w:ascii="Arial" w:cs="Arial" w:eastAsia="Arial" w:hAnsi="Arial"/>
                <w:b/>
                <w:bCs/>
                <w:color w:val="FFFFFF"/>
                <w:sz w:val="17"/>
                <w:szCs w:val="17"/>
              </w:rPr>
              <w:t xml:space="preserve">Routing</w:t>
            </w:r>
          </w:p>
        </w:tc>
        <w:tc>
          <w:tcPr>
            <w:tcW w:type="dxa" w:w="3500"/>
            <w:tcBorders>
              <w:top w:val="single" w:color="DDDDDD" w:sz="1"/>
              <w:left w:val="single" w:color="DDDDDD" w:sz="1"/>
              <w:bottom w:val="single" w:color="DDDDDD" w:sz="1"/>
              <w:right w:val="single" w:color="DDDDDD" w:sz="1"/>
            </w:tcBorders>
            <w:shd w:fill="0D1F3C" w:val="clear"/>
            <w:tcMar>
              <w:top w:type="dxa" w:w="90"/>
              <w:left w:type="dxa" w:w="120"/>
              <w:bottom w:type="dxa" w:w="90"/>
              <w:right w:type="dxa" w:w="80"/>
            </w:tcMar>
          </w:tcPr>
          <w:p>
            <w:pPr>
              <w:jc w:val="center"/>
            </w:pPr>
            <w:r>
              <w:rPr>
                <w:rFonts w:ascii="Arial" w:cs="Arial" w:eastAsia="Arial" w:hAnsi="Arial"/>
                <w:b/>
                <w:bCs/>
                <w:color w:val="FFFFFF"/>
                <w:sz w:val="17"/>
                <w:szCs w:val="17"/>
              </w:rPr>
              <w:t xml:space="preserve">Required Response</w:t>
            </w:r>
          </w:p>
        </w:tc>
      </w:tr>
      <w:tr>
        <w:tc>
          <w:tcPr>
            <w:tcW w:type="dxa" w:w="1400"/>
            <w:tcBorders>
              <w:top w:val="single" w:color="DDDDDD" w:sz="1"/>
              <w:left w:val="single" w:color="DDDDDD" w:sz="1"/>
              <w:bottom w:val="single" w:color="DDDDDD" w:sz="1"/>
              <w:right w:val="single" w:color="DDDDDD" w:sz="1"/>
            </w:tcBorders>
            <w:shd w:fill="1A5C38"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Green
(Monitor)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color w:val="1A1A1A"/>
                <w:sz w:val="19"/>
                <w:szCs w:val="19"/>
              </w:rPr>
              <w:t xml:space="preserve">Implementation is on track. Minor variances within expected range. No assumption failures.</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color w:val="1A1A1A"/>
                <w:sz w:val="19"/>
                <w:szCs w:val="19"/>
              </w:rPr>
              <w:t xml:space="preserve">Dashboard update only. G4 unit.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color w:val="1A1A1A"/>
                <w:sz w:val="19"/>
                <w:szCs w:val="19"/>
              </w:rPr>
              <w:t xml:space="preserve">No immediate action required. Document and monitor. Note patterns if green signals cluster around the same issue across periods.</w:t>
            </w:r>
          </w:p>
        </w:tc>
      </w:tr>
      <w:tr>
        <w:tc>
          <w:tcPr>
            <w:tcW w:type="dxa" w:w="1400"/>
            <w:tcBorders>
              <w:top w:val="single" w:color="DDDDDD" w:sz="1"/>
              <w:left w:val="single" w:color="DDDDDD" w:sz="1"/>
              <w:bottom w:val="single" w:color="DDDDDD" w:sz="1"/>
              <w:right w:val="single" w:color="DDDDDD" w:sz="1"/>
            </w:tcBorders>
            <w:shd w:fill="7A4A00"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Amber
(Engage)</w:t>
            </w:r>
          </w:p>
        </w:tc>
        <w:tc>
          <w:tcPr>
            <w:tcW w:type="dxa" w:w="2000"/>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color w:val="1A1A1A"/>
                <w:sz w:val="19"/>
                <w:szCs w:val="19"/>
              </w:rPr>
              <w:t xml:space="preserve">KR score below 0.5 at mid-point, or two consecutive semesters below 0.7. Or: a significant assumption failure identified.</w:t>
            </w:r>
          </w:p>
        </w:tc>
        <w:tc>
          <w:tcPr>
            <w:tcW w:type="dxa" w:w="2126"/>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color w:val="1A1A1A"/>
                <w:sz w:val="19"/>
                <w:szCs w:val="19"/>
              </w:rPr>
              <w:t xml:space="preserve">G3 Academic &amp; Quality layer. Reported to G2 in semester synthesis.</w:t>
            </w:r>
          </w:p>
        </w:tc>
        <w:tc>
          <w:tcPr>
            <w:tcW w:type="dxa" w:w="3500"/>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color w:val="1A1A1A"/>
                <w:sz w:val="19"/>
                <w:szCs w:val="19"/>
              </w:rPr>
              <w:t xml:space="preserve">G3 convenes a focused review with the G4 unit within three weeks. Agrees a revised implementation plan or OKR amendment. Reported to G2 with outcome.</w:t>
            </w:r>
          </w:p>
        </w:tc>
      </w:tr>
      <w:tr>
        <w:tc>
          <w:tcPr>
            <w:tcW w:type="dxa" w:w="14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Red
(Escalate)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color w:val="1A1A1A"/>
                <w:sz w:val="19"/>
                <w:szCs w:val="19"/>
              </w:rPr>
              <w:t xml:space="preserve">KR score below 0.3. Or: implementation failure affecting students currently enrolled. Or: a finding that may require strategic revision.</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color w:val="1A1A1A"/>
                <w:sz w:val="19"/>
                <w:szCs w:val="19"/>
              </w:rPr>
              <w:t xml:space="preserve">G2 Strategic layer, with G3 input. Reported at next G2 meeting (maximum four weeks).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color w:val="1A1A1A"/>
                <w:sz w:val="19"/>
                <w:szCs w:val="19"/>
              </w:rPr>
              <w:t xml:space="preserve">G2 decides: OKR revision, resource reallocation, mandate clarification, or escalation to G1. Decision documented with rationale. Communicated to affected G4 units within one week of decision.</w:t>
            </w:r>
          </w:p>
        </w:tc>
      </w:tr>
      <w:tr>
        <w:tc>
          <w:tcPr>
            <w:tcW w:type="dxa" w:w="14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Black
(Constitutional)</w:t>
            </w:r>
          </w:p>
        </w:tc>
        <w:tc>
          <w:tcPr>
            <w:tcW w:type="dxa" w:w="2000"/>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color w:val="1A1A1A"/>
                <w:sz w:val="19"/>
                <w:szCs w:val="19"/>
              </w:rPr>
              <w:t xml:space="preserve">Finding indicates potential breach of founding mission, constitutional principles, or academic integrity guarantees.</w:t>
            </w:r>
          </w:p>
        </w:tc>
        <w:tc>
          <w:tcPr>
            <w:tcW w:type="dxa" w:w="2126"/>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color w:val="1A1A1A"/>
                <w:sz w:val="19"/>
                <w:szCs w:val="19"/>
              </w:rPr>
              <w:t xml:space="preserve">G1 Constitutional layer, immediately. G3 academic independence invoked if G2 is involved in the issue.</w:t>
            </w:r>
          </w:p>
        </w:tc>
        <w:tc>
          <w:tcPr>
            <w:tcW w:type="dxa" w:w="3500"/>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color w:val="1A1A1A"/>
                <w:sz w:val="19"/>
                <w:szCs w:val="19"/>
              </w:rPr>
              <w:t xml:space="preserve">G1 convenes within two weeks. Full Constitutional Concern Protocol applies (see Section V). G3 manages academic quality dimensions independently of G2 for the duration.</w:t>
            </w:r>
          </w:p>
        </w:tc>
      </w:tr>
    </w:tbl>
    <w:p>
      <w:pPr>
        <w:spacing w:before="0" w:after="100"/>
      </w:pPr>
    </w:p>
    <w:p>
      <w:pPr>
        <w:pStyle w:val="Heading2"/>
        <w:spacing w:before="320" w:after="100"/>
      </w:pPr>
      <w:r>
        <w:rPr>
          <w:rFonts w:ascii="Georgia" w:cs="Georgia" w:eastAsia="Georgia" w:hAnsi="Georgia"/>
          <w:b/>
          <w:bCs/>
          <w:color w:val="2E75B6"/>
          <w:sz w:val="25"/>
          <w:szCs w:val="25"/>
        </w:rPr>
        <w:t xml:space="preserve">The Distinction Between Red and Black</w:t>
      </w:r>
    </w:p>
    <w:p>
      <w:pPr>
        <w:spacing w:before="0" w:after="185"/>
        <w:ind/>
        <w:jc w:val="both"/>
      </w:pPr>
      <w:r>
        <w:rPr>
          <w:rFonts w:ascii="Georgia" w:cs="Georgia" w:eastAsia="Georgia" w:hAnsi="Georgia"/>
          <w:b w:val="false"/>
          <w:bCs w:val="false"/>
          <w:i w:val="false"/>
          <w:iCs w:val="false"/>
          <w:color w:val="1A1A1A"/>
          <w:sz w:val="23"/>
          <w:szCs w:val="23"/>
        </w:rPr>
        <w:t xml:space="preserve">The distinction between Red (escalate to G2) and Black (constitutional) is critical and sometimes difficult to judge. The key test is: does the finding indicate that a strategic assumption was wrong (Red — G2 decides how to respond), or does it indicate that institutional commitments are being compromised (Black — G1 acts, G3 acts independently)?</w:t>
      </w:r>
    </w:p>
    <w:p>
      <w:pPr>
        <w:spacing w:before="0" w:after="185"/>
        <w:ind/>
        <w:jc w:val="both"/>
      </w:pPr>
      <w:r>
        <w:rPr>
          <w:rFonts w:ascii="Georgia" w:cs="Georgia" w:eastAsia="Georgia" w:hAnsi="Georgia"/>
          <w:b w:val="false"/>
          <w:bCs w:val="false"/>
          <w:i w:val="false"/>
          <w:iCs w:val="false"/>
          <w:color w:val="1A1A1A"/>
          <w:sz w:val="23"/>
          <w:szCs w:val="23"/>
        </w:rPr>
        <w:t xml:space="preserve">Examples to illustrate: a programme consistently failing to meet its enrolment target is Red — it is a strategic execution problem. A programme consistently enrolling only wealthy, full-time students despite the OUG's Access by Design commitment is Black — it is a mission integrity failure. A research output below OKR target is Red. Evidence that research funding pressure is influencing academic standards decisions is Black.</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V.  The Constitutional Concern Protocol</w:t>
      </w:r>
    </w:p>
    <w:p>
      <w:pPr>
        <w:spacing w:before="0" w:after="185"/>
        <w:ind/>
        <w:jc w:val="both"/>
      </w:pPr>
      <w:r>
        <w:rPr>
          <w:rFonts w:ascii="Georgia" w:cs="Georgia" w:eastAsia="Georgia" w:hAnsi="Georgia"/>
          <w:b w:val="false"/>
          <w:bCs w:val="false"/>
          <w:i w:val="false"/>
          <w:iCs w:val="false"/>
          <w:color w:val="1A1A1A"/>
          <w:sz w:val="23"/>
          <w:szCs w:val="23"/>
        </w:rPr>
        <w:t xml:space="preserve">The Constitutional Concern Protocol is activated when a finding — from any governance layer or from any member of the OUG community — indicates a potential breach of the institution's founding principles, constitutional commitments, or the academic independence guarantees in the Grundordnung.</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8B1A1A" w:val="clear"/>
            <w:tcMar>
              <w:top w:type="dxa" w:w="0"/>
              <w:left w:type="dxa" w:w="0"/>
              <w:bottom w:type="dxa" w:w="0"/>
              <w:right w:type="dxa" w:w="0"/>
            </w:tcMar>
          </w:tcPr>
          <w:p>
            <w:pPr>
              <w:jc w:val="center"/>
            </w:pPr>
            <w:r>
              <w:rPr>
                <w:rFonts w:ascii="Georgia" w:cs="Georgia" w:eastAsia="Georgia" w:hAnsi="Georgia"/>
                <w:b/>
                <w:bCs/>
                <w:color w:val="FFFFFF"/>
                <w:sz w:val="28"/>
                <w:szCs w:val="28"/>
              </w:rPr>
              <w:t xml:space="preserve">1</w:t>
            </w:r>
          </w:p>
        </w:tc>
        <w:tc>
          <w:tcPr>
            <w:tcW w:type="dxa" w:w="8786"/>
            <w:tcBorders>
              <w:top w:val="none"/>
              <w:left w:val="none"/>
              <w:bottom w:val="none"/>
              <w:right w:val="none"/>
            </w:tcBorders>
            <w:shd w:fill="F4F7FA" w:val="clear"/>
            <w:tcMar>
              <w:top w:type="dxa" w:w="120"/>
              <w:left w:type="dxa" w:w="220"/>
              <w:bottom w:type="dxa" w:w="120"/>
              <w:right w:type="dxa" w:w="160"/>
            </w:tcMar>
          </w:tcPr>
          <w:p>
            <w:pPr>
              <w:spacing w:before="0" w:after="50"/>
            </w:pPr>
            <w:r>
              <w:rPr>
                <w:rFonts w:ascii="Arial" w:cs="Arial" w:eastAsia="Arial" w:hAnsi="Arial"/>
                <w:b/>
                <w:bCs/>
                <w:color w:val="8B1A1A"/>
                <w:sz w:val="19"/>
                <w:szCs w:val="19"/>
              </w:rPr>
              <w:t xml:space="preserve">Phase 1  </w:t>
            </w:r>
            <w:r>
              <w:rPr>
                <w:rFonts w:ascii="Georgia" w:cs="Georgia" w:eastAsia="Georgia" w:hAnsi="Georgia"/>
                <w:b/>
                <w:bCs/>
                <w:color w:val="1A1A1A"/>
                <w:sz w:val="21"/>
                <w:szCs w:val="21"/>
              </w:rPr>
              <w:t xml:space="preserve">Identification and Documentation</w:t>
            </w:r>
          </w:p>
          <w:p>
            <w:pPr>
              <w:spacing w:before="0" w:after="60"/>
            </w:pPr>
            <w:r>
              <w:rPr>
                <w:rFonts w:ascii="Arial" w:cs="Arial" w:eastAsia="Arial" w:hAnsi="Arial"/>
                <w:b/>
                <w:bCs/>
                <w:color w:val="666666"/>
                <w:sz w:val="17"/>
                <w:szCs w:val="17"/>
              </w:rPr>
              <w:t xml:space="preserve">Who: </w:t>
            </w:r>
            <w:r>
              <w:rPr>
                <w:rFonts w:ascii="Arial" w:cs="Arial" w:eastAsia="Arial" w:hAnsi="Arial"/>
                <w:color w:val="444444"/>
                <w:sz w:val="17"/>
                <w:szCs w:val="17"/>
              </w:rPr>
              <w:t xml:space="preserve">Any governance participant</w:t>
            </w:r>
            <w:r>
              <w:rPr>
                <w:rFonts w:ascii="Arial" w:cs="Arial" w:eastAsia="Arial" w:hAnsi="Arial"/>
                <w:b/>
                <w:bCs/>
                <w:color w:val="666666"/>
                <w:sz w:val="17"/>
                <w:szCs w:val="17"/>
              </w:rPr>
              <w:t xml:space="preserve">   Duration: </w:t>
            </w:r>
            <w:r>
              <w:rPr>
                <w:rFonts w:ascii="Arial" w:cs="Arial" w:eastAsia="Arial" w:hAnsi="Arial"/>
                <w:color w:val="444444"/>
                <w:sz w:val="17"/>
                <w:szCs w:val="17"/>
              </w:rPr>
              <w:t xml:space="preserve">Immediate</w:t>
            </w:r>
          </w:p>
          <w:p>
            <w:pPr>
              <w:pStyle w:val="ListParagraph"/>
              <w:numPr>
                <w:ilvl w:val="0"/>
                <w:numId w:val="2"/>
              </w:numPr>
              <w:spacing w:before="40" w:after="50"/>
            </w:pPr>
            <w:r>
              <w:rPr>
                <w:rFonts w:ascii="Georgia" w:cs="Georgia" w:eastAsia="Georgia" w:hAnsi="Georgia"/>
                <w:color w:val="1A1A1A"/>
                <w:sz w:val="22"/>
                <w:szCs w:val="22"/>
              </w:rPr>
              <w:t xml:space="preserve">Any governance participant who identifies a potential constitutional concern documents it in writing and submits it to the G1 Stewardship body and simultaneously to the Academic Senate Chair.</w:t>
            </w:r>
          </w:p>
          <w:p>
            <w:pPr>
              <w:pStyle w:val="ListParagraph"/>
              <w:numPr>
                <w:ilvl w:val="0"/>
                <w:numId w:val="2"/>
              </w:numPr>
              <w:spacing w:before="40" w:after="50"/>
            </w:pPr>
            <w:r>
              <w:rPr>
                <w:rFonts w:ascii="Georgia" w:cs="Georgia" w:eastAsia="Georgia" w:hAnsi="Georgia"/>
                <w:color w:val="1A1A1A"/>
                <w:sz w:val="22"/>
                <w:szCs w:val="22"/>
              </w:rPr>
              <w:t xml:space="preserve">Documentation must specify: what was observed; why it constitutes a constitutional concern rather than an operational issue; what evidence supports the concern; and whether the concern is urgent (affecting students or academic quality now) or emerging.</w:t>
            </w:r>
          </w:p>
          <w:p>
            <w:pPr>
              <w:pStyle w:val="ListParagraph"/>
              <w:numPr>
                <w:ilvl w:val="0"/>
                <w:numId w:val="2"/>
              </w:numPr>
              <w:spacing w:before="40" w:after="50"/>
            </w:pPr>
            <w:r>
              <w:rPr>
                <w:rFonts w:ascii="Georgia" w:cs="Georgia" w:eastAsia="Georgia" w:hAnsi="Georgia"/>
                <w:color w:val="1A1A1A"/>
                <w:sz w:val="22"/>
                <w:szCs w:val="22"/>
              </w:rPr>
              <w:t xml:space="preserve">The person raising the concern is protected from any form of retaliation. This protection is absolute and does not depend on whether the concern is subsequently upheld.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0D1F3C" w:val="clear"/>
            <w:tcMar>
              <w:top w:type="dxa" w:w="0"/>
              <w:left w:type="dxa" w:w="0"/>
              <w:bottom w:type="dxa" w:w="0"/>
              <w:right w:type="dxa" w:w="0"/>
            </w:tcMar>
          </w:tcPr>
          <w:p>
            <w:pPr>
              <w:jc w:val="center"/>
            </w:pPr>
            <w:r>
              <w:rPr>
                <w:rFonts w:ascii="Georgia" w:cs="Georgia" w:eastAsia="Georgia" w:hAnsi="Georgia"/>
                <w:b/>
                <w:bCs/>
                <w:color w:val="FFFFFF"/>
                <w:sz w:val="28"/>
                <w:szCs w:val="28"/>
              </w:rPr>
              <w:t xml:space="preserve">2</w:t>
            </w:r>
          </w:p>
        </w:tc>
        <w:tc>
          <w:tcPr>
            <w:tcW w:type="dxa" w:w="8786"/>
            <w:tcBorders>
              <w:top w:val="none"/>
              <w:left w:val="none"/>
              <w:bottom w:val="none"/>
              <w:right w:val="none"/>
            </w:tcBorders>
            <w:shd w:fill="F4F7FA" w:val="clear"/>
            <w:tcMar>
              <w:top w:type="dxa" w:w="120"/>
              <w:left w:type="dxa" w:w="220"/>
              <w:bottom w:type="dxa" w:w="120"/>
              <w:right w:type="dxa" w:w="160"/>
            </w:tcMar>
          </w:tcPr>
          <w:p>
            <w:pPr>
              <w:spacing w:before="0" w:after="50"/>
            </w:pPr>
            <w:r>
              <w:rPr>
                <w:rFonts w:ascii="Arial" w:cs="Arial" w:eastAsia="Arial" w:hAnsi="Arial"/>
                <w:b/>
                <w:bCs/>
                <w:color w:val="0D1F3C"/>
                <w:sz w:val="19"/>
                <w:szCs w:val="19"/>
              </w:rPr>
              <w:t xml:space="preserve">Phase 2  </w:t>
            </w:r>
            <w:r>
              <w:rPr>
                <w:rFonts w:ascii="Georgia" w:cs="Georgia" w:eastAsia="Georgia" w:hAnsi="Georgia"/>
                <w:b/>
                <w:bCs/>
                <w:color w:val="1A1A1A"/>
                <w:sz w:val="21"/>
                <w:szCs w:val="21"/>
              </w:rPr>
              <w:t xml:space="preserve">Triage</w:t>
            </w:r>
          </w:p>
          <w:p>
            <w:pPr>
              <w:spacing w:before="0" w:after="60"/>
            </w:pPr>
            <w:r>
              <w:rPr>
                <w:rFonts w:ascii="Arial" w:cs="Arial" w:eastAsia="Arial" w:hAnsi="Arial"/>
                <w:b/>
                <w:bCs/>
                <w:color w:val="666666"/>
                <w:sz w:val="17"/>
                <w:szCs w:val="17"/>
              </w:rPr>
              <w:t xml:space="preserve">Who: </w:t>
            </w:r>
            <w:r>
              <w:rPr>
                <w:rFonts w:ascii="Arial" w:cs="Arial" w:eastAsia="Arial" w:hAnsi="Arial"/>
                <w:color w:val="444444"/>
                <w:sz w:val="17"/>
                <w:szCs w:val="17"/>
              </w:rPr>
              <w:t xml:space="preserve">G1 Stewardship body</w:t>
            </w:r>
            <w:r>
              <w:rPr>
                <w:rFonts w:ascii="Arial" w:cs="Arial" w:eastAsia="Arial" w:hAnsi="Arial"/>
                <w:b/>
                <w:bCs/>
                <w:color w:val="666666"/>
                <w:sz w:val="17"/>
                <w:szCs w:val="17"/>
              </w:rPr>
              <w:t xml:space="preserve">   Duration: </w:t>
            </w:r>
            <w:r>
              <w:rPr>
                <w:rFonts w:ascii="Arial" w:cs="Arial" w:eastAsia="Arial" w:hAnsi="Arial"/>
                <w:color w:val="444444"/>
                <w:sz w:val="17"/>
                <w:szCs w:val="17"/>
              </w:rPr>
              <w:t xml:space="preserve">Within 72 hours</w:t>
            </w:r>
          </w:p>
          <w:p>
            <w:pPr>
              <w:pStyle w:val="ListParagraph"/>
              <w:numPr>
                <w:ilvl w:val="0"/>
                <w:numId w:val="2"/>
              </w:numPr>
              <w:spacing w:before="40" w:after="50"/>
            </w:pPr>
            <w:r>
              <w:rPr>
                <w:rFonts w:ascii="Georgia" w:cs="Georgia" w:eastAsia="Georgia" w:hAnsi="Georgia"/>
                <w:color w:val="1A1A1A"/>
                <w:sz w:val="22"/>
                <w:szCs w:val="22"/>
              </w:rPr>
              <w:t xml:space="preserve">G1 determines whether the concern is genuinely constitutional or whether it should be rerouted as a Red signal to G2.</w:t>
            </w:r>
          </w:p>
          <w:p>
            <w:pPr>
              <w:pStyle w:val="ListParagraph"/>
              <w:numPr>
                <w:ilvl w:val="0"/>
                <w:numId w:val="2"/>
              </w:numPr>
              <w:spacing w:before="40" w:after="50"/>
            </w:pPr>
            <w:r>
              <w:rPr>
                <w:rFonts w:ascii="Georgia" w:cs="Georgia" w:eastAsia="Georgia" w:hAnsi="Georgia"/>
                <w:color w:val="1A1A1A"/>
                <w:sz w:val="22"/>
                <w:szCs w:val="22"/>
              </w:rPr>
              <w:t xml:space="preserve">If constitutional: G1 convenes a formal review session within two weeks. G3 is notified and takes independent oversight of any academic quality dimensions of the concern.</w:t>
            </w:r>
          </w:p>
          <w:p>
            <w:pPr>
              <w:pStyle w:val="ListParagraph"/>
              <w:numPr>
                <w:ilvl w:val="0"/>
                <w:numId w:val="2"/>
              </w:numPr>
              <w:spacing w:before="40" w:after="50"/>
            </w:pPr>
            <w:r>
              <w:rPr>
                <w:rFonts w:ascii="Georgia" w:cs="Georgia" w:eastAsia="Georgia" w:hAnsi="Georgia"/>
                <w:color w:val="1A1A1A"/>
                <w:sz w:val="22"/>
                <w:szCs w:val="22"/>
              </w:rPr>
              <w:t xml:space="preserve">If rerouted to G2: G1 documents the rerouting decision and the rationale, and ensures the concern reaches G2 within 48 hours.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1F3864" w:val="clear"/>
            <w:tcMar>
              <w:top w:type="dxa" w:w="0"/>
              <w:left w:type="dxa" w:w="0"/>
              <w:bottom w:type="dxa" w:w="0"/>
              <w:right w:type="dxa" w:w="0"/>
            </w:tcMar>
          </w:tcPr>
          <w:p>
            <w:pPr>
              <w:jc w:val="center"/>
            </w:pPr>
            <w:r>
              <w:rPr>
                <w:rFonts w:ascii="Georgia" w:cs="Georgia" w:eastAsia="Georgia" w:hAnsi="Georgia"/>
                <w:b/>
                <w:bCs/>
                <w:color w:val="FFFFFF"/>
                <w:sz w:val="28"/>
                <w:szCs w:val="28"/>
              </w:rPr>
              <w:t xml:space="preserve">3</w:t>
            </w:r>
          </w:p>
        </w:tc>
        <w:tc>
          <w:tcPr>
            <w:tcW w:type="dxa" w:w="8786"/>
            <w:tcBorders>
              <w:top w:val="none"/>
              <w:left w:val="none"/>
              <w:bottom w:val="none"/>
              <w:right w:val="none"/>
            </w:tcBorders>
            <w:shd w:fill="F4F7FA" w:val="clear"/>
            <w:tcMar>
              <w:top w:type="dxa" w:w="120"/>
              <w:left w:type="dxa" w:w="220"/>
              <w:bottom w:type="dxa" w:w="120"/>
              <w:right w:type="dxa" w:w="160"/>
            </w:tcMar>
          </w:tcPr>
          <w:p>
            <w:pPr>
              <w:spacing w:before="0" w:after="50"/>
            </w:pPr>
            <w:r>
              <w:rPr>
                <w:rFonts w:ascii="Arial" w:cs="Arial" w:eastAsia="Arial" w:hAnsi="Arial"/>
                <w:b/>
                <w:bCs/>
                <w:color w:val="1F3864"/>
                <w:sz w:val="19"/>
                <w:szCs w:val="19"/>
              </w:rPr>
              <w:t xml:space="preserve">Phase 3  </w:t>
            </w:r>
            <w:r>
              <w:rPr>
                <w:rFonts w:ascii="Georgia" w:cs="Georgia" w:eastAsia="Georgia" w:hAnsi="Georgia"/>
                <w:b/>
                <w:bCs/>
                <w:color w:val="1A1A1A"/>
                <w:sz w:val="21"/>
                <w:szCs w:val="21"/>
              </w:rPr>
              <w:t xml:space="preserve">Review and Decision</w:t>
            </w:r>
          </w:p>
          <w:p>
            <w:pPr>
              <w:spacing w:before="0" w:after="60"/>
            </w:pPr>
            <w:r>
              <w:rPr>
                <w:rFonts w:ascii="Arial" w:cs="Arial" w:eastAsia="Arial" w:hAnsi="Arial"/>
                <w:b/>
                <w:bCs/>
                <w:color w:val="666666"/>
                <w:sz w:val="17"/>
                <w:szCs w:val="17"/>
              </w:rPr>
              <w:t xml:space="preserve">Who: </w:t>
            </w:r>
            <w:r>
              <w:rPr>
                <w:rFonts w:ascii="Arial" w:cs="Arial" w:eastAsia="Arial" w:hAnsi="Arial"/>
                <w:color w:val="444444"/>
                <w:sz w:val="17"/>
                <w:szCs w:val="17"/>
              </w:rPr>
              <w:t xml:space="preserve">G1, with G3 input where academic quality is involved</w:t>
            </w:r>
            <w:r>
              <w:rPr>
                <w:rFonts w:ascii="Arial" w:cs="Arial" w:eastAsia="Arial" w:hAnsi="Arial"/>
                <w:b/>
                <w:bCs/>
                <w:color w:val="666666"/>
                <w:sz w:val="17"/>
                <w:szCs w:val="17"/>
              </w:rPr>
              <w:t xml:space="preserve">   Duration: </w:t>
            </w:r>
            <w:r>
              <w:rPr>
                <w:rFonts w:ascii="Arial" w:cs="Arial" w:eastAsia="Arial" w:hAnsi="Arial"/>
                <w:color w:val="444444"/>
                <w:sz w:val="17"/>
                <w:szCs w:val="17"/>
              </w:rPr>
              <w:t xml:space="preserve">Within four weeks of activation</w:t>
            </w:r>
          </w:p>
          <w:p>
            <w:pPr>
              <w:pStyle w:val="ListParagraph"/>
              <w:numPr>
                <w:ilvl w:val="0"/>
                <w:numId w:val="2"/>
              </w:numPr>
              <w:spacing w:before="40" w:after="50"/>
            </w:pPr>
            <w:r>
              <w:rPr>
                <w:rFonts w:ascii="Georgia" w:cs="Georgia" w:eastAsia="Georgia" w:hAnsi="Georgia"/>
                <w:color w:val="1A1A1A"/>
                <w:sz w:val="22"/>
                <w:szCs w:val="22"/>
              </w:rPr>
              <w:t xml:space="preserve">G1 reviews the evidence, hears from the parties involved, and determines whether a constitutional breach has occurred or is at risk of occurring.</w:t>
            </w:r>
          </w:p>
          <w:p>
            <w:pPr>
              <w:pStyle w:val="ListParagraph"/>
              <w:numPr>
                <w:ilvl w:val="0"/>
                <w:numId w:val="2"/>
              </w:numPr>
              <w:spacing w:before="40" w:after="50"/>
            </w:pPr>
            <w:r>
              <w:rPr>
                <w:rFonts w:ascii="Georgia" w:cs="Georgia" w:eastAsia="Georgia" w:hAnsi="Georgia"/>
                <w:color w:val="1A1A1A"/>
                <w:sz w:val="22"/>
                <w:szCs w:val="22"/>
              </w:rPr>
              <w:t xml:space="preserve">G3 provides independent input on any academic quality dimensions. G2 provides operational context but does not participate in G1's deliberation if G2 is a party to the concern.</w:t>
            </w:r>
          </w:p>
          <w:p>
            <w:pPr>
              <w:pStyle w:val="ListParagraph"/>
              <w:numPr>
                <w:ilvl w:val="0"/>
                <w:numId w:val="2"/>
              </w:numPr>
              <w:spacing w:before="40" w:after="50"/>
            </w:pPr>
            <w:r>
              <w:rPr>
                <w:rFonts w:ascii="Georgia" w:cs="Georgia" w:eastAsia="Georgia" w:hAnsi="Georgia"/>
                <w:color w:val="1A1A1A"/>
                <w:sz w:val="22"/>
                <w:szCs w:val="22"/>
              </w:rPr>
              <w:t xml:space="preserve">G1 reaches one of three findings: no breach (concern addressed or unsubstantiated); risk of breach (corrective action directed to G2 with timeline); or confirmed breach (formal remediation required, with consequences defined under the Grundordnung).</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8786"/>
      </w:tblGrid>
      <w:tr>
        <w:tc>
          <w:tcPr>
            <w:tcW w:type="dxa" w:w="240"/>
            <w:tcBorders>
              <w:top w:val="none"/>
              <w:left w:val="none"/>
              <w:bottom w:val="none"/>
              <w:right w:val="none"/>
            </w:tcBorders>
            <w:shd w:fill="1A5C4A" w:val="clear"/>
            <w:tcMar>
              <w:top w:type="dxa" w:w="0"/>
              <w:left w:type="dxa" w:w="0"/>
              <w:bottom w:type="dxa" w:w="0"/>
              <w:right w:type="dxa" w:w="0"/>
            </w:tcMar>
          </w:tcPr>
          <w:p>
            <w:pPr>
              <w:jc w:val="center"/>
            </w:pPr>
            <w:r>
              <w:rPr>
                <w:rFonts w:ascii="Georgia" w:cs="Georgia" w:eastAsia="Georgia" w:hAnsi="Georgia"/>
                <w:b/>
                <w:bCs/>
                <w:color w:val="FFFFFF"/>
                <w:sz w:val="28"/>
                <w:szCs w:val="28"/>
              </w:rPr>
              <w:t xml:space="preserve">4</w:t>
            </w:r>
          </w:p>
        </w:tc>
        <w:tc>
          <w:tcPr>
            <w:tcW w:type="dxa" w:w="8786"/>
            <w:tcBorders>
              <w:top w:val="none"/>
              <w:left w:val="none"/>
              <w:bottom w:val="none"/>
              <w:right w:val="none"/>
            </w:tcBorders>
            <w:shd w:fill="F4F7FA" w:val="clear"/>
            <w:tcMar>
              <w:top w:type="dxa" w:w="120"/>
              <w:left w:type="dxa" w:w="220"/>
              <w:bottom w:type="dxa" w:w="120"/>
              <w:right w:type="dxa" w:w="160"/>
            </w:tcMar>
          </w:tcPr>
          <w:p>
            <w:pPr>
              <w:spacing w:before="0" w:after="50"/>
            </w:pPr>
            <w:r>
              <w:rPr>
                <w:rFonts w:ascii="Arial" w:cs="Arial" w:eastAsia="Arial" w:hAnsi="Arial"/>
                <w:b/>
                <w:bCs/>
                <w:color w:val="1A5C4A"/>
                <w:sz w:val="19"/>
                <w:szCs w:val="19"/>
              </w:rPr>
              <w:t xml:space="preserve">Phase 4  </w:t>
            </w:r>
            <w:r>
              <w:rPr>
                <w:rFonts w:ascii="Georgia" w:cs="Georgia" w:eastAsia="Georgia" w:hAnsi="Georgia"/>
                <w:b/>
                <w:bCs/>
                <w:color w:val="1A1A1A"/>
                <w:sz w:val="21"/>
                <w:szCs w:val="21"/>
              </w:rPr>
              <w:t xml:space="preserve">Communication and Learning</w:t>
            </w:r>
          </w:p>
          <w:p>
            <w:pPr>
              <w:spacing w:before="0" w:after="60"/>
            </w:pPr>
            <w:r>
              <w:rPr>
                <w:rFonts w:ascii="Arial" w:cs="Arial" w:eastAsia="Arial" w:hAnsi="Arial"/>
                <w:b/>
                <w:bCs/>
                <w:color w:val="666666"/>
                <w:sz w:val="17"/>
                <w:szCs w:val="17"/>
              </w:rPr>
              <w:t xml:space="preserve">Who: </w:t>
            </w:r>
            <w:r>
              <w:rPr>
                <w:rFonts w:ascii="Arial" w:cs="Arial" w:eastAsia="Arial" w:hAnsi="Arial"/>
                <w:color w:val="444444"/>
                <w:sz w:val="17"/>
                <w:szCs w:val="17"/>
              </w:rPr>
              <w:t xml:space="preserve">G1, Academic Senate</w:t>
            </w:r>
            <w:r>
              <w:rPr>
                <w:rFonts w:ascii="Arial" w:cs="Arial" w:eastAsia="Arial" w:hAnsi="Arial"/>
                <w:b/>
                <w:bCs/>
                <w:color w:val="666666"/>
                <w:sz w:val="17"/>
                <w:szCs w:val="17"/>
              </w:rPr>
              <w:t xml:space="preserve">   Duration: </w:t>
            </w:r>
            <w:r>
              <w:rPr>
                <w:rFonts w:ascii="Arial" w:cs="Arial" w:eastAsia="Arial" w:hAnsi="Arial"/>
                <w:color w:val="444444"/>
                <w:sz w:val="17"/>
                <w:szCs w:val="17"/>
              </w:rPr>
              <w:t xml:space="preserve">Within one week of decision</w:t>
            </w:r>
          </w:p>
          <w:p>
            <w:pPr>
              <w:pStyle w:val="ListParagraph"/>
              <w:numPr>
                <w:ilvl w:val="0"/>
                <w:numId w:val="2"/>
              </w:numPr>
              <w:spacing w:before="40" w:after="50"/>
            </w:pPr>
            <w:r>
              <w:rPr>
                <w:rFonts w:ascii="Georgia" w:cs="Georgia" w:eastAsia="Georgia" w:hAnsi="Georgia"/>
                <w:color w:val="1A1A1A"/>
                <w:sz w:val="22"/>
                <w:szCs w:val="22"/>
              </w:rPr>
              <w:t xml:space="preserve">The outcome of the Constitutional Concern Protocol is communicated to all governance participants in summary form — the nature of the concern (anonymised where appropriate), the finding, and the action taken.</w:t>
            </w:r>
          </w:p>
          <w:p>
            <w:pPr>
              <w:pStyle w:val="ListParagraph"/>
              <w:numPr>
                <w:ilvl w:val="0"/>
                <w:numId w:val="2"/>
              </w:numPr>
              <w:spacing w:before="40" w:after="50"/>
            </w:pPr>
            <w:r>
              <w:rPr>
                <w:rFonts w:ascii="Georgia" w:cs="Georgia" w:eastAsia="Georgia" w:hAnsi="Georgia"/>
                <w:color w:val="1A1A1A"/>
                <w:sz w:val="22"/>
                <w:szCs w:val="22"/>
              </w:rPr>
              <w:t xml:space="preserve">Confirmed breaches and risk-of-breach findings are included in the annual Mission Integrity Report.</w:t>
            </w:r>
          </w:p>
          <w:p>
            <w:pPr>
              <w:pStyle w:val="ListParagraph"/>
              <w:numPr>
                <w:ilvl w:val="0"/>
                <w:numId w:val="2"/>
              </w:numPr>
              <w:spacing w:before="40" w:after="50"/>
            </w:pPr>
            <w:r>
              <w:rPr>
                <w:rFonts w:ascii="Georgia" w:cs="Georgia" w:eastAsia="Georgia" w:hAnsi="Georgia"/>
                <w:color w:val="1A1A1A"/>
                <w:sz w:val="22"/>
                <w:szCs w:val="22"/>
              </w:rPr>
              <w:t xml:space="preserve">Each activation of the Constitutional Concern Protocol, regardless of outcome, is reviewed at the end of the year as part of the institutional learning cycle: what conditions allowed this concern to arise? what early signals were missed? what governance mechanism should have caught this earlier?</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VI.  Lateral Information Flow Between Committees</w:t>
      </w:r>
    </w:p>
    <w:p>
      <w:pPr>
        <w:spacing w:before="0" w:after="185"/>
        <w:ind/>
        <w:jc w:val="both"/>
      </w:pPr>
      <w:r>
        <w:rPr>
          <w:rFonts w:ascii="Georgia" w:cs="Georgia" w:eastAsia="Georgia" w:hAnsi="Georgia"/>
          <w:b w:val="false"/>
          <w:bCs w:val="false"/>
          <w:i w:val="false"/>
          <w:iCs w:val="false"/>
          <w:color w:val="1A1A1A"/>
          <w:sz w:val="23"/>
          <w:szCs w:val="23"/>
        </w:rPr>
        <w:t xml:space="preserve">The feedback architecture is not only vertical. Committees at the same governance layer — Senate committees, Mission Hubs, programme committees — frequently hold information that is relevant to each other but has no natural mechanism for crossing committee boundaries. This section specifies the lateral flow mechanisms.</w:t>
      </w:r>
    </w:p>
    <w:p>
      <w:pPr>
        <w:spacing w:before="0" w:after="80"/>
      </w:pPr>
    </w:p>
    <w:p>
      <w:pPr>
        <w:pStyle w:val="Heading2"/>
        <w:spacing w:before="320" w:after="100"/>
      </w:pPr>
      <w:r>
        <w:rPr>
          <w:rFonts w:ascii="Georgia" w:cs="Georgia" w:eastAsia="Georgia" w:hAnsi="Georgia"/>
          <w:b/>
          <w:bCs/>
          <w:color w:val="2E75B6"/>
          <w:sz w:val="25"/>
          <w:szCs w:val="25"/>
        </w:rPr>
        <w:t xml:space="preserve">The Shared Findings Register</w:t>
      </w:r>
    </w:p>
    <w:p>
      <w:pPr>
        <w:spacing w:before="0" w:after="185"/>
        <w:ind/>
        <w:jc w:val="both"/>
      </w:pPr>
      <w:r>
        <w:rPr>
          <w:rFonts w:ascii="Georgia" w:cs="Georgia" w:eastAsia="Georgia" w:hAnsi="Georgia"/>
          <w:b w:val="false"/>
          <w:bCs w:val="false"/>
          <w:i w:val="false"/>
          <w:iCs w:val="false"/>
          <w:color w:val="1A1A1A"/>
          <w:sz w:val="23"/>
          <w:szCs w:val="23"/>
        </w:rPr>
        <w:t xml:space="preserve">The Academic Senate maintains a Shared Findings Register — a structured document, updated each semester, that captures significant findings from all G3-level committees and makes them accessible to all other G3 bodies. The Register does not contain confidential individual cases; it contains aggregated and anonymised patterns.</w:t>
      </w:r>
    </w:p>
    <w:p>
      <w:pPr>
        <w:spacing w:before="0" w:after="185"/>
        <w:ind/>
        <w:jc w:val="both"/>
      </w:pPr>
      <w:r>
        <w:rPr>
          <w:rFonts w:ascii="Georgia" w:cs="Georgia" w:eastAsia="Georgia" w:hAnsi="Georgia"/>
          <w:b w:val="false"/>
          <w:bCs w:val="false"/>
          <w:i w:val="false"/>
          <w:iCs w:val="false"/>
          <w:color w:val="1A1A1A"/>
          <w:sz w:val="23"/>
          <w:szCs w:val="23"/>
        </w:rPr>
        <w:t xml:space="preserve">Each committee contributes to the Register at the end of each semester by submitting a brief (one paragraph) summary of: the most significant finding from their work this semester; any issue that other committees should be aware of; and any question that would benefit from cross-committee discussion.</w:t>
      </w:r>
    </w:p>
    <w:p>
      <w:pPr>
        <w:spacing w:before="0" w:after="80"/>
      </w:pPr>
    </w:p>
    <w:p>
      <w:pPr>
        <w:pStyle w:val="Heading2"/>
        <w:spacing w:before="320" w:after="100"/>
      </w:pPr>
      <w:r>
        <w:rPr>
          <w:rFonts w:ascii="Georgia" w:cs="Georgia" w:eastAsia="Georgia" w:hAnsi="Georgia"/>
          <w:b/>
          <w:bCs/>
          <w:color w:val="2E75B6"/>
          <w:sz w:val="25"/>
          <w:szCs w:val="25"/>
        </w:rPr>
        <w:t xml:space="preserve">The Cross-Committee Coordination Session</w:t>
      </w:r>
    </w:p>
    <w:p>
      <w:pPr>
        <w:spacing w:before="0" w:after="185"/>
        <w:ind/>
        <w:jc w:val="both"/>
      </w:pPr>
      <w:r>
        <w:rPr>
          <w:rFonts w:ascii="Georgia" w:cs="Georgia" w:eastAsia="Georgia" w:hAnsi="Georgia"/>
          <w:b w:val="false"/>
          <w:bCs w:val="false"/>
          <w:i w:val="false"/>
          <w:iCs w:val="false"/>
          <w:color w:val="1A1A1A"/>
          <w:sz w:val="23"/>
          <w:szCs w:val="23"/>
        </w:rPr>
        <w:t xml:space="preserve">Once per semester, chaired by the Academic Senate Chair, a two-hour Cross-Committee Coordination Session brings together the chairs of all active G3 committees and Mission Hub leads. The agenda is structured around the Shared Findings Register: what patterns are visible across committees? what issues require coordination rather than individual committee response? what information needs to be shared before the next G2 strategic review?</w:t>
      </w:r>
    </w:p>
    <w:p>
      <w:pPr>
        <w:spacing w:before="0" w:after="185"/>
        <w:ind/>
        <w:jc w:val="both"/>
      </w:pPr>
      <w:r>
        <w:rPr>
          <w:rFonts w:ascii="Georgia" w:cs="Georgia" w:eastAsia="Georgia" w:hAnsi="Georgia"/>
          <w:b w:val="false"/>
          <w:bCs w:val="false"/>
          <w:i w:val="false"/>
          <w:iCs w:val="false"/>
          <w:color w:val="1A1A1A"/>
          <w:sz w:val="23"/>
          <w:szCs w:val="23"/>
        </w:rPr>
        <w:t xml:space="preserve">The session is not a decision-making body. It is an information exchange and pattern-recognition forum. Decisions that emerge from it are referred to the appropriate committee or to the full Senate for formal action.</w:t>
      </w:r>
    </w:p>
    <w:p>
      <w:pPr>
        <w:spacing w:before="0" w:after="200"/>
      </w:pPr>
    </w:p>
    <w:p>
      <w:pPr>
        <w:pBdr>
          <w:bottom w:val="single" w:color="2E75B6" w:sz="4" w:space="1"/>
        </w:pBd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feedback architecture described in this Protocol is the circulatory system of institutional governance. Without it, the governance organs function — but not together. With it, a finding at G4 level can reach G2 in time to inform a decision, and a constitutional concern can reach G1 before it becomes a crisis. This is what it means for governance to be a learning system rather than a control system.</w:t>
            </w:r>
          </w:p>
        </w:tc>
      </w:tr>
    </w:tbl>
    <w:p>
      <w:pPr>
        <w:spacing w:before="0" w:after="200"/>
      </w:pPr>
    </w:p>
    <w:p>
      <w:pPr>
        <w:pBdr>
          <w:bottom w:val="single" w:color="CCCCCC" w:sz="2" w:space="1"/>
        </w:pBdr>
        <w:spacing w:before="200" w:after="200"/>
      </w:pPr>
    </w:p>
    <w:p>
      <w:pPr>
        <w:spacing w:before="160" w:after="0"/>
        <w:jc w:val="right"/>
      </w:pPr>
      <w:r>
        <w:rPr>
          <w:rFonts w:ascii="Arial" w:cs="Arial" w:eastAsia="Arial" w:hAnsi="Arial"/>
          <w:i/>
          <w:iCs/>
          <w:color w:val="BBBBBB"/>
          <w:sz w:val="17"/>
          <w:szCs w:val="17"/>
        </w:rPr>
        <w:t xml:space="preserve">Open University of Germany  ·  Inter-Layer Feedback Protocol  ·  Institutional Governance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abstractNum w:abstractNumId="3" w15:restartNumberingAfterBreak="0">
    <w:multiLevelType w:val="hybridMultilevel"/>
    <w:lvl w:ilvl="0" w15:tentative="1">
      <w:start w:val="1"/>
      <w:numFmt w:val="decimal"/>
      <w:lvlText w:val="%1."/>
      <w:lvlJc w:val="left"/>
      <w:pPr>
        <w:ind w:left="560" w:hanging="280"/>
      </w:pPr>
      <w:rPr>
        <w:rFonts w:ascii="Georgia" w:cs="Georgia" w:eastAsia="Georgia" w:hAnsi="Georgia"/>
        <w:b/>
        <w:bCs/>
        <w:color w:val="1F3864"/>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2026-03-19T20:01:59.253Z</dcterms:created>
  <dcterms:modified xsi:type="dcterms:W3CDTF">2026-03-19T20:01:59.254Z</dcterms:modified>
</cp:coreProperties>
</file>

<file path=docProps/custom.xml><?xml version="1.0" encoding="utf-8"?>
<Properties xmlns="http://schemas.openxmlformats.org/officeDocument/2006/custom-properties" xmlns:vt="http://schemas.openxmlformats.org/officeDocument/2006/docPropsVTypes"/>
</file>