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8E1" w:val="clear"/>
            <w:tcMar>
              <w:top w:type="dxa" w:w="110"/>
              <w:left w:type="dxa" w:w="240"/>
              <w:bottom w:type="dxa" w:w="11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A4A00"/>
                <w:sz w:val="16"/>
                <w:szCs w:val="16"/>
              </w:rPr>
              <w:t xml:space="preserve">⚠  Rechtlicher Hinweis: 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Strukturierte Rechtsargumentation auf Basis öffentlich zugänglicher Rechtsnormen — kein anwaltliches Gutachten. Vor Akkreditierungseinreichung durch spezialisierten Hochschulrechtler prüfen lassen.</w:t>
            </w:r>
          </w:p>
        </w:tc>
      </w:tr>
    </w:tbl>
    <w:p>
      <w:pPr>
        <w:spacing w:after="80" w:before="0"/>
      </w:pPr>
    </w:p>
    <w:p>
      <w:pPr>
        <w:spacing w:after="50" w:before="0"/>
      </w:pPr>
      <w:r>
        <w:rPr>
          <w:rFonts w:ascii="Arial" w:cs="Arial" w:eastAsia="Arial" w:hAnsi="Arial"/>
          <w:b/>
          <w:bCs/>
          <w:caps/>
          <w:color w:val="2E75B6"/>
          <w:sz w:val="17"/>
          <w:szCs w:val="17"/>
        </w:rPr>
        <w:t xml:space="preserve">OPEN UNIVERSITY OF GERMANY  ·  AKKREDITIERUNGSDOKUMENT</w:t>
      </w:r>
    </w:p>
    <w:p>
      <w:pPr>
        <w:spacing w:after="50" w:before="0"/>
      </w:pPr>
      <w:r>
        <w:rPr>
          <w:rFonts w:ascii="Arial" w:cs="Arial" w:eastAsia="Arial" w:hAnsi="Arial"/>
          <w:color w:val="AAAAAA"/>
          <w:sz w:val="17"/>
          <w:szCs w:val="17"/>
        </w:rPr>
        <w:t xml:space="preserve">Rechtliche Implementierungsvoraussetzungen  ·  2026</w:t>
      </w:r>
    </w:p>
    <w:p>
      <w:pPr>
        <w:pBdr>
          <w:bottom w:val="single" w:color="2E75B6" w:sz="10" w:space="1"/>
        </w:pBdr>
        <w:spacing w:after="280" w:before="0"/>
      </w:pPr>
    </w:p>
    <w:p>
      <w:pPr>
        <w:spacing w:after="40" w:before="0"/>
      </w:pPr>
      <w:r>
        <w:rPr>
          <w:rFonts w:ascii="Georgia" w:cs="Georgia" w:eastAsia="Georgia" w:hAnsi="Georgia"/>
          <w:b/>
          <w:bCs/>
          <w:color w:val="0D1F3C"/>
          <w:sz w:val="38"/>
          <w:szCs w:val="38"/>
        </w:rPr>
        <w:t xml:space="preserve">Rechtliche Implementierungsvoraussetzungen</w:t>
      </w:r>
    </w:p>
    <w:p>
      <w:pPr>
        <w:spacing w:after="280" w:before="0"/>
      </w:pPr>
      <w:r>
        <w:rPr>
          <w:rFonts w:ascii="Georgia" w:cs="Georgia" w:eastAsia="Georgia" w:hAnsi="Georgia"/>
          <w:i/>
          <w:iCs/>
          <w:color w:val="1F3864"/>
          <w:sz w:val="24"/>
          <w:szCs w:val="24"/>
        </w:rPr>
        <w:t xml:space="preserve">Sieben rechtliche Themen die vor Betriebsaufnahme geregelt sein müssen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4F7FA" w:val="clear"/>
            <w:tcMar>
              <w:top w:type="dxa" w:w="190"/>
              <w:left w:type="dxa" w:w="280"/>
              <w:bottom w:type="dxa" w:w="190"/>
              <w:right w:type="dxa" w:w="28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Zweck und Abgrenzung</w:t>
            </w:r>
          </w:p>
          <w:p>
            <w:pPr>
              <w:spacing w:after="90" w:before="0"/>
              <w:jc w:val="both"/>
            </w:pPr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Dieses Dokument behandelt die sieben konkreten rechtlichen Implementierungsvoraussetzungen der Open University of Germany (OUG). Es setzt das Allgemeinwohldokument (OUG_Allgemeinwohl_Verfassung.docx) voraus, fasst dessen Kernaussage aber in Abschnitt I knapp zusammen sodass dieses Dokument eigenständig lesbar ist. Für eine vollständige Darstellung der Allgemeinwohlverfassung — mit allen Rechtsnormen, Urteilstexten und Stakeholder-Karten — wird auf das Hauptdokument verwiesen.</w:t>
            </w:r>
          </w:p>
          <w:p>
            <w:pPr>
              <w:spacing w:after="0" w:before="0"/>
              <w:jc w:val="both"/>
            </w:pPr>
            <w:r>
              <w:rPr>
                <w:rFonts w:ascii="Georgia" w:cs="Georgia" w:eastAsia="Georgia" w:hAnsi="Georgia"/>
                <w:i/>
                <w:iCs/>
                <w:color w:val="4A5568"/>
                <w:sz w:val="22"/>
                <w:szCs w:val="22"/>
              </w:rPr>
              <w:t xml:space="preserve">Dieses Dokument ist primär für die Akkreditierung, für Ministeriumsgespräche und für die eigene Rechtsberatung bestimmt. Es beantwortet die Frage: Was muss rechtlich geregelt sein, bevor die OUG ihren Betrieb aufnimmt?</w:t>
            </w:r>
          </w:p>
        </w:tc>
      </w:tr>
    </w:tbl>
    <w:p>
      <w:pPr>
        <w:spacing w:after="280" w:before="0"/>
      </w:pPr>
    </w:p>
    <w:p>
      <w:pPr>
        <w:pStyle w:val="Heading1"/>
        <w:spacing w:after="140" w:before="480"/>
      </w:pPr>
      <w:r>
        <w:rPr>
          <w:rFonts w:ascii="Georgia" w:cs="Georgia" w:eastAsia="Georgia" w:hAnsi="Georgia"/>
          <w:b/>
          <w:bCs/>
          <w:color w:val="1F3864"/>
          <w:sz w:val="30"/>
          <w:szCs w:val="30"/>
        </w:rPr>
        <w:t xml:space="preserve">Übersicht — Sieben Rechtspunkte</w:t>
      </w:r>
    </w:p>
    <w:p>
      <w:pPr>
        <w:spacing w:after="80" w:before="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3"/>
          <w:szCs w:val="23"/>
        </w:rPr>
        <w:t xml:space="preserve">Die folgende Tabelle zeigt alle sieben Rechtspunkte mit Bearbeitungsstatus und zeitlicher Priorität. Alle müssen vor Betriebsaufnahme der OUG geregelt sein; die ersten vier müssen vor dem ersten Partnervertrag vorliegen.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2400"/>
        <w:gridCol w:w="3226"/>
      </w:tblGrid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0D1F3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Nr.</w:t>
            </w:r>
          </w:p>
        </w:tc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  <w:shd w:fill="0D1F3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Rechtspunkt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D1F3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3226"/>
            <w:tcBorders>
              <w:top w:val="none"/>
              <w:left w:val="none"/>
              <w:bottom w:val="none"/>
              <w:right w:val="none"/>
            </w:tcBorders>
            <w:shd w:fill="0D1F3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Zeitliche Priorität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Allgemeinwohlverfassung und Betrauungsakt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4A00"/>
                <w:sz w:val="15"/>
                <w:szCs w:val="15"/>
              </w:rPr>
              <w:t xml:space="preserve">◑ In Vorbereitung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4A5568"/>
                <w:sz w:val="19"/>
                <w:szCs w:val="19"/>
              </w:rPr>
              <w:t xml:space="preserve">Vor erster Partnervertragsverhandlung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Staatliche Anerkennung §§ 70ff. LHG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4A00"/>
                <w:sz w:val="15"/>
                <w:szCs w:val="15"/>
              </w:rPr>
              <w:t xml:space="preserve">◑ In Vorbereitung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4A5568"/>
                <w:sz w:val="19"/>
                <w:szCs w:val="19"/>
              </w:rPr>
              <w:t xml:space="preserve">Vor Akkreditierungsantrag — kritischer Pfad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Kapazitätswirksamkeit und Lehrpersonalmodell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4A00"/>
                <w:sz w:val="15"/>
                <w:szCs w:val="15"/>
              </w:rPr>
              <w:t xml:space="preserve">◑ In Vorbereitung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4A5568"/>
                <w:sz w:val="19"/>
                <w:szCs w:val="19"/>
              </w:rPr>
              <w:t xml:space="preserve">Vor erstem Partnervertrag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4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Prüfungsrecht und Prüfungshoheit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0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5"/>
                <w:szCs w:val="15"/>
              </w:rPr>
              <w:t xml:space="preserve">○ Offen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4A5568"/>
                <w:sz w:val="19"/>
                <w:szCs w:val="19"/>
              </w:rPr>
              <w:t xml:space="preserve">Vor erstem Partnervertrag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Datenschutz im Föderationsmodell (DSGVO)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0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5"/>
                <w:szCs w:val="15"/>
              </w:rPr>
              <w:t xml:space="preserve">○ Offen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4A5568"/>
                <w:sz w:val="19"/>
                <w:szCs w:val="19"/>
              </w:rPr>
              <w:t xml:space="preserve">Vor Plattformstart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6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Urheberrecht an Modulen und Materialien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0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5"/>
                <w:szCs w:val="15"/>
              </w:rPr>
              <w:t xml:space="preserve">○ Offen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4A5568"/>
                <w:sz w:val="19"/>
                <w:szCs w:val="19"/>
              </w:rPr>
              <w:t xml:space="preserve">Vor erstem Lehrauftrag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7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Akkreditierungsfähigkeit des Föderationsmodells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4A00"/>
                <w:sz w:val="15"/>
                <w:szCs w:val="15"/>
              </w:rPr>
              <w:t xml:space="preserve">◑ In Vorbereitung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4A5568"/>
                <w:sz w:val="19"/>
                <w:szCs w:val="19"/>
              </w:rPr>
              <w:t xml:space="preserve">Parallel zum Akkreditierungsantrag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40" w:before="480"/>
      </w:pPr>
      <w:r>
        <w:rPr>
          <w:rFonts w:ascii="Georgia" w:cs="Georgia" w:eastAsia="Georgia" w:hAnsi="Georgia"/>
          <w:b/>
          <w:bCs/>
          <w:color w:val="1F3864"/>
          <w:sz w:val="30"/>
          <w:szCs w:val="30"/>
        </w:rPr>
        <w:t xml:space="preserve">I.  Die Allgemeinwohlverfassung — Kurzfassung</w:t>
      </w:r>
    </w:p>
    <w:p>
      <w:pPr>
        <w:spacing w:after="185" w:before="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3"/>
          <w:szCs w:val="23"/>
        </w:rPr>
        <w:t xml:space="preserve">Dieser Abschnitt fasst die Kernaussage des Hauptdokuments zusammen. Für eine vollständige Darstellung aller Rechtsnormen, Urteilstexte, die Kostenkalkulationstabelle und die Stakeholder-Karten wird auf OUG_Allgemeinwohl_Verfassung.docx verwiesen.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D1F3C" w:val="clear"/>
            <w:tcMar>
              <w:top w:type="dxa" w:w="100"/>
              <w:left w:type="dxa" w:w="220"/>
              <w:bottom w:type="dxa" w:w="10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Rechtspunkt 1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Allgemeinwohlverfassung und Betrauungsakt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DF6EC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7A4A00"/>
                <w:sz w:val="15"/>
                <w:szCs w:val="15"/>
              </w:rPr>
              <w:t xml:space="preserve">◑ In Vorbereitung — Betrauungsakt noch nicht erteilt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220"/>
              <w:bottom w:type="dxa" w:w="90"/>
              <w:right w:type="dxa" w:w="180"/>
            </w:tcMar>
          </w:tcPr>
          <w:p>
            <w:pPr>
              <w:spacing w:after="45" w:before="0"/>
            </w:pPr>
            <w:r>
              <w:rPr>
                <w:rFonts w:ascii="Arial" w:cs="Arial" w:eastAsia="Arial" w:hAnsi="Arial"/>
                <w:b/>
                <w:bCs/>
                <w:caps/>
                <w:color w:val="8B1A1A"/>
                <w:sz w:val="15"/>
                <w:szCs w:val="15"/>
              </w:rPr>
              <w:t xml:space="preserve">Das Problem</w:t>
            </w:r>
          </w:p>
          <w:p>
            <w:pPr>
              <w:spacing w:after="0" w:before="0"/>
              <w:jc w:val="both"/>
            </w:pPr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Die OUG kombiniert öffentliche Förderung, Ressourcen aus der Hochschulföderierung und einen Kostenbeitrag von €25/ECTS. Diese Kombination ist wettbewerbs- und beihilferechtlich nur zulässig wenn die OUG nicht als wirtschaftliches Unternehmen agiert, sondern als Einrichtung des Allgemeinwohls — als Erbringerin einer Dienstleistung von allgemeinem wirtschaftlichem Interesse (DAWI), die der Markt für die Zielgruppe nicht erbringt.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EF4FB" w:val="clear"/>
            <w:tcMar>
              <w:top w:type="dxa" w:w="100"/>
              <w:left w:type="dxa" w:w="220"/>
              <w:bottom w:type="dxa" w:w="90"/>
              <w:right w:type="dxa" w:w="180"/>
            </w:tcMar>
          </w:tcPr>
          <w:p>
            <w:pPr>
              <w:spacing w:after="45" w:before="0"/>
            </w:pPr>
            <w:r>
              <w:rPr>
                <w:rFonts w:ascii="Arial" w:cs="Arial" w:eastAsia="Arial" w:hAnsi="Arial"/>
                <w:b/>
                <w:bCs/>
                <w:caps/>
                <w:color w:val="2E75B6"/>
                <w:sz w:val="15"/>
                <w:szCs w:val="15"/>
              </w:rPr>
              <w:t xml:space="preserve">Relevante Rechtsgrundlagen</w:t>
            </w:r>
          </w:p>
          <w:p>
            <w:pPr>
              <w:spacing w:after="0" w:before="0"/>
              <w:jc w:val="both"/>
            </w:pPr>
            <w:r>
              <w:rPr>
                <w:rFonts w:ascii="Georgia" w:cs="Georgia" w:eastAsia="Georgia" w:hAnsi="Georgia"/>
                <w:i/>
                <w:iCs/>
                <w:color w:val="4A5568"/>
                <w:sz w:val="22"/>
                <w:szCs w:val="22"/>
              </w:rPr>
              <w:t xml:space="preserve">Art. 107 Abs. 1 AEUV (Beihilfeverbot — gilt nicht für Nicht-Unternehmen) · Art. 106 Abs. 2 AEUV (DAWI-Ausnahme) · EuGH Humbel 1988 / Wirth 1993 (Bildung als nicht-wirtschaftliche Tätigkeit) · EuGH Altmark 2003 (vier Kriterien für beihilfefreie Förderung) · Beschluss 2012/21/EU (DAWI-Beschluss) · § 52 AO (Gemeinnützigkeit)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220"/>
              <w:bottom w:type="dxa" w:w="90"/>
              <w:right w:type="dxa" w:w="180"/>
            </w:tcMar>
          </w:tcPr>
          <w:p>
            <w:pPr>
              <w:spacing w:after="45" w:before="0"/>
            </w:pPr>
            <w:r>
              <w:rPr>
                <w:rFonts w:ascii="Arial" w:cs="Arial" w:eastAsia="Arial" w:hAnsi="Arial"/>
                <w:b/>
                <w:bCs/>
                <w:caps/>
                <w:color w:val="1A5C4A"/>
                <w:sz w:val="15"/>
                <w:szCs w:val="15"/>
              </w:rPr>
              <w:t xml:space="preserve">Die OUG-Lösung</w:t>
            </w:r>
          </w:p>
          <w:p>
            <w:pPr>
              <w:spacing w:after="0" w:before="0"/>
              <w:jc w:val="both"/>
            </w:pPr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Die OUG konstituiert sich als gemeinnützige Körperschaft (§ 52 AO). Das Landesministerium erteilt einen formellen Betrauungsakt der die OUG mit der Erbringung einer gemeinwirtschaftlichen Verpflichtung betraut. Die €25/ECTS sind kein Marktpreis sondern ein Kostenbeitrag — die Kalkulation weist Vollkostendeckung nach. Eine transparente, jährlich geprüfte Kostenrechnung schließt den Vorwurf der verdeckten Subventionierung aus.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AF5EE" w:val="clear"/>
            <w:tcMar>
              <w:top w:type="dxa" w:w="100"/>
              <w:left w:type="dxa" w:w="220"/>
              <w:bottom w:type="dxa" w:w="110"/>
              <w:right w:type="dxa" w:w="180"/>
            </w:tcMar>
          </w:tcPr>
          <w:p>
            <w:pPr>
              <w:spacing w:after="45" w:before="0"/>
            </w:pPr>
            <w:r>
              <w:rPr>
                <w:rFonts w:ascii="Arial" w:cs="Arial" w:eastAsia="Arial" w:hAnsi="Arial"/>
                <w:b/>
                <w:bCs/>
                <w:caps/>
                <w:color w:val="1A5C4A"/>
                <w:sz w:val="15"/>
                <w:szCs w:val="15"/>
              </w:rPr>
              <w:t xml:space="preserve">Konkrete Umsetzungsschritte</w:t>
            </w:r>
          </w:p>
          <w:p>
            <w:pPr>
              <w:spacing w:after="0" w:before="0"/>
              <w:jc w:val="both"/>
            </w:pPr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1. Satzung mit Allgemeinwohlzweck, Selbstlosigkeitsgebot und Vermögensbindungsklausel erstellen · 2. Freistellungsbescheid beim Finanzamt beantragen (§ 52 AO) · 3. Betrauungsakt mit MWK BW verhandeln und erlassen · 4. Kostenstrukturanalyse durch Wirtschaftsprüfer bestätigen lassen · 5. Jährlichen Allgemeinwohlbericht als Governance-Pflichtpunkt verankern. → Vollständige Darstellung: OUG_Allgemeinwohl_Verfassung.docx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40" w:before="480"/>
      </w:pPr>
      <w:r>
        <w:rPr>
          <w:rFonts w:ascii="Georgia" w:cs="Georgia" w:eastAsia="Georgia" w:hAnsi="Georgia"/>
          <w:b/>
          <w:bCs/>
          <w:color w:val="1F3864"/>
          <w:sz w:val="30"/>
          <w:szCs w:val="30"/>
        </w:rPr>
        <w:t xml:space="preserve">II.  Staatliche Anerkennung nach §§ 70ff. LHG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D1F3C" w:val="clear"/>
            <w:tcMar>
              <w:top w:type="dxa" w:w="100"/>
              <w:left w:type="dxa" w:w="220"/>
              <w:bottom w:type="dxa" w:w="10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Rechtspunkt 2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Staatliche Anerkennung als Hochschule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DF6EC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7A4A00"/>
                <w:sz w:val="15"/>
                <w:szCs w:val="15"/>
              </w:rPr>
              <w:t xml:space="preserve">◑ In Vorbereitung — Rechtsgutachten noch nicht beauftragt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220"/>
              <w:bottom w:type="dxa" w:w="90"/>
              <w:right w:type="dxa" w:w="180"/>
            </w:tcMar>
          </w:tcPr>
          <w:p>
            <w:pPr>
              <w:spacing w:after="45" w:before="0"/>
            </w:pPr>
            <w:r>
              <w:rPr>
                <w:rFonts w:ascii="Arial" w:cs="Arial" w:eastAsia="Arial" w:hAnsi="Arial"/>
                <w:b/>
                <w:bCs/>
                <w:caps/>
                <w:color w:val="8B1A1A"/>
                <w:sz w:val="15"/>
                <w:szCs w:val="15"/>
              </w:rPr>
              <w:t xml:space="preserve">Das Problem</w:t>
            </w:r>
          </w:p>
          <w:p>
            <w:pPr>
              <w:spacing w:after="0" w:before="0"/>
              <w:jc w:val="both"/>
            </w:pPr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Die OUG kann nur dann akkreditierungsfähige Bachelor-Abschlüsse verleihen wenn sie staatlich als Hochschule anerkannt ist. Die staatliche Anerkennung nach §§ 70ff. LHG BW ist der kritische Pfad: Ohne sie sind alle anderen rechtlichen Konstruktionen — Allgemeinwohlverfassung, Partnerverträge, Akkreditierungsantrag — wirkungslos. Das Problem: Die Anerkennungskriterien des LHG wurden für traditionelle Präsenzhochschulen entwickelt. Eine campus-freie, föderierte Hochschule ohne eigenes hauptberufliches Lehrpersonal in klassischem Sinne muss argumentieren, dass sie die Anerkennungsvoraussetzungen erfüllt — oder eine Ausnahmeregelung beanspruchen.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EF4FB" w:val="clear"/>
            <w:tcMar>
              <w:top w:type="dxa" w:w="100"/>
              <w:left w:type="dxa" w:w="220"/>
              <w:bottom w:type="dxa" w:w="90"/>
              <w:right w:type="dxa" w:w="180"/>
            </w:tcMar>
          </w:tcPr>
          <w:p>
            <w:pPr>
              <w:spacing w:after="45" w:before="0"/>
            </w:pPr>
            <w:r>
              <w:rPr>
                <w:rFonts w:ascii="Arial" w:cs="Arial" w:eastAsia="Arial" w:hAnsi="Arial"/>
                <w:b/>
                <w:bCs/>
                <w:caps/>
                <w:color w:val="2E75B6"/>
                <w:sz w:val="15"/>
                <w:szCs w:val="15"/>
              </w:rPr>
              <w:t xml:space="preserve">Relevante Rechtsgrundlagen</w:t>
            </w:r>
          </w:p>
          <w:p>
            <w:pPr>
              <w:spacing w:after="0" w:before="0"/>
              <w:jc w:val="both"/>
            </w:pPr>
            <w:r>
              <w:rPr>
                <w:rFonts w:ascii="Georgia" w:cs="Georgia" w:eastAsia="Georgia" w:hAnsi="Georgia"/>
                <w:i/>
                <w:iCs/>
                <w:color w:val="4A5568"/>
                <w:sz w:val="22"/>
                <w:szCs w:val="22"/>
              </w:rPr>
              <w:t xml:space="preserve">§ 70 LHG BW (Voraussetzungen staatlicher Anerkennung) · § 71 LHG BW (Verfahren) · § 4 LHG BW (Hochschularten) · § 68 LHG BW (Nichtstaatliche Hochschulen) · Hochschulzulassungsgesetz BW · Beurteilungsspielraum des MWK bei der Auslegung von 'ausreichender Ausstattung'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220"/>
              <w:bottom w:type="dxa" w:w="90"/>
              <w:right w:type="dxa" w:w="180"/>
            </w:tcMar>
          </w:tcPr>
          <w:p>
            <w:pPr>
              <w:spacing w:after="45" w:before="0"/>
            </w:pPr>
            <w:r>
              <w:rPr>
                <w:rFonts w:ascii="Arial" w:cs="Arial" w:eastAsia="Arial" w:hAnsi="Arial"/>
                <w:b/>
                <w:bCs/>
                <w:caps/>
                <w:color w:val="1A5C4A"/>
                <w:sz w:val="15"/>
                <w:szCs w:val="15"/>
              </w:rPr>
              <w:t xml:space="preserve">Die OUG-Lösung</w:t>
            </w:r>
          </w:p>
          <w:p>
            <w:pPr>
              <w:spacing w:after="0" w:before="0"/>
              <w:jc w:val="both"/>
            </w:pPr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Die OUG beansprucht die staatliche Anerkennung auf der Grundlage einer erweiterten Auslegung von 'ausreichender Ausstattung': Im Föderationsmodell wird die Lehrkapazität durch Partnervertrag nachgewiesen — nicht durch eigene Professuren. Die Qualitätssicherung wird durch die OUG-eigene Qualitätskommission und das Stichprobenverfahren gewährleistet. Die Bibliotheks- und Beratungsleistungen werden durch die digitale Plattform und die Partnerinfrastruktur erbracht. Das MWK hat nach LHG einen Beurteilungsspielraum bei der Auslegung der Anerkennungsvoraussetzungen — dieser Spielraum muss aktiv erschlossen werden.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AF5EE" w:val="clear"/>
            <w:tcMar>
              <w:top w:type="dxa" w:w="100"/>
              <w:left w:type="dxa" w:w="220"/>
              <w:bottom w:type="dxa" w:w="110"/>
              <w:right w:type="dxa" w:w="180"/>
            </w:tcMar>
          </w:tcPr>
          <w:p>
            <w:pPr>
              <w:spacing w:after="45" w:before="0"/>
            </w:pPr>
            <w:r>
              <w:rPr>
                <w:rFonts w:ascii="Arial" w:cs="Arial" w:eastAsia="Arial" w:hAnsi="Arial"/>
                <w:b/>
                <w:bCs/>
                <w:caps/>
                <w:color w:val="1A5C4A"/>
                <w:sz w:val="15"/>
                <w:szCs w:val="15"/>
              </w:rPr>
              <w:t xml:space="preserve">Konkrete Umsetzungsschritte</w:t>
            </w:r>
          </w:p>
          <w:p>
            <w:pPr>
              <w:spacing w:after="0" w:before="0"/>
              <w:jc w:val="both"/>
            </w:pPr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1. Rechtsgutachten zur Auslegung von § 70 LHG für campus-freie Föderationshochschulen beauftragen · 2. Frühzeitige informelle Gespräche mit MWK BW — vor dem formellen Antrag · 3. Anerkennungsantrag vorbereiten mit Dokumentation der Föderationskapazität als Äquivalent zu eigenem Lehrpersonal · 4. Präzedenzfälle prüfen: Gibt es vergleichbare Anerkennungen in anderen Bundesländern oder EU-Staaten? · 5. Falls nötig: Lobbyarbeit für Anpassung des LHG zur Schaffung einer neuen Hochschulkategorie 'Föderationshochschule'.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40" w:before="480"/>
      </w:pPr>
      <w:r>
        <w:rPr>
          <w:rFonts w:ascii="Georgia" w:cs="Georgia" w:eastAsia="Georgia" w:hAnsi="Georgia"/>
          <w:b/>
          <w:bCs/>
          <w:color w:val="1F3864"/>
          <w:sz w:val="30"/>
          <w:szCs w:val="30"/>
        </w:rPr>
        <w:t xml:space="preserve">III.  Kapazitätswirksamkeit und Lehrpersonalmodell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D1F3C" w:val="clear"/>
            <w:tcMar>
              <w:top w:type="dxa" w:w="100"/>
              <w:left w:type="dxa" w:w="220"/>
              <w:bottom w:type="dxa" w:w="10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Rechtspunkt 3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Kapazitätswirksamkeit und Einbindung des Lehrpersonals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DF6EC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7A4A00"/>
                <w:sz w:val="15"/>
                <w:szCs w:val="15"/>
              </w:rPr>
              <w:t xml:space="preserve">◑ In Vorbereitung — Lehrauftragsmodell noch nicht vertraglich fixiert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220"/>
              <w:bottom w:type="dxa" w:w="90"/>
              <w:right w:type="dxa" w:w="180"/>
            </w:tcMar>
          </w:tcPr>
          <w:p>
            <w:pPr>
              <w:spacing w:after="45" w:before="0"/>
            </w:pPr>
            <w:r>
              <w:rPr>
                <w:rFonts w:ascii="Arial" w:cs="Arial" w:eastAsia="Arial" w:hAnsi="Arial"/>
                <w:b/>
                <w:bCs/>
                <w:caps/>
                <w:color w:val="8B1A1A"/>
                <w:sz w:val="15"/>
                <w:szCs w:val="15"/>
              </w:rPr>
              <w:t xml:space="preserve">Das Problem</w:t>
            </w:r>
          </w:p>
          <w:p>
            <w:pPr>
              <w:spacing w:after="0" w:before="0"/>
              <w:jc w:val="both"/>
            </w:pPr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Lehrdeputate von Professoren öffentlicher Hochschulen sind nach der Kapazitätsverordnung (KapVO) kapazitätswirksam: Sie gehen in die Berechnung ein, wie viele Studierende die Herkunftshochschule aufnehmen muss. Wenn ein Professor seiner Herkunftshochschule zugeordnetes Deputat für OUG-Module nutzt, entstehen zwei Probleme gleichzeitig: Die Herkunftshochschule kann ihren Kapazitätsverpflichtungen nicht mehr vollständig nachkommen; und die OUG nutzt öffentlich finanzierte Deputatskapazität ohne dass dies vertraglich geregelt ist — ein beihilferechtliches Risiko.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EF4FB" w:val="clear"/>
            <w:tcMar>
              <w:top w:type="dxa" w:w="100"/>
              <w:left w:type="dxa" w:w="220"/>
              <w:bottom w:type="dxa" w:w="90"/>
              <w:right w:type="dxa" w:w="180"/>
            </w:tcMar>
          </w:tcPr>
          <w:p>
            <w:pPr>
              <w:spacing w:after="45" w:before="0"/>
            </w:pPr>
            <w:r>
              <w:rPr>
                <w:rFonts w:ascii="Arial" w:cs="Arial" w:eastAsia="Arial" w:hAnsi="Arial"/>
                <w:b/>
                <w:bCs/>
                <w:caps/>
                <w:color w:val="2E75B6"/>
                <w:sz w:val="15"/>
                <w:szCs w:val="15"/>
              </w:rPr>
              <w:t xml:space="preserve">Relevante Rechtsgrundlagen</w:t>
            </w:r>
          </w:p>
          <w:p>
            <w:pPr>
              <w:spacing w:after="0" w:before="0"/>
              <w:jc w:val="both"/>
            </w:pPr>
            <w:r>
              <w:rPr>
                <w:rFonts w:ascii="Georgia" w:cs="Georgia" w:eastAsia="Georgia" w:hAnsi="Georgia"/>
                <w:i/>
                <w:iCs/>
                <w:color w:val="4A5568"/>
                <w:sz w:val="22"/>
                <w:szCs w:val="22"/>
              </w:rPr>
              <w:t xml:space="preserve">Kapazitätsverordnung BW (KapVO) · § 46 LHG BW (Lehrdeputat) · § 68 Abs. 3 LHG BW (Nebentätigkeiten) · BAT / TV-L (tarifliche Grenzen für Nebentätigkeiten) · § 3 Nebentätigkeitsverordnung BW · Hochschulkapazitätsrecht: BVerwG-Rechtsprechung zu Kapazitätsberechnungen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220"/>
              <w:bottom w:type="dxa" w:w="90"/>
              <w:right w:type="dxa" w:w="180"/>
            </w:tcMar>
          </w:tcPr>
          <w:p>
            <w:pPr>
              <w:spacing w:after="45" w:before="0"/>
            </w:pPr>
            <w:r>
              <w:rPr>
                <w:rFonts w:ascii="Arial" w:cs="Arial" w:eastAsia="Arial" w:hAnsi="Arial"/>
                <w:b/>
                <w:bCs/>
                <w:caps/>
                <w:color w:val="1A5C4A"/>
                <w:sz w:val="15"/>
                <w:szCs w:val="15"/>
              </w:rPr>
              <w:t xml:space="preserve">Die OUG-Lösung</w:t>
            </w:r>
          </w:p>
          <w:p>
            <w:pPr>
              <w:spacing w:after="0" w:before="0"/>
              <w:jc w:val="both"/>
            </w:pPr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Die OUG arbeitet mit drei klar geregelten Modellen für das Lehrpersonal. Modell A — Lehrauftrag (Regelfall): Lehrende erhalten individuelle Lehraufträge als Nebentätigkeit. Diese sind nicht kapazitätswirksam, werden vergütet (Marktkonformität gewahrt), sind genehmigungspflichtig bei der Herkunftshochschule (typisch 8 SWS-Limit), und unterliegen keiner Deputatsanrechnung. Modell B — Freistellungsvereinbarung: Bei größerem Engagement kann eine Freistellungsvereinbarung zwischen OUG und Partnerhochschule geschlossen werden. Das Deputat wird explizit auf die OUG übertragen; die Kapazitätsreduktion der Herkunftshochschule wird transparent ausgewiesen und ministeriell genehmigt. Modell C — Eigenes OUG-Lehrpersonal: Für Kernfunktionen (Qualitätskommission, Curriculumdesign) stellt die OUG eigenes Personal an. Dieses ist kapazitätswirksam für die OUG.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AF5EE" w:val="clear"/>
            <w:tcMar>
              <w:top w:type="dxa" w:w="100"/>
              <w:left w:type="dxa" w:w="220"/>
              <w:bottom w:type="dxa" w:w="110"/>
              <w:right w:type="dxa" w:w="180"/>
            </w:tcMar>
          </w:tcPr>
          <w:p>
            <w:pPr>
              <w:spacing w:after="45" w:before="0"/>
            </w:pPr>
            <w:r>
              <w:rPr>
                <w:rFonts w:ascii="Arial" w:cs="Arial" w:eastAsia="Arial" w:hAnsi="Arial"/>
                <w:b/>
                <w:bCs/>
                <w:caps/>
                <w:color w:val="1A5C4A"/>
                <w:sz w:val="15"/>
                <w:szCs w:val="15"/>
              </w:rPr>
              <w:t xml:space="preserve">Konkrete Umsetzungsschritte</w:t>
            </w:r>
          </w:p>
          <w:p>
            <w:pPr>
              <w:spacing w:after="0" w:before="0"/>
              <w:jc w:val="both"/>
            </w:pPr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1. Lehrauftragsrahmenvertrag entwickeln der Nebentätigkeitsgrenzen, Vergütung und Genehmigungspflicht klar regelt · 2. Standardprozess für Nebentätigkeitsgenehmigungen bei Partnerhochschulen etablieren · 3. Freistellungsvereinbarungsvorlage für Fälle mit größerem Deputatsanteil erstellen — mit MWK abstimmen · 4. Kapazitätsauswirkungsanalyse für jede Partnerschaftshochschule vor Vertragsschluss durchführen · 5. Sicherstellung: Summe aller Lehraufträge liegt unter dem Schwellenwert der eine kapazitätsrechtliche Überprüfung auslöst.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40" w:before="480"/>
      </w:pPr>
      <w:r>
        <w:rPr>
          <w:rFonts w:ascii="Georgia" w:cs="Georgia" w:eastAsia="Georgia" w:hAnsi="Georgia"/>
          <w:b/>
          <w:bCs/>
          <w:color w:val="1F3864"/>
          <w:sz w:val="30"/>
          <w:szCs w:val="30"/>
        </w:rPr>
        <w:t xml:space="preserve">IV.  Prüfungsrecht und Prüfungshoheit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D1F3C" w:val="clear"/>
            <w:tcMar>
              <w:top w:type="dxa" w:w="100"/>
              <w:left w:type="dxa" w:w="220"/>
              <w:bottom w:type="dxa" w:w="10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Rechtspunkt 4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Prüfungshoheit und Prüfungsordnungsrecht im Föderationsmodell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AF0EE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8B1A1A"/>
                <w:sz w:val="15"/>
                <w:szCs w:val="15"/>
              </w:rPr>
              <w:t xml:space="preserve">○ Offen — Prüfungsordnung noch nicht erstellt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220"/>
              <w:bottom w:type="dxa" w:w="90"/>
              <w:right w:type="dxa" w:w="180"/>
            </w:tcMar>
          </w:tcPr>
          <w:p>
            <w:pPr>
              <w:spacing w:after="45" w:before="0"/>
            </w:pPr>
            <w:r>
              <w:rPr>
                <w:rFonts w:ascii="Arial" w:cs="Arial" w:eastAsia="Arial" w:hAnsi="Arial"/>
                <w:b/>
                <w:bCs/>
                <w:caps/>
                <w:color w:val="8B1A1A"/>
                <w:sz w:val="15"/>
                <w:szCs w:val="15"/>
              </w:rPr>
              <w:t xml:space="preserve">Das Problem</w:t>
            </w:r>
          </w:p>
          <w:p>
            <w:pPr>
              <w:spacing w:after="0" w:before="0"/>
              <w:jc w:val="both"/>
            </w:pPr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In Deutschland liegt die Prüfungshoheit bei der Hochschule die den Abschluss verleiht — im Föderationsmodell der OUG. Das bedeutet: Die OUG-Prüfungsordnung gilt für alle Module, unabhängig davon bei welcher Partnerhochschule sie erbracht werden. Das Problem: Wenn Prüfungen physisch oder organisatorisch bei einem Partner stattfinden — wessen Prüfungsausschuss entscheidet? Wer ist Widerspruchsbehörde bei einem Prüfungsstreit? Welches Verwaltungsrecht gilt (Landesrecht der OUG oder des Partners)? Eine ungeklärte Prüfungshoheit ist einer der häufigsten Gründe für Nichtanerkennung von Abschlüssen.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EF4FB" w:val="clear"/>
            <w:tcMar>
              <w:top w:type="dxa" w:w="100"/>
              <w:left w:type="dxa" w:w="220"/>
              <w:bottom w:type="dxa" w:w="90"/>
              <w:right w:type="dxa" w:w="180"/>
            </w:tcMar>
          </w:tcPr>
          <w:p>
            <w:pPr>
              <w:spacing w:after="45" w:before="0"/>
            </w:pPr>
            <w:r>
              <w:rPr>
                <w:rFonts w:ascii="Arial" w:cs="Arial" w:eastAsia="Arial" w:hAnsi="Arial"/>
                <w:b/>
                <w:bCs/>
                <w:caps/>
                <w:color w:val="2E75B6"/>
                <w:sz w:val="15"/>
                <w:szCs w:val="15"/>
              </w:rPr>
              <w:t xml:space="preserve">Relevante Rechtsgrundlagen</w:t>
            </w:r>
          </w:p>
          <w:p>
            <w:pPr>
              <w:spacing w:after="0" w:before="0"/>
              <w:jc w:val="both"/>
            </w:pPr>
            <w:r>
              <w:rPr>
                <w:rFonts w:ascii="Georgia" w:cs="Georgia" w:eastAsia="Georgia" w:hAnsi="Georgia"/>
                <w:i/>
                <w:iCs/>
                <w:color w:val="4A5568"/>
                <w:sz w:val="22"/>
                <w:szCs w:val="22"/>
              </w:rPr>
              <w:t xml:space="preserve">§ 32 LHG BW (Prüfungsordnungen) · § 33 LHG BW (Prüfungsausschüsse) · VwGO (Verwaltungsgerichtsordnung — Rechtsweg bei Prüfungsstreitigkeiten) · BVerwG-Rechtsprechung zur Prüfungshoheit · § 19 HRG (Hochschulrahmengesetz — Prüfungsrecht) · Rahmenprüfungsordnungen der KMK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220"/>
              <w:bottom w:type="dxa" w:w="90"/>
              <w:right w:type="dxa" w:w="180"/>
            </w:tcMar>
          </w:tcPr>
          <w:p>
            <w:pPr>
              <w:spacing w:after="45" w:before="0"/>
            </w:pPr>
            <w:r>
              <w:rPr>
                <w:rFonts w:ascii="Arial" w:cs="Arial" w:eastAsia="Arial" w:hAnsi="Arial"/>
                <w:b/>
                <w:bCs/>
                <w:caps/>
                <w:color w:val="1A5C4A"/>
                <w:sz w:val="15"/>
                <w:szCs w:val="15"/>
              </w:rPr>
              <w:t xml:space="preserve">Die OUG-Lösung</w:t>
            </w:r>
          </w:p>
          <w:p>
            <w:pPr>
              <w:spacing w:after="0" w:before="0"/>
              <w:jc w:val="both"/>
            </w:pPr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Die OUG sichert ihre Prüfungshoheit durch drei strukturelle Maßnahmen. Erstens: Alle Prüfungen werden formal unter der OUG-Prüfungsordnung abgenommen — unabhängig vom Veranstaltungsort. Zweitens: Der OUG-Prüfungsausschuss ist die einzige zuständige Behörde für Prüfungsentscheidungen; kein Partnerprüfungsausschuss hat Entscheidungsbefugnis über OUG-Abschlüsse. Drittens: Bei dezentraler Prüfungsdurchführung beim Partner gilt das Prinzip der 'verlängerten Prüfungshoheit': Der Partner handelt als Beauftragter der OUG, nicht als eigenständige Prüfungsbehörde. Die Beauftragtenstellung wird im Föderationsvertrag explizit geregelt.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AF5EE" w:val="clear"/>
            <w:tcMar>
              <w:top w:type="dxa" w:w="100"/>
              <w:left w:type="dxa" w:w="220"/>
              <w:bottom w:type="dxa" w:w="110"/>
              <w:right w:type="dxa" w:w="180"/>
            </w:tcMar>
          </w:tcPr>
          <w:p>
            <w:pPr>
              <w:spacing w:after="45" w:before="0"/>
            </w:pPr>
            <w:r>
              <w:rPr>
                <w:rFonts w:ascii="Arial" w:cs="Arial" w:eastAsia="Arial" w:hAnsi="Arial"/>
                <w:b/>
                <w:bCs/>
                <w:caps/>
                <w:color w:val="1A5C4A"/>
                <w:sz w:val="15"/>
                <w:szCs w:val="15"/>
              </w:rPr>
              <w:t xml:space="preserve">Konkrete Umsetzungsschritte</w:t>
            </w:r>
          </w:p>
          <w:p>
            <w:pPr>
              <w:spacing w:after="0" w:before="0"/>
              <w:jc w:val="both"/>
            </w:pPr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1. OUG-Prüfungsordnung erstellen die die Beauftragtenstellung der Partner explizit regelt · 2. OUG-Prüfungsausschuss als eigenständiges Gremium konstituieren (§ 33 LHG BW) · 3. Föderationsvertrag: Abschnitt Prüfungsdurchführung mit klarer Hoheitsabgrenzung · 4. Widerspruchsverfahren und Rechtswegebelehrung in Prüfungsbescheiden standardisieren · 5. Prüfungsordnung vor Akkreditierungsantrag durch Akkreditierungsagentur vorab prüfen lassen.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40" w:before="480"/>
      </w:pPr>
      <w:r>
        <w:rPr>
          <w:rFonts w:ascii="Georgia" w:cs="Georgia" w:eastAsia="Georgia" w:hAnsi="Georgia"/>
          <w:b/>
          <w:bCs/>
          <w:color w:val="1F3864"/>
          <w:sz w:val="30"/>
          <w:szCs w:val="30"/>
        </w:rPr>
        <w:t xml:space="preserve">V.  Datenschutz im Föderationsmodell (DSGVO)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D1F3C" w:val="clear"/>
            <w:tcMar>
              <w:top w:type="dxa" w:w="100"/>
              <w:left w:type="dxa" w:w="220"/>
              <w:bottom w:type="dxa" w:w="10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Rechtspunkt 5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Datenschutzrechtliche Verantwortungsstruktur bei verteilter Datenverarbeitung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AF0EE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8B1A1A"/>
                <w:sz w:val="15"/>
                <w:szCs w:val="15"/>
              </w:rPr>
              <w:t xml:space="preserve">○ Offen — DSFA und Art. 26-Vereinbarung noch nicht erstellt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220"/>
              <w:bottom w:type="dxa" w:w="90"/>
              <w:right w:type="dxa" w:w="180"/>
            </w:tcMar>
          </w:tcPr>
          <w:p>
            <w:pPr>
              <w:spacing w:after="45" w:before="0"/>
            </w:pPr>
            <w:r>
              <w:rPr>
                <w:rFonts w:ascii="Arial" w:cs="Arial" w:eastAsia="Arial" w:hAnsi="Arial"/>
                <w:b/>
                <w:bCs/>
                <w:caps/>
                <w:color w:val="8B1A1A"/>
                <w:sz w:val="15"/>
                <w:szCs w:val="15"/>
              </w:rPr>
              <w:t xml:space="preserve">Das Problem</w:t>
            </w:r>
          </w:p>
          <w:p>
            <w:pPr>
              <w:spacing w:after="0" w:before="0"/>
              <w:jc w:val="both"/>
            </w:pPr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Die OUG betreibt eine Lernplattform, erhebt Lerndaten, verarbeitet Prüfungsergebnisse und gibt Europass Digital Credentials aus. Gleichzeitig verarbeiten Partnerhochschulen Daten der OUG-Studierenden im Rahmen der Lehrerbringung. Wer ist nach DSGVO datenschutzrechtlich Verantwortlicher — die OUG allein, der jeweilige Partner allein, oder beide gemeinsam als gemeinsam Verantwortliche nach Art. 26 DSGVO? Diese Frage ist nicht nur theoretisch: Bei einem Datenschutzvorfall beim Partner haftet bei ungeregelter gemeinsamer Verantwortlichkeit unter Umständen die OUG mit. Bei fehlender Regelung drohen Bußgelder nach Art. 83 DSGVO (bis 4% des Jahresumsatzes oder €20 Mio).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EF4FB" w:val="clear"/>
            <w:tcMar>
              <w:top w:type="dxa" w:w="100"/>
              <w:left w:type="dxa" w:w="220"/>
              <w:bottom w:type="dxa" w:w="90"/>
              <w:right w:type="dxa" w:w="180"/>
            </w:tcMar>
          </w:tcPr>
          <w:p>
            <w:pPr>
              <w:spacing w:after="45" w:before="0"/>
            </w:pPr>
            <w:r>
              <w:rPr>
                <w:rFonts w:ascii="Arial" w:cs="Arial" w:eastAsia="Arial" w:hAnsi="Arial"/>
                <w:b/>
                <w:bCs/>
                <w:caps/>
                <w:color w:val="2E75B6"/>
                <w:sz w:val="15"/>
                <w:szCs w:val="15"/>
              </w:rPr>
              <w:t xml:space="preserve">Relevante Rechtsgrundlagen</w:t>
            </w:r>
          </w:p>
          <w:p>
            <w:pPr>
              <w:spacing w:after="0" w:before="0"/>
              <w:jc w:val="both"/>
            </w:pPr>
            <w:r>
              <w:rPr>
                <w:rFonts w:ascii="Georgia" w:cs="Georgia" w:eastAsia="Georgia" w:hAnsi="Georgia"/>
                <w:i/>
                <w:iCs/>
                <w:color w:val="4A5568"/>
                <w:sz w:val="22"/>
                <w:szCs w:val="22"/>
              </w:rPr>
              <w:t xml:space="preserve">Art. 4 Nr. 7 DSGVO (Verantwortlicher) · Art. 26 DSGVO (Gemeinsam Verantwortliche) · Art. 28 DSGVO (Auftragsverarbeitung) · Art. 32 DSGVO (Sicherheit der Verarbeitung) · Art. 83 DSGVO (Bußgelder) · Europass Digital Credential Infrastructure (EDCI) Datenschutzbestimmungen · BDSG (Bundesdatenschutzgesetz) · Landesdatenschutzgesetz BW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220"/>
              <w:bottom w:type="dxa" w:w="90"/>
              <w:right w:type="dxa" w:w="180"/>
            </w:tcMar>
          </w:tcPr>
          <w:p>
            <w:pPr>
              <w:spacing w:after="45" w:before="0"/>
            </w:pPr>
            <w:r>
              <w:rPr>
                <w:rFonts w:ascii="Arial" w:cs="Arial" w:eastAsia="Arial" w:hAnsi="Arial"/>
                <w:b/>
                <w:bCs/>
                <w:caps/>
                <w:color w:val="1A5C4A"/>
                <w:sz w:val="15"/>
                <w:szCs w:val="15"/>
              </w:rPr>
              <w:t xml:space="preserve">Die OUG-Lösung</w:t>
            </w:r>
          </w:p>
          <w:p>
            <w:pPr>
              <w:spacing w:after="0" w:before="0"/>
              <w:jc w:val="both"/>
            </w:pPr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Die OUG implementiert ein dreistufiges Datenschutzmodell. Stufe 1 — OUG als Alleinverantwortliche: Für alle Daten die auf der OUG-Plattform verarbeitet werden und ausschließlich der OUG-Kerntätigkeit dienen (Credentials, Prüfungsergebnisse, Kompetenzprofile) ist die OUG alleinige Verantwortliche. Partner haben keinen Zugriff auf diese Daten. Stufe 2 — Gemeinsame Verantwortlichkeit (Art. 26 DSGVO): Für Daten die im Rahmen der Lehrerbringung gemeinsam verarbeitet werden (Anwesenheitserfassung, Assessmentdaten beim Partner) wird eine Art. 26-Vereinbarung geschlossen die Verantwortlichkeiten, Anlaufstellen und Haftung klar verteilt. Stufe 3 — Auftragsverarbeitung (Art. 28 DSGVO): Technische Dienstleister (Plattformbetreiber, Cloud-Anbieter) werden als Auftragsverarbeiter nach Art. 28 DSGVO vertraglich gebunden.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AF5EE" w:val="clear"/>
            <w:tcMar>
              <w:top w:type="dxa" w:w="100"/>
              <w:left w:type="dxa" w:w="220"/>
              <w:bottom w:type="dxa" w:w="110"/>
              <w:right w:type="dxa" w:w="180"/>
            </w:tcMar>
          </w:tcPr>
          <w:p>
            <w:pPr>
              <w:spacing w:after="45" w:before="0"/>
            </w:pPr>
            <w:r>
              <w:rPr>
                <w:rFonts w:ascii="Arial" w:cs="Arial" w:eastAsia="Arial" w:hAnsi="Arial"/>
                <w:b/>
                <w:bCs/>
                <w:caps/>
                <w:color w:val="1A5C4A"/>
                <w:sz w:val="15"/>
                <w:szCs w:val="15"/>
              </w:rPr>
              <w:t xml:space="preserve">Konkrete Umsetzungsschritte</w:t>
            </w:r>
          </w:p>
          <w:p>
            <w:pPr>
              <w:spacing w:after="0" w:before="0"/>
              <w:jc w:val="both"/>
            </w:pPr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1. Datenschutz-Folgenabschätzung (DSFA) nach Art. 35 DSGVO für die OUG-Plattform durchführen · 2. Art. 26 DSGVO-Vereinbarung als Standardannex zum Föderationsvertrag entwickeln · 3. Datenschutzbeauftragten für die OUG bestellen (§ 38 BDSG) · 4. Datenschutzinformation für Studierende nach Art. 13/14 DSGVO erstellen · 5. Datenverarbeitungsverzeichnis nach Art. 30 DSGVO aufbauen · 6. EDCI-Datenschutzkonformität der Europass-Credential-Ausgabe sicherstellen.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40" w:before="480"/>
      </w:pPr>
      <w:r>
        <w:rPr>
          <w:rFonts w:ascii="Georgia" w:cs="Georgia" w:eastAsia="Georgia" w:hAnsi="Georgia"/>
          <w:b/>
          <w:bCs/>
          <w:color w:val="1F3864"/>
          <w:sz w:val="30"/>
          <w:szCs w:val="30"/>
        </w:rPr>
        <w:t xml:space="preserve">VI.  Urheberrecht an Modulen und Lernmaterialien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D1F3C" w:val="clear"/>
            <w:tcMar>
              <w:top w:type="dxa" w:w="100"/>
              <w:left w:type="dxa" w:w="220"/>
              <w:bottom w:type="dxa" w:w="10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Rechtspunkt 6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Urheberrechtliche Eigentumsverhältnisse an Modulen und Lehrmaterialien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AF0EE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8B1A1A"/>
                <w:sz w:val="15"/>
                <w:szCs w:val="15"/>
              </w:rPr>
              <w:t xml:space="preserve">○ Offen — Nutzungsrechtslizenz noch nicht in Standardverträgen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220"/>
              <w:bottom w:type="dxa" w:w="90"/>
              <w:right w:type="dxa" w:w="180"/>
            </w:tcMar>
          </w:tcPr>
          <w:p>
            <w:pPr>
              <w:spacing w:after="45" w:before="0"/>
            </w:pPr>
            <w:r>
              <w:rPr>
                <w:rFonts w:ascii="Arial" w:cs="Arial" w:eastAsia="Arial" w:hAnsi="Arial"/>
                <w:b/>
                <w:bCs/>
                <w:caps/>
                <w:color w:val="8B1A1A"/>
                <w:sz w:val="15"/>
                <w:szCs w:val="15"/>
              </w:rPr>
              <w:t xml:space="preserve">Das Problem</w:t>
            </w:r>
          </w:p>
          <w:p>
            <w:pPr>
              <w:spacing w:after="0" w:before="0"/>
              <w:jc w:val="both"/>
            </w:pPr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Lehrende die Materialien für OUG-Module erstellen — Vorlesungsunterlagen, Aufgaben, Videos, Code-Beispiele — schaffen urheberrechtlich geschützte Werke. § 43 UrhG regelt, dass Werke die in Arbeits- oder Dienstverhältnissen geschaffen werden dem Arbeitgeber gehören. Lehrauftragnehmer sind jedoch keine Arbeitnehmer der OUG — sie sind selbstständige Auftragnehmer. Das bedeutet: Ohne explizite vertragliche Regelung behalten Lehrende das Urheberrecht an ihren Materialien. Wenn ein Lehrender seinen Lehrauftrag beendet — oder wenn eine Partnerhochschule aus der Förderung ausscheidet — könnte die OUG die Materialien nicht mehr nutzen. Dieses Risiko betrifft die gesamte Curriculumstabilität der OUG.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EF4FB" w:val="clear"/>
            <w:tcMar>
              <w:top w:type="dxa" w:w="100"/>
              <w:left w:type="dxa" w:w="220"/>
              <w:bottom w:type="dxa" w:w="90"/>
              <w:right w:type="dxa" w:w="180"/>
            </w:tcMar>
          </w:tcPr>
          <w:p>
            <w:pPr>
              <w:spacing w:after="45" w:before="0"/>
            </w:pPr>
            <w:r>
              <w:rPr>
                <w:rFonts w:ascii="Arial" w:cs="Arial" w:eastAsia="Arial" w:hAnsi="Arial"/>
                <w:b/>
                <w:bCs/>
                <w:caps/>
                <w:color w:val="2E75B6"/>
                <w:sz w:val="15"/>
                <w:szCs w:val="15"/>
              </w:rPr>
              <w:t xml:space="preserve">Relevante Rechtsgrundlagen</w:t>
            </w:r>
          </w:p>
          <w:p>
            <w:pPr>
              <w:spacing w:after="0" w:before="0"/>
              <w:jc w:val="both"/>
            </w:pPr>
            <w:r>
              <w:rPr>
                <w:rFonts w:ascii="Georgia" w:cs="Georgia" w:eastAsia="Georgia" w:hAnsi="Georgia"/>
                <w:i/>
                <w:iCs/>
                <w:color w:val="4A5568"/>
                <w:sz w:val="22"/>
                <w:szCs w:val="22"/>
              </w:rPr>
              <w:t xml:space="preserve">§ 2 UrhG (Schutzfähige Werke) · § 7 UrhG (Urheber) · § 43 UrhG (Werke in Arbeits- und Dienstverhältnissen — gilt nicht für selbstständige Auftragnehmer) · §§ 31ff. UrhG (Einräumung von Nutzungsrechten) · § 32 UrhG (Angemessene Vergütung) · Creative Commons Lizenzen als Gestaltungsoption · Hochschullehrerprivileg: BGH-Rechtsprechung zur urheberrechtlichen Sonderstellung von Professoren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220"/>
              <w:bottom w:type="dxa" w:w="90"/>
              <w:right w:type="dxa" w:w="180"/>
            </w:tcMar>
          </w:tcPr>
          <w:p>
            <w:pPr>
              <w:spacing w:after="45" w:before="0"/>
            </w:pPr>
            <w:r>
              <w:rPr>
                <w:rFonts w:ascii="Arial" w:cs="Arial" w:eastAsia="Arial" w:hAnsi="Arial"/>
                <w:b/>
                <w:bCs/>
                <w:caps/>
                <w:color w:val="1A5C4A"/>
                <w:sz w:val="15"/>
                <w:szCs w:val="15"/>
              </w:rPr>
              <w:t xml:space="preserve">Die OUG-Lösung</w:t>
            </w:r>
          </w:p>
          <w:p>
            <w:pPr>
              <w:spacing w:after="0" w:before="0"/>
              <w:jc w:val="both"/>
            </w:pPr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Die OUG sichert ihre Nutzungsrechte durch zwei Instrumente. Instrument 1 — Nutzungsrechtslizenz im Lehrauftragsvertrag: Jeder Lehrauftragsvertrag enthält eine Klausel, nach der der Lehrbeauftragte der OUG eine zeitlich unbeschränkte, nicht-exklusive Lizenz zur Nutzung, Anpassung und Weitergabe der im Rahmen des Lehrauftrags erstellten Materialien erteilt. Der Lehrende behält das Urheberrecht; die OUG erhält das Nutzungsrecht. Instrument 2 — Creative Commons Lizenzierung: Module werden standardmäßig unter einer CC BY-SA Lizenz veröffentlicht. Das macht sie für alle Partner zugänglich und verhindert dass einzelne Personen oder Partner die Nutzung blockieren können. Für proprietäre Inhalte (z.B. Unternehmensfallstudien) gilt Instrument 1.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AF5EE" w:val="clear"/>
            <w:tcMar>
              <w:top w:type="dxa" w:w="100"/>
              <w:left w:type="dxa" w:w="220"/>
              <w:bottom w:type="dxa" w:w="110"/>
              <w:right w:type="dxa" w:w="180"/>
            </w:tcMar>
          </w:tcPr>
          <w:p>
            <w:pPr>
              <w:spacing w:after="45" w:before="0"/>
            </w:pPr>
            <w:r>
              <w:rPr>
                <w:rFonts w:ascii="Arial" w:cs="Arial" w:eastAsia="Arial" w:hAnsi="Arial"/>
                <w:b/>
                <w:bCs/>
                <w:caps/>
                <w:color w:val="1A5C4A"/>
                <w:sz w:val="15"/>
                <w:szCs w:val="15"/>
              </w:rPr>
              <w:t xml:space="preserve">Konkrete Umsetzungsschritte</w:t>
            </w:r>
          </w:p>
          <w:p>
            <w:pPr>
              <w:spacing w:after="0" w:before="0"/>
              <w:jc w:val="both"/>
            </w:pPr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1. Standardklausel für Nutzungsrechtslizenz in alle Lehrauftragsverträge aufnehmen — Formulierung durch Urheberrechtsjuristen prüfen lassen · 2. CC BY-SA als Standard-Lizenzmodell für OUG-Modulinhalte festlegen und in der Satzung verankern · 3. Modulübergabeprotokoll einführen: Bei Lehrauftragsbeendigung werden alle erstellten Materialien inventarisiert und die Nutzungsrechte dokumentiert · 4. Föderationsvertrag: Klausel über Verbleib der Materialien bei Partnerausscheiden · 5. Prüfung: Hochschullehrerprivileg — BGH hat Professoren bei Werken die ohne Dienstanweisung entstehen eine Sonderstellung eingeräumt; Implikationen für OUG-Kontext klären.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40" w:before="480"/>
      </w:pPr>
      <w:r>
        <w:rPr>
          <w:rFonts w:ascii="Georgia" w:cs="Georgia" w:eastAsia="Georgia" w:hAnsi="Georgia"/>
          <w:b/>
          <w:bCs/>
          <w:color w:val="1F3864"/>
          <w:sz w:val="30"/>
          <w:szCs w:val="30"/>
        </w:rPr>
        <w:t xml:space="preserve">VII.  Akkreditierungsfähigkeit des Föderationsmodells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D1F3C" w:val="clear"/>
            <w:tcMar>
              <w:top w:type="dxa" w:w="100"/>
              <w:left w:type="dxa" w:w="220"/>
              <w:bottom w:type="dxa" w:w="10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Rechtspunkt 7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Erfüllung der Akkreditierungskriterien für eine Föderationshochschule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DF6EC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7A4A00"/>
                <w:sz w:val="15"/>
                <w:szCs w:val="15"/>
              </w:rPr>
              <w:t xml:space="preserve">◑ In Vorbereitung — Vorgespräch mit EVALAG noch nicht geführt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220"/>
              <w:bottom w:type="dxa" w:w="90"/>
              <w:right w:type="dxa" w:w="180"/>
            </w:tcMar>
          </w:tcPr>
          <w:p>
            <w:pPr>
              <w:spacing w:after="45" w:before="0"/>
            </w:pPr>
            <w:r>
              <w:rPr>
                <w:rFonts w:ascii="Arial" w:cs="Arial" w:eastAsia="Arial" w:hAnsi="Arial"/>
                <w:b/>
                <w:bCs/>
                <w:caps/>
                <w:color w:val="8B1A1A"/>
                <w:sz w:val="15"/>
                <w:szCs w:val="15"/>
              </w:rPr>
              <w:t xml:space="preserve">Das Problem</w:t>
            </w:r>
          </w:p>
          <w:p>
            <w:pPr>
              <w:spacing w:after="0" w:before="0"/>
              <w:jc w:val="both"/>
            </w:pPr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Die deutschen Akkreditierungsagenturen (AQAS, ACQUIN, FIBAA, ZEvA, EVALAG) arbeiten mit Kriterien die primär für traditionelle Präsenzhochschulen entwickelt wurden. Kritisch für die OUG sind drei Anforderungen: (1) Ausreichend hauptberufliches Lehrpersonal — typisch mindestens sechs Vollzeitäquivalente für ein Bachelor-Programm. Die OUG hat kein eigenes Lehrpersonal im klassischen Sinne. (2) Studiengangsverantwortung — es muss einen hauptberuflich an der Hochschule tätigen Studiengangsleiter geben. (3) Infrastrukturnachweis — Bibliothek, Beratungsangebote, Prüfungsräume. Alle drei Anforderungen müssen im Föderationsmodell neu interpretiert werden. Hinzu kommt die Frage wie Volksbildungseinrichtungen (VHS) und Städte als Partner akkreditierungsrechtlich einzustufen sind.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EF4FB" w:val="clear"/>
            <w:tcMar>
              <w:top w:type="dxa" w:w="100"/>
              <w:left w:type="dxa" w:w="220"/>
              <w:bottom w:type="dxa" w:w="90"/>
              <w:right w:type="dxa" w:w="180"/>
            </w:tcMar>
          </w:tcPr>
          <w:p>
            <w:pPr>
              <w:spacing w:after="45" w:before="0"/>
            </w:pPr>
            <w:r>
              <w:rPr>
                <w:rFonts w:ascii="Arial" w:cs="Arial" w:eastAsia="Arial" w:hAnsi="Arial"/>
                <w:b/>
                <w:bCs/>
                <w:caps/>
                <w:color w:val="2E75B6"/>
                <w:sz w:val="15"/>
                <w:szCs w:val="15"/>
              </w:rPr>
              <w:t xml:space="preserve">Relevante Rechtsgrundlagen</w:t>
            </w:r>
          </w:p>
          <w:p>
            <w:pPr>
              <w:spacing w:after="0" w:before="0"/>
              <w:jc w:val="both"/>
            </w:pPr>
            <w:r>
              <w:rPr>
                <w:rFonts w:ascii="Georgia" w:cs="Georgia" w:eastAsia="Georgia" w:hAnsi="Georgia"/>
                <w:i/>
                <w:iCs/>
                <w:color w:val="4A5568"/>
                <w:sz w:val="22"/>
                <w:szCs w:val="22"/>
              </w:rPr>
              <w:t xml:space="preserve">Akkreditierungsrat-Beschluss zu Anforderungen an Akkreditierungen · ESG 2015 (European Standards and Guidelines for Quality Assurance) · § 68 Abs. 2 LHG BW (Anforderungen an Lehrpersonal) · Systemakkreditierung vs. Programmakkreditierung (§ 22 Studienakkreditierungsstaatsvertrag) · KMK-Beschlüsse zur Qualitätssicherung · Musterrechtsverordnung der KMK (MRVO) · Anforderungsprofile von AQAS, ACQUIN und EVALAG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220"/>
              <w:bottom w:type="dxa" w:w="90"/>
              <w:right w:type="dxa" w:w="180"/>
            </w:tcMar>
          </w:tcPr>
          <w:p>
            <w:pPr>
              <w:spacing w:after="45" w:before="0"/>
            </w:pPr>
            <w:r>
              <w:rPr>
                <w:rFonts w:ascii="Arial" w:cs="Arial" w:eastAsia="Arial" w:hAnsi="Arial"/>
                <w:b/>
                <w:bCs/>
                <w:caps/>
                <w:color w:val="1A5C4A"/>
                <w:sz w:val="15"/>
                <w:szCs w:val="15"/>
              </w:rPr>
              <w:t xml:space="preserve">Die OUG-Lösung</w:t>
            </w:r>
          </w:p>
          <w:p>
            <w:pPr>
              <w:spacing w:after="0" w:before="0"/>
              <w:jc w:val="both"/>
            </w:pPr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Die OUG verfolgt drei parallele Strategien. Strategie 1 — Nachweis durch Äquivalenz: Die OUG argumentiert, dass das Föderationsmodell die Akkreditierungskriterien durch strukturelle Äquivalenz erfüllt: Die Lehrkapazität der Partnerportfolio entspricht sechs VZÄ; der Studiengangsleiter ist hauptberuflich bei der OUG angestellt; die digitale Plattform plus Partnerinfrastruktur ersetzt die physische Infrastruktur. Strategie 2 — Systemakkreditierung statt Programmakkreditierung: Die OUG beantragt eine Systemakkreditierung ihres Qualitätsmanagementsystems statt einer Programmakkreditierung für jeden einzelnen Studiengang. Bei erfolgreicher Systemakkreditierung kann die OUG selbst Programme akkreditieren — ohne Einzelbewertung durch externe Agenturen. Strategie 3 — VHS und Städte als akkreditierungsrechtlich neutrale Partner: VHS und Städte bringen Infrastruktur und Veranstaltungsräume ein aber keine Lehrkapazität die akkreditierungsrelevant ist. Sie sind Sachleistungspartner, keine Lehrpartner im Sinne der Akkreditierungskriterien.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AF5EE" w:val="clear"/>
            <w:tcMar>
              <w:top w:type="dxa" w:w="100"/>
              <w:left w:type="dxa" w:w="220"/>
              <w:bottom w:type="dxa" w:w="110"/>
              <w:right w:type="dxa" w:w="180"/>
            </w:tcMar>
          </w:tcPr>
          <w:p>
            <w:pPr>
              <w:spacing w:after="45" w:before="0"/>
            </w:pPr>
            <w:r>
              <w:rPr>
                <w:rFonts w:ascii="Arial" w:cs="Arial" w:eastAsia="Arial" w:hAnsi="Arial"/>
                <w:b/>
                <w:bCs/>
                <w:caps/>
                <w:color w:val="1A5C4A"/>
                <w:sz w:val="15"/>
                <w:szCs w:val="15"/>
              </w:rPr>
              <w:t xml:space="preserve">Konkrete Umsetzungsschritte</w:t>
            </w:r>
          </w:p>
          <w:p>
            <w:pPr>
              <w:spacing w:after="0" w:before="0"/>
              <w:jc w:val="both"/>
            </w:pPr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1. Vorgespräch mit EVALAG (zuständig für BW) über Akkreditierungsfähigkeit des Föderationsmodells — vor dem formellen Antrag · 2. Entscheidung: Programm- oder Systemakkreditierung — Kostenabwägung und strategische Empfehlung einholen · 3. Studiengangsleiter als hauptberufliche Stelle bei der OUG ausschreiben und besetzen · 4. Äquivalenznachweis für Lehrkapazität aus Föderationsverträgen aufbereiten — Vollzeitäquivalentberechnung dokumentieren · 5. Infrastrukturkonzept: Digitale Plattform als Bibliotheks- und Beratungsäquivalent dokumentieren · 6. VHS/Städte-Partnerschaft vertraglich so gestalten dass sie keine akkreditierungsrelevante Lehrkapazität darstellt.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40" w:before="480"/>
      </w:pPr>
      <w:r>
        <w:rPr>
          <w:rFonts w:ascii="Georgia" w:cs="Georgia" w:eastAsia="Georgia" w:hAnsi="Georgia"/>
          <w:b/>
          <w:bCs/>
          <w:color w:val="1F3864"/>
          <w:sz w:val="30"/>
          <w:szCs w:val="30"/>
        </w:rPr>
        <w:t xml:space="preserve">VIII.  Gesamtbewertung und kritischer Pfad</w:t>
      </w:r>
    </w:p>
    <w:p>
      <w:pPr>
        <w:spacing w:after="185" w:before="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3"/>
          <w:szCs w:val="23"/>
        </w:rPr>
        <w:t xml:space="preserve">Die sieben Rechtspunkte hängen zusammen. Es gibt eine logische Reihenfolge in der sie bearbeitet werden müssen — nicht alle können parallel gelöst werden.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313"/>
        <w:gridCol w:w="4313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D1F3C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dxa" w:w="4313"/>
            <w:tcBorders>
              <w:top w:val="none"/>
              <w:left w:val="none"/>
              <w:bottom w:val="none"/>
              <w:right w:val="none"/>
            </w:tcBorders>
            <w:shd w:fill="0D1F3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Was muss getan sein</w:t>
            </w:r>
          </w:p>
        </w:tc>
        <w:tc>
          <w:tcPr>
            <w:tcW w:type="dxa" w:w="4313"/>
            <w:tcBorders>
              <w:top w:val="none"/>
              <w:left w:val="none"/>
              <w:bottom w:val="none"/>
              <w:right w:val="none"/>
            </w:tcBorders>
            <w:shd w:fill="0D1F3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Warum es an dieser Stelle sein muss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D1F3C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Phase 1
vor MWK-Gespräch</w:t>
            </w:r>
          </w:p>
        </w:tc>
        <w:tc>
          <w:tcPr>
            <w:tcW w:type="dxa" w:w="4313"/>
            <w:tcBorders>
              <w:top w:val="none"/>
              <w:left w:val="none"/>
              <w:bottom w:val="none"/>
              <w:right w:val="none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both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Rechtsgutachten §§ 70ff. LHG (RP 2) · Betrauungsakt-Konzept entwickeln (RP 1) · Lehrauftragsmodell fixieren (RP 3)</w:t>
            </w:r>
          </w:p>
        </w:tc>
        <w:tc>
          <w:tcPr>
            <w:tcW w:type="dxa" w:w="4313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both"/>
            </w:pPr>
            <w:r>
              <w:rPr>
                <w:rFonts w:ascii="Georgia" w:cs="Georgia" w:eastAsia="Georgia" w:hAnsi="Georgia"/>
                <w:i/>
                <w:iCs/>
                <w:color w:val="4A5568"/>
                <w:sz w:val="20"/>
                <w:szCs w:val="20"/>
              </w:rPr>
              <w:t xml:space="preserve">Ohne Klarheit über staatliche Anerkennung und Betrauungsakt ist jedes MWK-Gespräch unvorbereitet. Das Ministerium erwartet einen durchdachten Rechtskonstrukt, nicht eine Idee.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D1F3C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Phase 2
vor ersten Partnerverträgen</w:t>
            </w:r>
          </w:p>
        </w:tc>
        <w:tc>
          <w:tcPr>
            <w:tcW w:type="dxa" w:w="4313"/>
            <w:tcBorders>
              <w:top w:val="none"/>
              <w:left w:val="none"/>
              <w:bottom w:val="none"/>
              <w:right w:val="none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both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Föderationsvertrag mit Nutzungsrechtslizenz (RP 6) · Art. 26 DSGVO Annex (RP 5) · Prüfungshoheitsklausel (RP 4) · Kapazitätsprüfung pro Partner (RP 3)</w:t>
            </w:r>
          </w:p>
        </w:tc>
        <w:tc>
          <w:tcPr>
            <w:tcW w:type="dxa" w:w="4313"/>
            <w:tcBorders>
              <w:top w:val="none"/>
              <w:left w:val="none"/>
              <w:bottom w:val="none"/>
              <w:right w:val="none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both"/>
            </w:pPr>
            <w:r>
              <w:rPr>
                <w:rFonts w:ascii="Georgia" w:cs="Georgia" w:eastAsia="Georgia" w:hAnsi="Georgia"/>
                <w:i/>
                <w:iCs/>
                <w:color w:val="4A5568"/>
                <w:sz w:val="20"/>
                <w:szCs w:val="20"/>
              </w:rPr>
              <w:t xml:space="preserve">Jeder Partnervertrag muss diese Regelungen enthalten. Rückwirkende Nachverhandlung ist schwierig und schädigt die Partnerbeziehung.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D1F3C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Phase 3
vor Akkreditierungsantrag</w:t>
            </w:r>
          </w:p>
        </w:tc>
        <w:tc>
          <w:tcPr>
            <w:tcW w:type="dxa" w:w="4313"/>
            <w:tcBorders>
              <w:top w:val="none"/>
              <w:left w:val="none"/>
              <w:bottom w:val="none"/>
              <w:right w:val="none"/>
            </w:tcBorders>
            <w:shd w:fill="FAF0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both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Systemakkreditierungsstrategie (RP 7) · Studiengangsleiter besetzen (RP 7) · Infrastrukturkonzept finalisieren (RP 7) · Vollständige Allgemeinwohlkonstituierung (RP 1)</w:t>
            </w:r>
          </w:p>
        </w:tc>
        <w:tc>
          <w:tcPr>
            <w:tcW w:type="dxa" w:w="4313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both"/>
            </w:pPr>
            <w:r>
              <w:rPr>
                <w:rFonts w:ascii="Georgia" w:cs="Georgia" w:eastAsia="Georgia" w:hAnsi="Georgia"/>
                <w:i/>
                <w:iCs/>
                <w:color w:val="4A5568"/>
                <w:sz w:val="20"/>
                <w:szCs w:val="20"/>
              </w:rPr>
              <w:t xml:space="preserve">Die Akkreditierungsagentur prüft alle sieben Punkte indirekt. Ein unfertiges Rechtskonstrukt an einer Stelle gefährdet die gesamte Akkreditierung.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1A5C4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826"/>
            <w:tcBorders>
              <w:top w:val="none"/>
              <w:left w:val="none"/>
              <w:bottom w:val="none"/>
              <w:right w:val="none"/>
            </w:tcBorders>
            <w:shd w:fill="F4F7FA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pPr>
              <w:jc w:val="both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3"/>
                <w:szCs w:val="23"/>
              </w:rPr>
              <w:t xml:space="preserve">Die Allgemeinwohlverfassung ist das Dach. Die staatliche Anerkennung ist das Fundament. Die fünf weiteren Rechtspunkte sind die tragenden Wände. Ein Gebäude kann man nicht vom Dach her bauen — und auch nicht einziehen bevor die Wände stehen.</w:t>
            </w:r>
          </w:p>
        </w:tc>
      </w:tr>
    </w:tbl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8E1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A4A00"/>
                <w:sz w:val="16"/>
                <w:szCs w:val="16"/>
              </w:rPr>
              <w:t xml:space="preserve">Empfehlung für das weitere Vorgehen</w:t>
            </w:r>
          </w:p>
          <w:p>
            <w:pPr>
              <w:spacing w:after="0" w:before="0"/>
              <w:jc w:val="both"/>
            </w:pP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Dieses Dokument bildet die Grundlage für das Gespräch mit einem spezialisierten Hochschulrechtler. Empfohlen wird ein Jurist mit Kenntnissen in: deutschem Hochschulrecht (LHG BW), europäischem Beihilferecht (Art. 106/107 AEUV), Akkreditierungsrecht (Studienakkreditierungsstaatsvertrag), und DSGVO. Idealerweise kennt dieser Jurist vergleichbare Neugründungen — z.B. aus dem Bereich der staatlich anerkannten Hochschulen in freier Trägerschaft. Die sieben Punkte dieses Dokuments sind der Auftragsrahmen für das erste Beratungsmandat.</w:t>
            </w:r>
          </w:p>
        </w:tc>
      </w:tr>
    </w:tbl>
    <w:p>
      <w:pPr>
        <w:spacing w:after="200" w:before="0"/>
      </w:pPr>
    </w:p>
    <w:p>
      <w:pPr>
        <w:pBdr>
          <w:bottom w:val="single" w:color="2E75B6" w:sz="4" w:space="1"/>
        </w:pBdr>
        <w:spacing w:after="160" w:before="0"/>
      </w:pPr>
    </w:p>
    <w:p>
      <w:pPr>
        <w:spacing w:after="0" w:before="160"/>
        <w:jc w:val="right"/>
      </w:pPr>
      <w:r>
        <w:rPr>
          <w:rFonts w:ascii="Arial" w:cs="Arial" w:eastAsia="Arial" w:hAnsi="Arial"/>
          <w:i/>
          <w:iCs/>
          <w:color w:val="BBBBBB"/>
          <w:sz w:val="17"/>
          <w:szCs w:val="17"/>
        </w:rPr>
        <w:t xml:space="preserve">Open University of Germany  ·  Rechtliche Implementierungsvoraussetzungen  ·  2026</w:t>
      </w:r>
    </w:p>
    <w:sectPr>
      <w:pgSz w:w="11906" w:h="16838" w:orient="portrait"/>
      <w:pgMar w:top="1300" w:right="1440" w:bottom="14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60" w:hanging="280"/>
      </w:pPr>
      <w:rPr>
        <w:rFonts w:ascii="Georgia" w:cs="Georgia" w:eastAsia="Georgia" w:hAnsi="Georgia"/>
        <w:b/>
        <w:bCs/>
        <w:color w:val="2E75B6"/>
        <w:sz w:val="23"/>
        <w:szCs w:val="23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80"/>
      <w:outlineLvl w:val="0"/>
    </w:pPr>
    <w:rPr>
      <w:rFonts w:ascii="Georgia" w:cs="Georgia" w:eastAsia="Georgia" w:hAnsi="Georgia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Georgia" w:cs="Georgia" w:eastAsia="Georgia" w:hAnsi="Georgia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70" w:before="220"/>
      <w:outlineLvl w:val="2"/>
    </w:pPr>
    <w:rPr>
      <w:rFonts w:ascii="Arial" w:cs="Arial" w:eastAsia="Arial" w:hAnsi="Arial"/>
      <w:b/>
      <w:bCs/>
      <w:color w:val="1A5C4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2026-05-08T07:29:49.389Z</dcterms:created>
  <dcterms:modified xsi:type="dcterms:W3CDTF">2026-05-08T07:29:49.406Z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