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left"/>
      </w:pPr>
      <w:r>
        <w:rPr>
          <w:rFonts w:ascii="Arial" w:cs="Arial" w:eastAsia="Arial" w:hAnsi="Arial"/>
          <w:b/>
          <w:bCs/>
          <w:caps/>
          <w:color w:val="2E75B6"/>
          <w:sz w:val="17"/>
          <w:szCs w:val="17"/>
        </w:rPr>
        <w:t xml:space="preserve">OPEN UNIVERSITY OF GERMANY</w:t>
      </w:r>
    </w:p>
    <w:p>
      <w:pPr>
        <w:spacing w:before="0" w:after="60"/>
        <w:jc w:val="left"/>
      </w:pPr>
      <w:r>
        <w:rPr>
          <w:rFonts w:ascii="Arial" w:cs="Arial" w:eastAsia="Arial" w:hAnsi="Arial"/>
          <w:color w:val="AAAAAA"/>
          <w:sz w:val="17"/>
          <w:szCs w:val="17"/>
        </w:rPr>
        <w:t xml:space="preserve">Strategic Clarity Statement  ·  Public Document  ·  2026</w:t>
      </w:r>
    </w:p>
    <w:p>
      <w:pPr>
        <w:pBdr>
          <w:bottom w:val="single" w:color="2E75B6" w:sz="10" w:space="1"/>
        </w:pBdr>
        <w:spacing w:before="0" w:after="280"/>
      </w:pPr>
    </w:p>
    <w:p>
      <w:pPr>
        <w:spacing w:before="0" w:after="60"/>
        <w:jc w:val="left"/>
      </w:pPr>
      <w:r>
        <w:rPr>
          <w:rFonts w:ascii="Georgia" w:cs="Georgia" w:eastAsia="Georgia" w:hAnsi="Georgia"/>
          <w:b/>
          <w:bCs/>
          <w:color w:val="0D1F3C"/>
          <w:sz w:val="48"/>
          <w:szCs w:val="48"/>
        </w:rPr>
        <w:t xml:space="preserve">What We Are Here to Do</w:t>
      </w:r>
    </w:p>
    <w:p>
      <w:pPr>
        <w:spacing w:before="0" w:after="280"/>
        <w:jc w:val="left"/>
      </w:pPr>
      <w:r>
        <w:rPr>
          <w:rFonts w:ascii="Georgia" w:cs="Georgia" w:eastAsia="Georgia" w:hAnsi="Georgia"/>
          <w:i/>
          <w:iCs/>
          <w:color w:val="2E75B6"/>
          <w:sz w:val="23"/>
          <w:szCs w:val="23"/>
        </w:rPr>
        <w:t xml:space="preserve">Five guiding principles of the Open University of Germany — for students, partners, and anyone who wants to understand what this institution stands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0D1F3C" w:val="clear"/>
            <w:tcMar>
              <w:top w:type="dxa" w:w="220"/>
              <w:left w:type="dxa" w:w="320"/>
              <w:bottom w:type="dxa" w:w="220"/>
              <w:right w:type="dxa" w:w="280"/>
            </w:tcMar>
          </w:tcPr>
          <w:p>
            <w:pPr>
              <w:spacing w:before="0" w:after="100"/>
              <w:jc w:val="both"/>
            </w:pPr>
            <w:r>
              <w:rPr>
                <w:rFonts w:ascii="Arial" w:cs="Arial" w:eastAsia="Arial" w:hAnsi="Arial"/>
                <w:b/>
                <w:bCs/>
                <w:caps/>
                <w:color w:val="2E75B6"/>
                <w:sz w:val="17"/>
                <w:szCs w:val="17"/>
              </w:rPr>
              <w:t xml:space="preserve">In one sentence:</w:t>
            </w:r>
          </w:p>
          <w:p>
            <w:pPr>
              <w:spacing w:before="0" w:after="0"/>
              <w:jc w:val="both"/>
            </w:pPr>
            <w:r>
              <w:rPr>
                <w:rFonts w:ascii="Georgia" w:cs="Georgia" w:eastAsia="Georgia" w:hAnsi="Georgia"/>
                <w:b/>
                <w:bCs/>
                <w:color w:val="FFFFFF"/>
                <w:sz w:val="26"/>
                <w:szCs w:val="26"/>
              </w:rPr>
              <w:t xml:space="preserve">The Open University of Germany is a public university built for the people the existing system was not built for — and governed by the principle that good education, like good infrastructure, belongs to everyone.</w:t>
            </w:r>
          </w:p>
        </w:tc>
      </w:tr>
    </w:tbl>
    <w:p>
      <w:pPr>
        <w:spacing w:before="0" w:after="320"/>
      </w:pPr>
    </w:p>
    <w:p>
      <w:pPr>
        <w:spacing w:before="0" w:after="185"/>
        <w:ind/>
        <w:jc w:val="both"/>
      </w:pPr>
      <w:r>
        <w:rPr>
          <w:rFonts w:ascii="Georgia" w:cs="Georgia" w:eastAsia="Georgia" w:hAnsi="Georgia"/>
          <w:b w:val="false"/>
          <w:bCs w:val="false"/>
          <w:i w:val="false"/>
          <w:iCs w:val="false"/>
          <w:color w:val="1A1A1A"/>
          <w:sz w:val="23"/>
          <w:szCs w:val="23"/>
        </w:rPr>
        <w:t xml:space="preserve">Strategy becomes real when it can be stated plainly. The OUG's institutional strategy is built on five guiding principles. Each principle answers a real question about what this institution is, who it serves, and how it makes decisions. Together they describe an institution that is specific about its purpose, honest about its constraints, and deliberate about the kind of community it wants to be.</w:t>
      </w:r>
    </w:p>
    <w:p>
      <w:pPr>
        <w:spacing w:before="0" w:after="185"/>
        <w:ind/>
        <w:jc w:val="both"/>
      </w:pPr>
      <w:r>
        <w:rPr>
          <w:rFonts w:ascii="Georgia" w:cs="Georgia" w:eastAsia="Georgia" w:hAnsi="Georgia"/>
          <w:b w:val="false"/>
          <w:bCs w:val="false"/>
          <w:i w:val="false"/>
          <w:iCs w:val="false"/>
          <w:color w:val="1A1A1A"/>
          <w:sz w:val="23"/>
          <w:szCs w:val="23"/>
        </w:rPr>
        <w:t xml:space="preserve">These principles are not marketing statements. They are governance commitments — things the OUG holds itself accountable to, that can be tested against what the institution actually does, and that are revised when the institution learns that they need to be.</w:t>
      </w:r>
    </w:p>
    <w:p>
      <w:pPr>
        <w:spacing w:before="0"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left w:val="none"/>
              <w:bottom w:val="none"/>
              <w:right w:val="none"/>
            </w:tcBorders>
            <w:shd w:fill="1F3864" w:val="clear"/>
            <w:tcMar>
              <w:top w:type="dxa" w:w="0"/>
              <w:left w:type="dxa" w:w="0"/>
              <w:bottom w:type="dxa" w:w="0"/>
              <w:right w:type="dxa" w:w="0"/>
            </w:tcMar>
          </w:tcPr>
          <w:p>
            <w:pPr>
              <w:spacing w:before="160" w:after="0"/>
              <w:jc w:val="center"/>
            </w:pPr>
            <w:r>
              <w:rPr>
                <w:rFonts w:ascii="Georgia" w:cs="Georgia" w:eastAsia="Georgia" w:hAnsi="Georgia"/>
                <w:b/>
                <w:bCs/>
                <w:color w:val="FFFFFF"/>
                <w:sz w:val="52"/>
                <w:szCs w:val="52"/>
              </w:rPr>
              <w:t xml:space="preserve">1</w:t>
            </w:r>
          </w:p>
          <w:p>
            <w:pPr>
              <w:spacing w:before="60" w:after="0"/>
              <w:jc w:val="center"/>
            </w:pPr>
            <w:r>
              <w:rPr>
                <w:rFonts w:ascii="Georgia" w:cs="Georgia" w:eastAsia="Georgia" w:hAnsi="Georgia"/>
                <w:color w:val="AAAAAA"/>
                <w:sz w:val="20"/>
                <w:szCs w:val="20"/>
              </w:rPr>
              <w:t xml:space="preserve">—</w:t>
            </w:r>
          </w:p>
        </w:tc>
        <w:tc>
          <w:tcPr>
            <w:tcW w:type="dxa" w:w="8326"/>
            <w:tcBorders>
              <w:top w:val="none"/>
              <w:left w:val="none"/>
              <w:bottom w:val="none"/>
              <w:right w:val="none"/>
            </w:tcBorders>
            <w:shd w:fill="F4F7FA" w:val="clear"/>
            <w:tcMar>
              <w:top w:type="dxa" w:w="160"/>
              <w:left w:type="dxa" w:w="260"/>
              <w:bottom w:type="dxa" w:w="160"/>
              <w:right w:type="dxa" w:w="200"/>
            </w:tcMar>
          </w:tcPr>
          <w:p>
            <w:pPr>
              <w:spacing w:before="0" w:after="50"/>
            </w:pPr>
            <w:r>
              <w:rPr>
                <w:rFonts w:ascii="Georgia" w:cs="Georgia" w:eastAsia="Georgia" w:hAnsi="Georgia"/>
                <w:b/>
                <w:bCs/>
                <w:color w:val="1F3864"/>
                <w:sz w:val="27"/>
                <w:szCs w:val="27"/>
              </w:rPr>
              <w:t xml:space="preserve">Access by Design</w:t>
            </w:r>
          </w:p>
          <w:p>
            <w:pPr>
              <w:spacing w:before="0" w:after="80"/>
            </w:pPr>
            <w:r>
              <w:rPr>
                <w:rFonts w:ascii="Georgia" w:cs="Georgia" w:eastAsia="Georgia" w:hAnsi="Georgia"/>
                <w:i/>
                <w:iCs/>
                <w:color w:val="555555"/>
                <w:sz w:val="20"/>
                <w:szCs w:val="20"/>
              </w:rPr>
              <w:t xml:space="preserve">We were built for the learners traditional universities were not built for.</w:t>
            </w:r>
          </w:p>
          <w:p>
            <w:pPr>
              <w:spacing w:before="0" w:after="0"/>
              <w:jc w:val="both"/>
            </w:pPr>
            <w:r>
              <w:rPr>
                <w:rFonts w:ascii="Georgia" w:cs="Georgia" w:eastAsia="Georgia" w:hAnsi="Georgia"/>
                <w:color w:val="1A1A1A"/>
                <w:sz w:val="22"/>
                <w:szCs w:val="22"/>
              </w:rPr>
              <w:t xml:space="preserve">The OUG exists because the German higher education system is excellent for people who are 19, have no caring responsibilities, can move to a university city, and can study full-time. That describes a minority of the people in Germany who want and deserve a university education. We were designed from the beginning for everyone else: people who work, people who care for others, people who are in the middle of their careers and need to change direction, people who live somewhere without a university nearby. This is not an afterthought or a widening-participation initiative. It is the reason we exist.</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left w:val="none"/>
              <w:bottom w:val="none"/>
              <w:right w:val="none"/>
            </w:tcBorders>
            <w:shd w:fill="2E75B6" w:val="clear"/>
            <w:tcMar>
              <w:top w:type="dxa" w:w="0"/>
              <w:left w:type="dxa" w:w="0"/>
              <w:bottom w:type="dxa" w:w="0"/>
              <w:right w:type="dxa" w:w="0"/>
            </w:tcMar>
          </w:tcPr>
          <w:p>
            <w:pPr>
              <w:spacing w:before="160" w:after="0"/>
              <w:jc w:val="center"/>
            </w:pPr>
            <w:r>
              <w:rPr>
                <w:rFonts w:ascii="Georgia" w:cs="Georgia" w:eastAsia="Georgia" w:hAnsi="Georgia"/>
                <w:b/>
                <w:bCs/>
                <w:color w:val="FFFFFF"/>
                <w:sz w:val="52"/>
                <w:szCs w:val="52"/>
              </w:rPr>
              <w:t xml:space="preserve">2</w:t>
            </w:r>
          </w:p>
          <w:p>
            <w:pPr>
              <w:spacing w:before="60" w:after="0"/>
              <w:jc w:val="center"/>
            </w:pPr>
            <w:r>
              <w:rPr>
                <w:rFonts w:ascii="Georgia" w:cs="Georgia" w:eastAsia="Georgia" w:hAnsi="Georgia"/>
                <w:color w:val="AAAAAA"/>
                <w:sz w:val="20"/>
                <w:szCs w:val="20"/>
              </w:rPr>
              <w:t xml:space="preserve">—</w:t>
            </w:r>
          </w:p>
        </w:tc>
        <w:tc>
          <w:tcPr>
            <w:tcW w:type="dxa" w:w="8326"/>
            <w:tcBorders>
              <w:top w:val="none"/>
              <w:left w:val="none"/>
              <w:bottom w:val="none"/>
              <w:right w:val="none"/>
            </w:tcBorders>
            <w:shd w:fill="F4F7FA" w:val="clear"/>
            <w:tcMar>
              <w:top w:type="dxa" w:w="160"/>
              <w:left w:type="dxa" w:w="260"/>
              <w:bottom w:type="dxa" w:w="160"/>
              <w:right w:type="dxa" w:w="200"/>
            </w:tcMar>
          </w:tcPr>
          <w:p>
            <w:pPr>
              <w:spacing w:before="0" w:after="50"/>
            </w:pPr>
            <w:r>
              <w:rPr>
                <w:rFonts w:ascii="Georgia" w:cs="Georgia" w:eastAsia="Georgia" w:hAnsi="Georgia"/>
                <w:b/>
                <w:bCs/>
                <w:color w:val="2E75B6"/>
                <w:sz w:val="27"/>
                <w:szCs w:val="27"/>
              </w:rPr>
              <w:t xml:space="preserve">Public, Not Private</w:t>
            </w:r>
          </w:p>
          <w:p>
            <w:pPr>
              <w:spacing w:before="0" w:after="80"/>
            </w:pPr>
            <w:r>
              <w:rPr>
                <w:rFonts w:ascii="Georgia" w:cs="Georgia" w:eastAsia="Georgia" w:hAnsi="Georgia"/>
                <w:i/>
                <w:iCs/>
                <w:color w:val="555555"/>
                <w:sz w:val="20"/>
                <w:szCs w:val="20"/>
              </w:rPr>
              <w:t xml:space="preserve">We are a public institution with a public price.</w:t>
            </w:r>
          </w:p>
          <w:p>
            <w:pPr>
              <w:spacing w:before="0" w:after="0"/>
              <w:jc w:val="both"/>
            </w:pPr>
            <w:r>
              <w:rPr>
                <w:rFonts w:ascii="Georgia" w:cs="Georgia" w:eastAsia="Georgia" w:hAnsi="Georgia"/>
                <w:color w:val="1A1A1A"/>
                <w:sz w:val="22"/>
                <w:szCs w:val="22"/>
              </w:rPr>
              <w:t xml:space="preserve">Germany has a growing market of private distance universities that enrol hundreds of thousands of students and charge thousands of euros per year for qualifications that should be a public good. The OUG is a state-recognised university that charges a fraction of what private providers charge — not because we are a lesser institution but because we believe that education at this level should not be a market product. We are funded through a combination of public sources, student fees set at a socially sustainable level, and institutional partnerships with industry — not through the extraction of maximum tuition from individual learners.</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left w:val="none"/>
              <w:bottom w:val="none"/>
              <w:right w:val="none"/>
            </w:tcBorders>
            <w:shd w:fill="1A5C4A" w:val="clear"/>
            <w:tcMar>
              <w:top w:type="dxa" w:w="0"/>
              <w:left w:type="dxa" w:w="0"/>
              <w:bottom w:type="dxa" w:w="0"/>
              <w:right w:type="dxa" w:w="0"/>
            </w:tcMar>
          </w:tcPr>
          <w:p>
            <w:pPr>
              <w:spacing w:before="160" w:after="0"/>
              <w:jc w:val="center"/>
            </w:pPr>
            <w:r>
              <w:rPr>
                <w:rFonts w:ascii="Georgia" w:cs="Georgia" w:eastAsia="Georgia" w:hAnsi="Georgia"/>
                <w:b/>
                <w:bCs/>
                <w:color w:val="FFFFFF"/>
                <w:sz w:val="52"/>
                <w:szCs w:val="52"/>
              </w:rPr>
              <w:t xml:space="preserve">3</w:t>
            </w:r>
          </w:p>
          <w:p>
            <w:pPr>
              <w:spacing w:before="60" w:after="0"/>
              <w:jc w:val="center"/>
            </w:pPr>
            <w:r>
              <w:rPr>
                <w:rFonts w:ascii="Georgia" w:cs="Georgia" w:eastAsia="Georgia" w:hAnsi="Georgia"/>
                <w:color w:val="AAAAAA"/>
                <w:sz w:val="20"/>
                <w:szCs w:val="20"/>
              </w:rPr>
              <w:t xml:space="preserve">—</w:t>
            </w:r>
          </w:p>
        </w:tc>
        <w:tc>
          <w:tcPr>
            <w:tcW w:type="dxa" w:w="8326"/>
            <w:tcBorders>
              <w:top w:val="none"/>
              <w:left w:val="none"/>
              <w:bottom w:val="none"/>
              <w:right w:val="none"/>
            </w:tcBorders>
            <w:shd w:fill="F4F7FA" w:val="clear"/>
            <w:tcMar>
              <w:top w:type="dxa" w:w="160"/>
              <w:left w:type="dxa" w:w="260"/>
              <w:bottom w:type="dxa" w:w="160"/>
              <w:right w:type="dxa" w:w="200"/>
            </w:tcMar>
          </w:tcPr>
          <w:p>
            <w:pPr>
              <w:spacing w:before="0" w:after="50"/>
            </w:pPr>
            <w:r>
              <w:rPr>
                <w:rFonts w:ascii="Georgia" w:cs="Georgia" w:eastAsia="Georgia" w:hAnsi="Georgia"/>
                <w:b/>
                <w:bCs/>
                <w:color w:val="1A5C4A"/>
                <w:sz w:val="27"/>
                <w:szCs w:val="27"/>
              </w:rPr>
              <w:t xml:space="preserve">Quality Without Compromise</w:t>
            </w:r>
          </w:p>
          <w:p>
            <w:pPr>
              <w:spacing w:before="0" w:after="80"/>
            </w:pPr>
            <w:r>
              <w:rPr>
                <w:rFonts w:ascii="Georgia" w:cs="Georgia" w:eastAsia="Georgia" w:hAnsi="Georgia"/>
                <w:i/>
                <w:iCs/>
                <w:color w:val="555555"/>
                <w:sz w:val="20"/>
                <w:szCs w:val="20"/>
              </w:rPr>
              <w:t xml:space="preserve">Flexible does not mean easy. Open does not mean uncritical.</w:t>
            </w:r>
          </w:p>
          <w:p>
            <w:pPr>
              <w:spacing w:before="0" w:after="0"/>
              <w:jc w:val="both"/>
            </w:pPr>
            <w:r>
              <w:rPr>
                <w:rFonts w:ascii="Georgia" w:cs="Georgia" w:eastAsia="Georgia" w:hAnsi="Georgia"/>
                <w:color w:val="1A1A1A"/>
                <w:sz w:val="22"/>
                <w:szCs w:val="22"/>
              </w:rPr>
              <w:t xml:space="preserve">The OUG awards the same credentials as any other accredited German university. Our degrees are examined to the same standards, governed by the same academic frameworks, and held to the same quality assurance requirements. Modularity is a structural feature, not a reduction in academic rigour. Students who study at the OUG at their own pace, around their working lives, are doing something harder — not easier — than a traditional full-time student. The quality of their qualification reflects that.</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left w:val="none"/>
              <w:bottom w:val="none"/>
              <w:right w:val="none"/>
            </w:tcBorders>
            <w:shd w:fill="1A5C38" w:val="clear"/>
            <w:tcMar>
              <w:top w:type="dxa" w:w="0"/>
              <w:left w:type="dxa" w:w="0"/>
              <w:bottom w:type="dxa" w:w="0"/>
              <w:right w:type="dxa" w:w="0"/>
            </w:tcMar>
          </w:tcPr>
          <w:p>
            <w:pPr>
              <w:spacing w:before="160" w:after="0"/>
              <w:jc w:val="center"/>
            </w:pPr>
            <w:r>
              <w:rPr>
                <w:rFonts w:ascii="Georgia" w:cs="Georgia" w:eastAsia="Georgia" w:hAnsi="Georgia"/>
                <w:b/>
                <w:bCs/>
                <w:color w:val="FFFFFF"/>
                <w:sz w:val="52"/>
                <w:szCs w:val="52"/>
              </w:rPr>
              <w:t xml:space="preserve">4</w:t>
            </w:r>
          </w:p>
          <w:p>
            <w:pPr>
              <w:spacing w:before="60" w:after="0"/>
              <w:jc w:val="center"/>
            </w:pPr>
            <w:r>
              <w:rPr>
                <w:rFonts w:ascii="Georgia" w:cs="Georgia" w:eastAsia="Georgia" w:hAnsi="Georgia"/>
                <w:color w:val="AAAAAA"/>
                <w:sz w:val="20"/>
                <w:szCs w:val="20"/>
              </w:rPr>
              <w:t xml:space="preserve">—</w:t>
            </w:r>
          </w:p>
        </w:tc>
        <w:tc>
          <w:tcPr>
            <w:tcW w:type="dxa" w:w="8326"/>
            <w:tcBorders>
              <w:top w:val="none"/>
              <w:left w:val="none"/>
              <w:bottom w:val="none"/>
              <w:right w:val="none"/>
            </w:tcBorders>
            <w:shd w:fill="F4F7FA" w:val="clear"/>
            <w:tcMar>
              <w:top w:type="dxa" w:w="160"/>
              <w:left w:type="dxa" w:w="260"/>
              <w:bottom w:type="dxa" w:w="160"/>
              <w:right w:type="dxa" w:w="200"/>
            </w:tcMar>
          </w:tcPr>
          <w:p>
            <w:pPr>
              <w:spacing w:before="0" w:after="50"/>
            </w:pPr>
            <w:r>
              <w:rPr>
                <w:rFonts w:ascii="Georgia" w:cs="Georgia" w:eastAsia="Georgia" w:hAnsi="Georgia"/>
                <w:b/>
                <w:bCs/>
                <w:color w:val="1A5C38"/>
                <w:sz w:val="27"/>
                <w:szCs w:val="27"/>
              </w:rPr>
              <w:t xml:space="preserve">Federated, Not Isolated</w:t>
            </w:r>
          </w:p>
          <w:p>
            <w:pPr>
              <w:spacing w:before="0" w:after="80"/>
            </w:pPr>
            <w:r>
              <w:rPr>
                <w:rFonts w:ascii="Georgia" w:cs="Georgia" w:eastAsia="Georgia" w:hAnsi="Georgia"/>
                <w:i/>
                <w:iCs/>
                <w:color w:val="555555"/>
                <w:sz w:val="20"/>
                <w:szCs w:val="20"/>
              </w:rPr>
              <w:t xml:space="preserve">We are a university whose strength comes from connection.</w:t>
            </w:r>
          </w:p>
          <w:p>
            <w:pPr>
              <w:spacing w:before="0" w:after="0"/>
              <w:jc w:val="both"/>
            </w:pPr>
            <w:r>
              <w:rPr>
                <w:rFonts w:ascii="Georgia" w:cs="Georgia" w:eastAsia="Georgia" w:hAnsi="Georgia"/>
                <w:color w:val="1A1A1A"/>
                <w:sz w:val="22"/>
                <w:szCs w:val="22"/>
              </w:rPr>
              <w:t xml:space="preserve">The OUG does not teach alone. It is built as a federated institution: partner universities contribute teaching, Research Clusters bring together scholars from across the network, and industrial partners participate in governance alongside academic contributors and students. This federation is not a cost-saving arrangement. It is a structural choice about what kind of institution can best serve a distributed, diverse student population — one that draws on the breadth of German and European higher education rather than being limited by a single institution's capacities. Every credential the OUG awards reflects the combined quality of this network.</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left w:val="none"/>
              <w:bottom w:val="none"/>
              <w:right w:val="none"/>
            </w:tcBorders>
            <w:shd w:fill="7A4A00" w:val="clear"/>
            <w:tcMar>
              <w:top w:type="dxa" w:w="0"/>
              <w:left w:type="dxa" w:w="0"/>
              <w:bottom w:type="dxa" w:w="0"/>
              <w:right w:type="dxa" w:w="0"/>
            </w:tcMar>
          </w:tcPr>
          <w:p>
            <w:pPr>
              <w:spacing w:before="160" w:after="0"/>
              <w:jc w:val="center"/>
            </w:pPr>
            <w:r>
              <w:rPr>
                <w:rFonts w:ascii="Georgia" w:cs="Georgia" w:eastAsia="Georgia" w:hAnsi="Georgia"/>
                <w:b/>
                <w:bCs/>
                <w:color w:val="FFFFFF"/>
                <w:sz w:val="52"/>
                <w:szCs w:val="52"/>
              </w:rPr>
              <w:t xml:space="preserve">5</w:t>
            </w:r>
          </w:p>
          <w:p>
            <w:pPr>
              <w:spacing w:before="60" w:after="0"/>
              <w:jc w:val="center"/>
            </w:pPr>
            <w:r>
              <w:rPr>
                <w:rFonts w:ascii="Georgia" w:cs="Georgia" w:eastAsia="Georgia" w:hAnsi="Georgia"/>
                <w:color w:val="AAAAAA"/>
                <w:sz w:val="20"/>
                <w:szCs w:val="20"/>
              </w:rPr>
              <w:t xml:space="preserve">—</w:t>
            </w:r>
          </w:p>
        </w:tc>
        <w:tc>
          <w:tcPr>
            <w:tcW w:type="dxa" w:w="8326"/>
            <w:tcBorders>
              <w:top w:val="none"/>
              <w:left w:val="none"/>
              <w:bottom w:val="none"/>
              <w:right w:val="none"/>
            </w:tcBorders>
            <w:shd w:fill="F4F7FA" w:val="clear"/>
            <w:tcMar>
              <w:top w:type="dxa" w:w="160"/>
              <w:left w:type="dxa" w:w="260"/>
              <w:bottom w:type="dxa" w:w="160"/>
              <w:right w:type="dxa" w:w="200"/>
            </w:tcMar>
          </w:tcPr>
          <w:p>
            <w:pPr>
              <w:spacing w:before="0" w:after="50"/>
            </w:pPr>
            <w:r>
              <w:rPr>
                <w:rFonts w:ascii="Georgia" w:cs="Georgia" w:eastAsia="Georgia" w:hAnsi="Georgia"/>
                <w:b/>
                <w:bCs/>
                <w:color w:val="7A4A00"/>
                <w:sz w:val="27"/>
                <w:szCs w:val="27"/>
              </w:rPr>
              <w:t xml:space="preserve">Governed by Its Community</w:t>
            </w:r>
          </w:p>
          <w:p>
            <w:pPr>
              <w:spacing w:before="0" w:after="80"/>
            </w:pPr>
            <w:r>
              <w:rPr>
                <w:rFonts w:ascii="Georgia" w:cs="Georgia" w:eastAsia="Georgia" w:hAnsi="Georgia"/>
                <w:i/>
                <w:iCs/>
                <w:color w:val="555555"/>
                <w:sz w:val="20"/>
                <w:szCs w:val="20"/>
              </w:rPr>
              <w:t xml:space="preserve">The people who learn and teach here help shape what it becomes.</w:t>
            </w:r>
          </w:p>
          <w:p>
            <w:pPr>
              <w:spacing w:before="0" w:after="0"/>
              <w:jc w:val="both"/>
            </w:pPr>
            <w:r>
              <w:rPr>
                <w:rFonts w:ascii="Georgia" w:cs="Georgia" w:eastAsia="Georgia" w:hAnsi="Georgia"/>
                <w:color w:val="1A1A1A"/>
                <w:sz w:val="22"/>
                <w:szCs w:val="22"/>
              </w:rPr>
              <w:t xml:space="preserve">The OUG is governed collegially. Students hold seats in the Academic Senate with voting rights. Academic contributors from partner institutions participate in programme committees and Mission Hubs. Industrial partners who hold governance roles do so alongside — not above — academic and student governance participants. Strategy is built through structured participation, not delivered from above. This is not governance theatre. It is a structural commitment to the principle that an institution that serves its community should be shaped by it.</w:t>
            </w:r>
          </w:p>
        </w:tc>
      </w:tr>
    </w:tbl>
    <w:p>
      <w:pPr>
        <w:spacing w:before="0" w:after="200"/>
      </w:pPr>
    </w:p>
    <w:p>
      <w:pPr>
        <w:pBdr>
          <w:bottom w:val="single" w:color="CCCCCC" w:sz="2" w:space="1"/>
        </w:pBdr>
        <w:spacing w:before="200" w:after="200"/>
      </w:pPr>
    </w:p>
    <w:p>
      <w:pPr>
        <w:pStyle w:val="Heading1"/>
        <w:spacing w:before="480" w:after="140"/>
      </w:pPr>
      <w:r>
        <w:rPr>
          <w:rFonts w:ascii="Georgia" w:cs="Georgia" w:eastAsia="Georgia" w:hAnsi="Georgia"/>
          <w:b/>
          <w:bCs/>
          <w:color w:val="1F3864"/>
          <w:sz w:val="30"/>
          <w:szCs w:val="30"/>
        </w:rPr>
        <w:t xml:space="preserve">What This Means in Practice</w:t>
      </w:r>
    </w:p>
    <w:p>
      <w:pPr>
        <w:spacing w:before="0" w:after="185"/>
        <w:ind/>
        <w:jc w:val="both"/>
      </w:pPr>
      <w:r>
        <w:rPr>
          <w:rFonts w:ascii="Georgia" w:cs="Georgia" w:eastAsia="Georgia" w:hAnsi="Georgia"/>
          <w:b w:val="false"/>
          <w:bCs w:val="false"/>
          <w:i w:val="false"/>
          <w:iCs w:val="false"/>
          <w:color w:val="1A1A1A"/>
          <w:sz w:val="23"/>
          <w:szCs w:val="23"/>
        </w:rPr>
        <w:t xml:space="preserve">Principles are only as useful as their practical implications. The following is a plain-language summary of what each principle means for the three groups who engage most directly with the OUG.</w:t>
      </w:r>
    </w:p>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DDDDD" w:sz="1"/>
              <w:left w:val="single" w:color="DDDDDD" w:sz="1"/>
              <w:bottom w:val="single" w:color="DDDDDD" w:sz="1"/>
              <w:right w:val="single" w:color="DDDDDD" w:sz="1"/>
            </w:tcBorders>
            <w:shd w:fill="0D1F3C" w:val="clear"/>
            <w:tcMar>
              <w:top w:type="dxa" w:w="90"/>
              <w:left w:type="dxa" w:w="140"/>
              <w:bottom w:type="dxa" w:w="90"/>
              <w:right w:type="dxa" w:w="100"/>
            </w:tcMar>
          </w:tcPr>
          <w:p>
            <w:r>
              <w:rPr>
                <w:rFonts w:ascii="Arial" w:cs="Arial" w:eastAsia="Arial" w:hAnsi="Arial"/>
                <w:b/>
                <w:bCs/>
                <w:color w:val="FFFFFF"/>
                <w:sz w:val="18"/>
                <w:szCs w:val="18"/>
              </w:rPr>
              <w:t xml:space="preserve">If you are a prospective student</w:t>
            </w:r>
          </w:p>
        </w:tc>
        <w:tc>
          <w:tcPr>
            <w:tcW w:type="dxa" w:w="5426"/>
            <w:tcBorders>
              <w:top w:val="single" w:color="DDDDDD" w:sz="1"/>
              <w:left w:val="single" w:color="DDDDDD" w:sz="1"/>
              <w:bottom w:val="single" w:color="DDDDDD" w:sz="1"/>
              <w:right w:val="single" w:color="DDDDDD" w:sz="1"/>
            </w:tcBorders>
            <w:shd w:fill="0D1F3C" w:val="clear"/>
            <w:tcMar>
              <w:top w:type="dxa" w:w="90"/>
              <w:left w:type="dxa" w:w="140"/>
              <w:bottom w:type="dxa" w:w="90"/>
              <w:right w:type="dxa" w:w="100"/>
            </w:tcMar>
          </w:tcPr>
          <w:p>
            <w:r>
              <w:rPr>
                <w:rFonts w:ascii="Arial" w:cs="Arial" w:eastAsia="Arial" w:hAnsi="Arial"/>
                <w:b/>
                <w:bCs/>
                <w:color w:val="FFFFFF"/>
                <w:sz w:val="18"/>
                <w:szCs w:val="18"/>
              </w:rPr>
              <w:t xml:space="preserve"/>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F3864"/>
                <w:sz w:val="19"/>
                <w:szCs w:val="19"/>
              </w:rPr>
              <w:t xml:space="preserve">Access by Design means</w:t>
            </w:r>
          </w:p>
        </w:tc>
        <w:tc>
          <w:tcPr>
            <w:tcW w:type="dxa" w:w="5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both"/>
            </w:pPr>
            <w:r>
              <w:rPr>
                <w:rFonts w:ascii="Georgia" w:cs="Georgia" w:eastAsia="Georgia" w:hAnsi="Georgia"/>
                <w:color w:val="1A1A1A"/>
                <w:sz w:val="21"/>
                <w:szCs w:val="21"/>
              </w:rPr>
              <w:t xml:space="preserve">You do not need to choose between your life and your education. We built the institution around you, not around a traditional student archetype.</w:t>
            </w:r>
          </w:p>
        </w:tc>
      </w:tr>
      <w:tr>
        <w:tc>
          <w:tcPr>
            <w:tcW w:type="dxa" w:w="3600"/>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r>
              <w:rPr>
                <w:rFonts w:ascii="Arial" w:cs="Arial" w:eastAsia="Arial" w:hAnsi="Arial"/>
                <w:b/>
                <w:bCs/>
                <w:color w:val="1F3864"/>
                <w:sz w:val="19"/>
                <w:szCs w:val="19"/>
              </w:rPr>
              <w:t xml:space="preserve">Public, Not Private means</w:t>
            </w:r>
          </w:p>
        </w:tc>
        <w:tc>
          <w:tcPr>
            <w:tcW w:type="dxa" w:w="5426"/>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pPr>
              <w:jc w:val="both"/>
            </w:pPr>
            <w:r>
              <w:rPr>
                <w:rFonts w:ascii="Georgia" w:cs="Georgia" w:eastAsia="Georgia" w:hAnsi="Georgia"/>
                <w:color w:val="1A1A1A"/>
                <w:sz w:val="21"/>
                <w:szCs w:val="21"/>
              </w:rPr>
              <w:t xml:space="preserve">You will not pay anything close to what private distance universities charge. The OUG's pricing is set at a level that is sustainable for people who are paying for it while also working and living.</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F3864"/>
                <w:sz w:val="19"/>
                <w:szCs w:val="19"/>
              </w:rPr>
              <w:t xml:space="preserve">Quality Without Compromise means</w:t>
            </w:r>
          </w:p>
        </w:tc>
        <w:tc>
          <w:tcPr>
            <w:tcW w:type="dxa" w:w="5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both"/>
            </w:pPr>
            <w:r>
              <w:rPr>
                <w:rFonts w:ascii="Georgia" w:cs="Georgia" w:eastAsia="Georgia" w:hAnsi="Georgia"/>
                <w:color w:val="1A1A1A"/>
                <w:sz w:val="21"/>
                <w:szCs w:val="21"/>
              </w:rPr>
              <w:t xml:space="preserve">Your degree is worth what it says it is worth. You will be held to the same academic standards as any other accredited German university — and you will be supported to meet them.</w:t>
            </w:r>
          </w:p>
        </w:tc>
      </w:tr>
      <w:tr>
        <w:tc>
          <w:tcPr>
            <w:tcW w:type="dxa" w:w="3600"/>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r>
              <w:rPr>
                <w:rFonts w:ascii="Arial" w:cs="Arial" w:eastAsia="Arial" w:hAnsi="Arial"/>
                <w:b/>
                <w:bCs/>
                <w:color w:val="1F3864"/>
                <w:sz w:val="19"/>
                <w:szCs w:val="19"/>
              </w:rPr>
              <w:t xml:space="preserve">Federated, Not Isolated means</w:t>
            </w:r>
          </w:p>
        </w:tc>
        <w:tc>
          <w:tcPr>
            <w:tcW w:type="dxa" w:w="5426"/>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pPr>
              <w:jc w:val="both"/>
            </w:pPr>
            <w:r>
              <w:rPr>
                <w:rFonts w:ascii="Georgia" w:cs="Georgia" w:eastAsia="Georgia" w:hAnsi="Georgia"/>
                <w:color w:val="1A1A1A"/>
                <w:sz w:val="21"/>
                <w:szCs w:val="21"/>
              </w:rPr>
              <w:t xml:space="preserve">Your education draws on the expertise of multiple universities and scholars, not just one institution's faculty.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F3864"/>
                <w:sz w:val="19"/>
                <w:szCs w:val="19"/>
              </w:rPr>
              <w:t xml:space="preserve">Governed by Its Community means</w:t>
            </w:r>
          </w:p>
        </w:tc>
        <w:tc>
          <w:tcPr>
            <w:tcW w:type="dxa" w:w="5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both"/>
            </w:pPr>
            <w:r>
              <w:rPr>
                <w:rFonts w:ascii="Georgia" w:cs="Georgia" w:eastAsia="Georgia" w:hAnsi="Georgia"/>
                <w:color w:val="1A1A1A"/>
                <w:sz w:val="21"/>
                <w:szCs w:val="21"/>
              </w:rPr>
              <w:t xml:space="preserve">You have a voice in how the institution develops. Student governance participation at the OUG is substantive, not ceremonial.</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DDDDD" w:sz="1"/>
              <w:left w:val="single" w:color="DDDDDD" w:sz="1"/>
              <w:bottom w:val="single" w:color="DDDDDD" w:sz="1"/>
              <w:right w:val="single" w:color="DDDDDD" w:sz="1"/>
            </w:tcBorders>
            <w:shd w:fill="0D1F3C" w:val="clear"/>
            <w:tcMar>
              <w:top w:type="dxa" w:w="90"/>
              <w:left w:type="dxa" w:w="140"/>
              <w:bottom w:type="dxa" w:w="90"/>
              <w:right w:type="dxa" w:w="100"/>
            </w:tcMar>
          </w:tcPr>
          <w:p>
            <w:r>
              <w:rPr>
                <w:rFonts w:ascii="Arial" w:cs="Arial" w:eastAsia="Arial" w:hAnsi="Arial"/>
                <w:b/>
                <w:bCs/>
                <w:color w:val="FFFFFF"/>
                <w:sz w:val="18"/>
                <w:szCs w:val="18"/>
              </w:rPr>
              <w:t xml:space="preserve">If you are a prospective partner institution</w:t>
            </w:r>
          </w:p>
        </w:tc>
        <w:tc>
          <w:tcPr>
            <w:tcW w:type="dxa" w:w="5426"/>
            <w:tcBorders>
              <w:top w:val="single" w:color="DDDDDD" w:sz="1"/>
              <w:left w:val="single" w:color="DDDDDD" w:sz="1"/>
              <w:bottom w:val="single" w:color="DDDDDD" w:sz="1"/>
              <w:right w:val="single" w:color="DDDDDD" w:sz="1"/>
            </w:tcBorders>
            <w:shd w:fill="0D1F3C" w:val="clear"/>
            <w:tcMar>
              <w:top w:type="dxa" w:w="90"/>
              <w:left w:type="dxa" w:w="140"/>
              <w:bottom w:type="dxa" w:w="90"/>
              <w:right w:type="dxa" w:w="100"/>
            </w:tcMar>
          </w:tcPr>
          <w:p>
            <w:r>
              <w:rPr>
                <w:rFonts w:ascii="Arial" w:cs="Arial" w:eastAsia="Arial" w:hAnsi="Arial"/>
                <w:b/>
                <w:bCs/>
                <w:color w:val="FFFFFF"/>
                <w:sz w:val="18"/>
                <w:szCs w:val="18"/>
              </w:rPr>
              <w:t xml:space="preserve"/>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F3864"/>
                <w:sz w:val="19"/>
                <w:szCs w:val="19"/>
              </w:rPr>
              <w:t xml:space="preserve">Access by Design means</w:t>
            </w:r>
          </w:p>
        </w:tc>
        <w:tc>
          <w:tcPr>
            <w:tcW w:type="dxa" w:w="5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both"/>
            </w:pPr>
            <w:r>
              <w:rPr>
                <w:rFonts w:ascii="Georgia" w:cs="Georgia" w:eastAsia="Georgia" w:hAnsi="Georgia"/>
                <w:color w:val="1A1A1A"/>
                <w:sz w:val="21"/>
                <w:szCs w:val="21"/>
              </w:rPr>
              <w:t xml:space="preserve">You will reach learners your own structures cannot reach. Partnership with OUG extends your institution's impact without requiring structural change on your side.</w:t>
            </w:r>
          </w:p>
        </w:tc>
      </w:tr>
      <w:tr>
        <w:tc>
          <w:tcPr>
            <w:tcW w:type="dxa" w:w="3600"/>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r>
              <w:rPr>
                <w:rFonts w:ascii="Arial" w:cs="Arial" w:eastAsia="Arial" w:hAnsi="Arial"/>
                <w:b/>
                <w:bCs/>
                <w:color w:val="1F3864"/>
                <w:sz w:val="19"/>
                <w:szCs w:val="19"/>
              </w:rPr>
              <w:t xml:space="preserve">Public, Not Private means</w:t>
            </w:r>
          </w:p>
        </w:tc>
        <w:tc>
          <w:tcPr>
            <w:tcW w:type="dxa" w:w="5426"/>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pPr>
              <w:jc w:val="both"/>
            </w:pPr>
            <w:r>
              <w:rPr>
                <w:rFonts w:ascii="Georgia" w:cs="Georgia" w:eastAsia="Georgia" w:hAnsi="Georgia"/>
                <w:color w:val="1A1A1A"/>
                <w:sz w:val="21"/>
                <w:szCs w:val="21"/>
              </w:rPr>
              <w:t xml:space="preserve">You are contributing to a public mission, not to a commercial competitor. Your students will not be recruited away from you — OUG serves a different population.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F3864"/>
                <w:sz w:val="19"/>
                <w:szCs w:val="19"/>
              </w:rPr>
              <w:t xml:space="preserve">Quality Without Compromise means</w:t>
            </w:r>
          </w:p>
        </w:tc>
        <w:tc>
          <w:tcPr>
            <w:tcW w:type="dxa" w:w="5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both"/>
            </w:pPr>
            <w:r>
              <w:rPr>
                <w:rFonts w:ascii="Georgia" w:cs="Georgia" w:eastAsia="Georgia" w:hAnsi="Georgia"/>
                <w:color w:val="1A1A1A"/>
                <w:sz w:val="21"/>
                <w:szCs w:val="21"/>
              </w:rPr>
              <w:t xml:space="preserve">The quality of teaching you contribute is held to clear standards. The OUG's quality assurance framework applies to all contributions, protecting your institution's reputation alongside ours.</w:t>
            </w:r>
          </w:p>
        </w:tc>
      </w:tr>
      <w:tr>
        <w:tc>
          <w:tcPr>
            <w:tcW w:type="dxa" w:w="3600"/>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r>
              <w:rPr>
                <w:rFonts w:ascii="Arial" w:cs="Arial" w:eastAsia="Arial" w:hAnsi="Arial"/>
                <w:b/>
                <w:bCs/>
                <w:color w:val="1F3864"/>
                <w:sz w:val="19"/>
                <w:szCs w:val="19"/>
              </w:rPr>
              <w:t xml:space="preserve">Federated, Not Isolated means</w:t>
            </w:r>
          </w:p>
        </w:tc>
        <w:tc>
          <w:tcPr>
            <w:tcW w:type="dxa" w:w="5426"/>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pPr>
              <w:jc w:val="both"/>
            </w:pPr>
            <w:r>
              <w:rPr>
                <w:rFonts w:ascii="Georgia" w:cs="Georgia" w:eastAsia="Georgia" w:hAnsi="Georgia"/>
                <w:color w:val="1A1A1A"/>
                <w:sz w:val="21"/>
                <w:szCs w:val="21"/>
              </w:rPr>
              <w:t xml:space="preserve">Partnership means genuine co-ownership: governance rights, research collaboration, and a network of peer institutions — not a subcontracting relationship.</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F3864"/>
                <w:sz w:val="19"/>
                <w:szCs w:val="19"/>
              </w:rPr>
              <w:t xml:space="preserve">Governed by Its Community means</w:t>
            </w:r>
          </w:p>
        </w:tc>
        <w:tc>
          <w:tcPr>
            <w:tcW w:type="dxa" w:w="5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both"/>
            </w:pPr>
            <w:r>
              <w:rPr>
                <w:rFonts w:ascii="Georgia" w:cs="Georgia" w:eastAsia="Georgia" w:hAnsi="Georgia"/>
                <w:color w:val="1A1A1A"/>
                <w:sz w:val="21"/>
                <w:szCs w:val="21"/>
              </w:rPr>
              <w:t xml:space="preserve">You have formal governance standing. Programme Partner and Strategic Partner institutions hold Senate seats and shape academic direction.</w:t>
            </w:r>
          </w:p>
        </w:tc>
      </w:tr>
    </w:tbl>
    <w:p>
      <w:pPr>
        <w:spacing w:before="0"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DDDDD" w:sz="1"/>
              <w:left w:val="single" w:color="DDDDDD" w:sz="1"/>
              <w:bottom w:val="single" w:color="DDDDDD" w:sz="1"/>
              <w:right w:val="single" w:color="DDDDDD" w:sz="1"/>
            </w:tcBorders>
            <w:shd w:fill="0D1F3C" w:val="clear"/>
            <w:tcMar>
              <w:top w:type="dxa" w:w="90"/>
              <w:left w:type="dxa" w:w="140"/>
              <w:bottom w:type="dxa" w:w="90"/>
              <w:right w:type="dxa" w:w="100"/>
            </w:tcMar>
          </w:tcPr>
          <w:p>
            <w:r>
              <w:rPr>
                <w:rFonts w:ascii="Arial" w:cs="Arial" w:eastAsia="Arial" w:hAnsi="Arial"/>
                <w:b/>
                <w:bCs/>
                <w:color w:val="FFFFFF"/>
                <w:sz w:val="18"/>
                <w:szCs w:val="18"/>
              </w:rPr>
              <w:t xml:space="preserve">If you are a policymaker or funder</w:t>
            </w:r>
          </w:p>
        </w:tc>
        <w:tc>
          <w:tcPr>
            <w:tcW w:type="dxa" w:w="5426"/>
            <w:tcBorders>
              <w:top w:val="single" w:color="DDDDDD" w:sz="1"/>
              <w:left w:val="single" w:color="DDDDDD" w:sz="1"/>
              <w:bottom w:val="single" w:color="DDDDDD" w:sz="1"/>
              <w:right w:val="single" w:color="DDDDDD" w:sz="1"/>
            </w:tcBorders>
            <w:shd w:fill="0D1F3C" w:val="clear"/>
            <w:tcMar>
              <w:top w:type="dxa" w:w="90"/>
              <w:left w:type="dxa" w:w="140"/>
              <w:bottom w:type="dxa" w:w="90"/>
              <w:right w:type="dxa" w:w="100"/>
            </w:tcMar>
          </w:tcPr>
          <w:p>
            <w:r>
              <w:rPr>
                <w:rFonts w:ascii="Arial" w:cs="Arial" w:eastAsia="Arial" w:hAnsi="Arial"/>
                <w:b/>
                <w:bCs/>
                <w:color w:val="FFFFFF"/>
                <w:sz w:val="18"/>
                <w:szCs w:val="18"/>
              </w:rPr>
              <w:t xml:space="preserve"/>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F3864"/>
                <w:sz w:val="19"/>
                <w:szCs w:val="19"/>
              </w:rPr>
              <w:t xml:space="preserve">Access by Design means</w:t>
            </w:r>
          </w:p>
        </w:tc>
        <w:tc>
          <w:tcPr>
            <w:tcW w:type="dxa" w:w="5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both"/>
            </w:pPr>
            <w:r>
              <w:rPr>
                <w:rFonts w:ascii="Georgia" w:cs="Georgia" w:eastAsia="Georgia" w:hAnsi="Georgia"/>
                <w:color w:val="1A1A1A"/>
                <w:sz w:val="21"/>
                <w:szCs w:val="21"/>
              </w:rPr>
              <w:t xml:space="preserve">The OUG addresses the structural exclusion that leaves hundreds of thousands of potential learners without access to public higher education — not through outreach programmes but through institutional design.</w:t>
            </w:r>
          </w:p>
        </w:tc>
      </w:tr>
      <w:tr>
        <w:tc>
          <w:tcPr>
            <w:tcW w:type="dxa" w:w="3600"/>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r>
              <w:rPr>
                <w:rFonts w:ascii="Arial" w:cs="Arial" w:eastAsia="Arial" w:hAnsi="Arial"/>
                <w:b/>
                <w:bCs/>
                <w:color w:val="1F3864"/>
                <w:sz w:val="19"/>
                <w:szCs w:val="19"/>
              </w:rPr>
              <w:t xml:space="preserve">Public, Not Private means</w:t>
            </w:r>
          </w:p>
        </w:tc>
        <w:tc>
          <w:tcPr>
            <w:tcW w:type="dxa" w:w="5426"/>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pPr>
              <w:jc w:val="both"/>
            </w:pPr>
            <w:r>
              <w:rPr>
                <w:rFonts w:ascii="Georgia" w:cs="Georgia" w:eastAsia="Georgia" w:hAnsi="Georgia"/>
                <w:color w:val="1A1A1A"/>
                <w:sz w:val="21"/>
                <w:szCs w:val="21"/>
              </w:rPr>
              <w:t xml:space="preserve">Every euro of public investment in the OUG supports learners who would otherwise pay market prices to private providers, or not study at all. This is a public good argument, not a subsidy request.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F3864"/>
                <w:sz w:val="19"/>
                <w:szCs w:val="19"/>
              </w:rPr>
              <w:t xml:space="preserve">Quality Without Compromise means</w:t>
            </w:r>
          </w:p>
        </w:tc>
        <w:tc>
          <w:tcPr>
            <w:tcW w:type="dxa" w:w="5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both"/>
            </w:pPr>
            <w:r>
              <w:rPr>
                <w:rFonts w:ascii="Georgia" w:cs="Georgia" w:eastAsia="Georgia" w:hAnsi="Georgia"/>
                <w:color w:val="1A1A1A"/>
                <w:sz w:val="21"/>
                <w:szCs w:val="21"/>
              </w:rPr>
              <w:t xml:space="preserve">The OUG is accredited, quality-assured, and degree-awarding to the standards of German higher education law. It is a university, not an experiment.</w:t>
            </w:r>
          </w:p>
        </w:tc>
      </w:tr>
      <w:tr>
        <w:tc>
          <w:tcPr>
            <w:tcW w:type="dxa" w:w="3600"/>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r>
              <w:rPr>
                <w:rFonts w:ascii="Arial" w:cs="Arial" w:eastAsia="Arial" w:hAnsi="Arial"/>
                <w:b/>
                <w:bCs/>
                <w:color w:val="1F3864"/>
                <w:sz w:val="19"/>
                <w:szCs w:val="19"/>
              </w:rPr>
              <w:t xml:space="preserve">Federated, Not Isolated means</w:t>
            </w:r>
          </w:p>
        </w:tc>
        <w:tc>
          <w:tcPr>
            <w:tcW w:type="dxa" w:w="5426"/>
            <w:tcBorders>
              <w:top w:val="single" w:color="DDDDDD" w:sz="1"/>
              <w:left w:val="single" w:color="DDDDDD" w:sz="1"/>
              <w:bottom w:val="single" w:color="DDDDDD" w:sz="1"/>
              <w:right w:val="single" w:color="DDDDDD" w:sz="1"/>
            </w:tcBorders>
            <w:shd w:fill="F4F7FA" w:val="clear"/>
            <w:tcMar>
              <w:top w:type="dxa" w:w="80"/>
              <w:left w:type="dxa" w:w="140"/>
              <w:bottom w:type="dxa" w:w="80"/>
              <w:right w:type="dxa" w:w="100"/>
            </w:tcMar>
          </w:tcPr>
          <w:p>
            <w:pPr>
              <w:jc w:val="both"/>
            </w:pPr>
            <w:r>
              <w:rPr>
                <w:rFonts w:ascii="Georgia" w:cs="Georgia" w:eastAsia="Georgia" w:hAnsi="Georgia"/>
                <w:color w:val="1A1A1A"/>
                <w:sz w:val="21"/>
                <w:szCs w:val="21"/>
              </w:rPr>
              <w:t xml:space="preserve">The OUG strengthens the existing higher education system rather than competing with it. It creates revenue flows back to partner universities and builds interoperability across institutions.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b/>
                <w:bCs/>
                <w:color w:val="1F3864"/>
                <w:sz w:val="19"/>
                <w:szCs w:val="19"/>
              </w:rPr>
              <w:t xml:space="preserve">Governed by Its Community means</w:t>
            </w:r>
          </w:p>
        </w:tc>
        <w:tc>
          <w:tcPr>
            <w:tcW w:type="dxa" w:w="5426"/>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pPr>
              <w:jc w:val="both"/>
            </w:pPr>
            <w:r>
              <w:rPr>
                <w:rFonts w:ascii="Georgia" w:cs="Georgia" w:eastAsia="Georgia" w:hAnsi="Georgia"/>
                <w:color w:val="1A1A1A"/>
                <w:sz w:val="21"/>
                <w:szCs w:val="21"/>
              </w:rPr>
              <w:t xml:space="preserve">The OUG's governance architecture is designed for accountability and resilience — not dependent on a single founding leader, protected against commercial capture, and subject to regular external review.</w:t>
            </w:r>
          </w:p>
        </w:tc>
      </w:tr>
    </w:tbl>
    <w:p>
      <w:pPr>
        <w:spacing w:before="0" w:after="200"/>
      </w:pPr>
    </w:p>
    <w:p>
      <w:pPr>
        <w:pBdr>
          <w:bottom w:val="single" w:color="CCCCCC" w:sz="2" w:space="1"/>
        </w:pBdr>
        <w:spacing w:before="200" w:after="200"/>
      </w:pPr>
    </w:p>
    <w:p>
      <w:pPr>
        <w:pStyle w:val="Heading1"/>
        <w:spacing w:before="480" w:after="140"/>
      </w:pPr>
      <w:r>
        <w:rPr>
          <w:rFonts w:ascii="Georgia" w:cs="Georgia" w:eastAsia="Georgia" w:hAnsi="Georgia"/>
          <w:b/>
          <w:bCs/>
          <w:color w:val="1F3864"/>
          <w:sz w:val="30"/>
          <w:szCs w:val="30"/>
        </w:rPr>
        <w:t xml:space="preserve">How These Principles Are Maintained</w:t>
      </w:r>
    </w:p>
    <w:p>
      <w:pPr>
        <w:spacing w:before="0" w:after="185"/>
        <w:ind/>
        <w:jc w:val="both"/>
      </w:pPr>
      <w:r>
        <w:rPr>
          <w:rFonts w:ascii="Georgia" w:cs="Georgia" w:eastAsia="Georgia" w:hAnsi="Georgia"/>
          <w:b w:val="false"/>
          <w:bCs w:val="false"/>
          <w:i w:val="false"/>
          <w:iCs w:val="false"/>
          <w:color w:val="1A1A1A"/>
          <w:sz w:val="23"/>
          <w:szCs w:val="23"/>
        </w:rPr>
        <w:t xml:space="preserve">Publishing five principles is easy. Holding to them over time — as the institution grows, as funding pressures arise, as new opportunities appear that might compromise the founding commitments — is the governance challenge. The OUG has three specific mechanisms for protecting these principles against institutional drift.</w:t>
      </w:r>
    </w:p>
    <w:p>
      <w:pPr>
        <w:spacing w:before="0" w:after="80"/>
      </w:pPr>
    </w:p>
    <w:p>
      <w:pPr>
        <w:spacing w:before="0" w:after="185"/>
        <w:jc w:val="both"/>
      </w:pPr>
      <w:r>
        <w:rPr>
          <w:rFonts w:ascii="Georgia" w:cs="Georgia" w:eastAsia="Georgia" w:hAnsi="Georgia"/>
          <w:b/>
          <w:bCs/>
          <w:i w:val="false"/>
          <w:iCs w:val="false"/>
          <w:color w:val="1F3864"/>
          <w:sz w:val="23"/>
          <w:szCs w:val="23"/>
        </w:rPr>
        <w:t xml:space="preserve">Mission Integrity Review. </w:t>
      </w:r>
      <w:r>
        <w:rPr>
          <w:rFonts w:ascii="Georgia" w:cs="Georgia" w:eastAsia="Georgia" w:hAnsi="Georgia"/>
          <w:b w:val="false"/>
          <w:bCs w:val="false"/>
          <w:i w:val="false"/>
          <w:iCs w:val="false"/>
          <w:color w:val="1A1A1A"/>
          <w:sz w:val="23"/>
          <w:szCs w:val="23"/>
        </w:rPr>
        <w:t xml:space="preserve">Every four years, as part of the strategic review cycle, the G1 Constitutional Stewardship body conducts a Mission Integrity Review: a structured assessment of whether the OUG is still serving the learners it was designed to reach, at the price point its public character requires, with the quality it claims. The findings of this review are published.</w:t>
      </w:r>
    </w:p>
    <w:p>
      <w:pPr>
        <w:spacing w:before="0" w:after="60"/>
      </w:pPr>
    </w:p>
    <w:p>
      <w:pPr>
        <w:spacing w:before="0" w:after="185"/>
        <w:jc w:val="both"/>
      </w:pPr>
      <w:r>
        <w:rPr>
          <w:rFonts w:ascii="Georgia" w:cs="Georgia" w:eastAsia="Georgia" w:hAnsi="Georgia"/>
          <w:b/>
          <w:bCs/>
          <w:i w:val="false"/>
          <w:iCs w:val="false"/>
          <w:color w:val="1F3864"/>
          <w:sz w:val="23"/>
          <w:szCs w:val="23"/>
        </w:rPr>
        <w:t xml:space="preserve">Public reporting. </w:t>
      </w:r>
      <w:r>
        <w:rPr>
          <w:rFonts w:ascii="Georgia" w:cs="Georgia" w:eastAsia="Georgia" w:hAnsi="Georgia"/>
          <w:b w:val="false"/>
          <w:bCs w:val="false"/>
          <w:i w:val="false"/>
          <w:iCs w:val="false"/>
          <w:color w:val="1A1A1A"/>
          <w:sz w:val="23"/>
          <w:szCs w:val="23"/>
        </w:rPr>
        <w:t xml:space="preserve">The annual Institutional Report includes a section that explicitly maps institutional performance against these five principles — not just financial and enrolment data, but evidence about who is studying at the OUG, what it costs them, and how they experience governance participation. This document is publicly available.</w:t>
      </w:r>
    </w:p>
    <w:p>
      <w:pPr>
        <w:spacing w:before="0" w:after="60"/>
      </w:pPr>
    </w:p>
    <w:p>
      <w:pPr>
        <w:spacing w:before="0" w:after="185"/>
        <w:jc w:val="both"/>
      </w:pPr>
      <w:r>
        <w:rPr>
          <w:rFonts w:ascii="Georgia" w:cs="Georgia" w:eastAsia="Georgia" w:hAnsi="Georgia"/>
          <w:b/>
          <w:bCs/>
          <w:i w:val="false"/>
          <w:iCs w:val="false"/>
          <w:color w:val="1F3864"/>
          <w:sz w:val="23"/>
          <w:szCs w:val="23"/>
        </w:rPr>
        <w:t xml:space="preserve">Strategy formation with the community. </w:t>
      </w:r>
      <w:r>
        <w:rPr>
          <w:rFonts w:ascii="Georgia" w:cs="Georgia" w:eastAsia="Georgia" w:hAnsi="Georgia"/>
          <w:b w:val="false"/>
          <w:bCs w:val="false"/>
          <w:i w:val="false"/>
          <w:iCs w:val="false"/>
          <w:color w:val="1A1A1A"/>
          <w:sz w:val="23"/>
          <w:szCs w:val="23"/>
        </w:rPr>
        <w:t xml:space="preserve">When the OUG renews its strategy, it does so through a structured participatory process in which students, academic contributors, and partners contribute to defining the next period's priorities. These principles frame that process — they are the commitments against which new strategic directions are tested.</w:t>
      </w:r>
    </w:p>
    <w:p>
      <w:pPr>
        <w:spacing w:before="0" w:after="200"/>
      </w:pPr>
    </w:p>
    <w:p>
      <w:pPr>
        <w:pBdr>
          <w:bottom w:val="single" w:color="2E75B6" w:sz="4" w:space="1"/>
        </w:pBdr>
        <w:spacing w:before="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none"/>
              <w:bottom w:val="none"/>
              <w:right w:val="none"/>
            </w:tcBorders>
            <w:shd w:fill="F4F7FA" w:val="clear"/>
            <w:tcMar>
              <w:top w:type="dxa" w:w="220"/>
              <w:left w:type="dxa" w:w="320"/>
              <w:bottom w:type="dxa" w:w="220"/>
              <w:right w:type="dxa" w:w="280"/>
            </w:tcMar>
          </w:tcPr>
          <w:p>
            <w:pPr>
              <w:jc w:val="both"/>
            </w:pPr>
            <w:r>
              <w:rPr>
                <w:rFonts w:ascii="Georgia" w:cs="Georgia" w:eastAsia="Georgia" w:hAnsi="Georgia"/>
                <w:i/>
                <w:iCs/>
                <w:color w:val="1A1A1A"/>
                <w:sz w:val="23"/>
                <w:szCs w:val="23"/>
              </w:rPr>
              <w:t xml:space="preserve">These five principles are not what we aspire to. They are what we are accountable to. They can be tested, and if the OUG is not living up to them, that failure can be named — by students, by partners, by the public, and by the institution itself. That accountability is built into the governance architecture. It is not a promise; it is a structure.</w:t>
            </w:r>
          </w:p>
        </w:tc>
      </w:tr>
    </w:tbl>
    <w:p>
      <w:pPr>
        <w:spacing w:before="0" w:after="200"/>
      </w:pPr>
    </w:p>
    <w:p>
      <w:pPr>
        <w:pBdr>
          <w:bottom w:val="single" w:color="CCCCCC" w:sz="2" w:space="1"/>
        </w:pBdr>
        <w:spacing w:before="200" w:after="200"/>
      </w:pPr>
    </w:p>
    <w:p>
      <w:pPr>
        <w:spacing w:before="160" w:after="0"/>
        <w:jc w:val="right"/>
      </w:pPr>
      <w:r>
        <w:rPr>
          <w:rFonts w:ascii="Arial" w:cs="Arial" w:eastAsia="Arial" w:hAnsi="Arial"/>
          <w:i/>
          <w:iCs/>
          <w:color w:val="BBBBBB"/>
          <w:sz w:val="17"/>
          <w:szCs w:val="17"/>
        </w:rPr>
        <w:t xml:space="preserve">Open University of Germany  ·  Strategic Clarity Statement  ·  Public Document  ·  2026</w:t>
      </w:r>
    </w:p>
    <w:sectPr>
      <w:pgSz w:w="11906" w:h="16838" w:orient="portrait"/>
      <w:pgMar w:top="13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Georgia" w:cs="Georgia" w:eastAsia="Georgia" w:hAnsi="Georgia"/>
        <w:b/>
        <w:bCs/>
        <w:color w:val="2E75B6"/>
        <w:sz w:val="23"/>
        <w:szCs w:val="23"/>
      </w:rPr>
    </w:lvl>
  </w:abstractNum>
  <w:abstractNum w:abstractNumId="3" w15:restartNumberingAfterBreak="0">
    <w:multiLevelType w:val="hybridMultilevel"/>
    <w:lvl w:ilvl="0" w15:tentative="1">
      <w:start w:val="1"/>
      <w:numFmt w:val="decimal"/>
      <w:lvlText w:val="%1."/>
      <w:lvlJc w:val="left"/>
      <w:pPr>
        <w:ind w:left="560" w:hanging="280"/>
      </w:pPr>
      <w:rPr>
        <w:rFonts w:ascii="Georgia" w:cs="Georgia" w:eastAsia="Georgia" w:hAnsi="Georgia"/>
        <w:b/>
        <w:bCs/>
        <w:color w:val="1F3864"/>
        <w:sz w:val="23"/>
        <w:szCs w:val="23"/>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40"/>
      <w:outlineLvl w:val="0"/>
    </w:pPr>
    <w:rPr>
      <w:rFonts w:ascii="Georgia" w:cs="Georgia" w:eastAsia="Georgia" w:hAnsi="Georgia"/>
      <w:b/>
      <w:bCs/>
      <w:color w:val="1F3864"/>
      <w:sz w:val="30"/>
      <w:szCs w:val="30"/>
    </w:rPr>
  </w:style>
  <w:style w:type="paragraph" w:styleId="Heading2">
    <w:name w:val="Heading 2"/>
    <w:basedOn w:val="Normal"/>
    <w:next w:val="Normal"/>
    <w:qFormat/>
    <w:pPr>
      <w:spacing w:before="320" w:after="100"/>
      <w:outlineLvl w:val="1"/>
    </w:pPr>
    <w:rPr>
      <w:rFonts w:ascii="Georgia" w:cs="Georgia" w:eastAsia="Georgia" w:hAnsi="Georgia"/>
      <w:b/>
      <w:bCs/>
      <w:color w:val="2E75B6"/>
      <w:sz w:val="25"/>
      <w:szCs w:val="25"/>
    </w:rPr>
  </w:style>
  <w:style w:type="paragraph" w:styleId="Heading3">
    <w:name w:val="Heading 3"/>
    <w:basedOn w:val="Normal"/>
    <w:next w:val="Normal"/>
    <w:qFormat/>
    <w:pPr>
      <w:spacing w:before="24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2026-03-19T19:59:56.857Z</dcterms:created>
  <dcterms:modified xsi:type="dcterms:W3CDTF">2026-03-19T19:59:56.858Z</dcterms:modified>
</cp:coreProperties>
</file>

<file path=docProps/custom.xml><?xml version="1.0" encoding="utf-8"?>
<Properties xmlns="http://schemas.openxmlformats.org/officeDocument/2006/custom-properties" xmlns:vt="http://schemas.openxmlformats.org/officeDocument/2006/docPropsVTypes"/>
</file>