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ind/>
        <w:rPr>
          <w:sz w:val="32"/>
          <w:szCs w:val="32"/>
        </w:rPr>
      </w:pPr>
      <w:r>
        <w:rPr>
          <w:rFonts w:ascii="Arial" w:hAnsi="Arial"/>
          <w:b/>
          <w:i w:val="0"/>
          <w:sz w:val="32"/>
          <w:szCs w:val="32"/>
        </w:rPr>
        <w:t xml:space="preserve">METRON (PTY) LTD</w:t>
      </w:r>
      <w:r>
        <w:rPr>
          <w:sz w:val="32"/>
          <w:szCs w:val="32"/>
        </w:rPr>
      </w:r>
    </w:p>
    <w:p>
      <w:pPr>
        <w:pBdr/>
        <w:spacing w:after="240" w:before="0"/>
        <w:ind/>
        <w:rPr>
          <w:b/>
          <w:bCs/>
          <w:sz w:val="24"/>
          <w:szCs w:val="24"/>
        </w:rPr>
      </w:pPr>
      <w:r>
        <w:rPr>
          <w:rFonts w:ascii="Arial" w:hAnsi="Arial"/>
          <w:b/>
          <w:bCs/>
          <w:i w:val="0"/>
          <w:sz w:val="24"/>
          <w:szCs w:val="24"/>
        </w:rPr>
        <w:t xml:space="preserve">Stratus Weather  |  AS3935 Lightning Detection and Alerting</w:t>
      </w:r>
      <w:r>
        <w:rPr>
          <w:b/>
          <w:bCs/>
          <w:sz w:val="24"/>
          <w:szCs w:val="24"/>
        </w:rPr>
      </w:r>
    </w:p>
    <w:p>
      <w:pPr>
        <w:pBdr/>
        <w:spacing w:after="40" w:before="0"/>
        <w:ind/>
        <w:rPr>
          <w:rFonts w:ascii="Arial" w:hAnsi="Arial"/>
          <w:b/>
          <w:bCs w:val="0"/>
          <w:i w:val="0"/>
          <w:sz w:val="24"/>
          <w:szCs w:val="24"/>
        </w:rPr>
      </w:pPr>
      <w:r>
        <w:rPr>
          <w:rFonts w:ascii="Arial" w:hAnsi="Arial"/>
          <w:b/>
          <w:i w:val="0"/>
          <w:sz w:val="24"/>
          <w:szCs w:val="24"/>
        </w:rPr>
        <w:t xml:space="preserve">Trial Period </w:t>
      </w:r>
      <w:r>
        <w:rPr>
          <w:rFonts w:ascii="Arial" w:hAnsi="Arial"/>
          <w:b/>
          <w:i w:val="0"/>
          <w:sz w:val="24"/>
          <w:szCs w:val="24"/>
        </w:rPr>
        <w:t xml:space="preserve">Terms and Conditions</w:t>
      </w:r>
      <w:r>
        <w:rPr>
          <w:sz w:val="24"/>
          <w:szCs w:val="24"/>
        </w:rPr>
      </w:r>
      <w:r>
        <w:rPr>
          <w:rFonts w:ascii="Arial" w:hAnsi="Arial"/>
          <w:b/>
          <w:bCs w:val="0"/>
          <w:i w:val="0"/>
          <w:sz w:val="24"/>
          <w:szCs w:val="24"/>
        </w:rPr>
      </w:r>
    </w:p>
    <w:p>
      <w:pPr>
        <w:pBdr/>
        <w:spacing w:after="40" w:before="0"/>
        <w:ind/>
        <w:rPr>
          <w:sz w:val="24"/>
          <w:szCs w:val="24"/>
          <w:highlight w:val="none"/>
        </w:rPr>
      </w:pPr>
      <w:r>
        <w:rPr>
          <w:rFonts w:ascii="Arial" w:hAnsi="Arial"/>
          <w:b w:val="0"/>
          <w:i w:val="0"/>
          <w:sz w:val="24"/>
          <w:szCs w:val="24"/>
        </w:rPr>
        <w:t xml:space="preserve">Lightning Detection and Alerting Unit  |  Prepared for Glencore Wonderkop</w:t>
      </w:r>
      <w:r>
        <w:rPr>
          <w:sz w:val="24"/>
          <w:szCs w:val="24"/>
        </w:rPr>
      </w:r>
      <w:r>
        <w:rPr>
          <w:sz w:val="24"/>
          <w:szCs w:val="24"/>
        </w:rPr>
      </w:r>
    </w:p>
    <w:p w14:paraId="4B8BB1A0">
      <w:pPr>
        <w:pBdr/>
        <w:spacing w:after="40" w:before="0"/>
        <w:ind/>
        <w:rPr>
          <w:sz w:val="24"/>
          <w:szCs w:val="24"/>
          <w:highlight w:val="none"/>
        </w:rPr>
      </w:pPr>
      <w:r>
        <w:rPr>
          <w:sz w:val="24"/>
          <w:szCs w:val="24"/>
          <w:highlight w:val="none"/>
        </w:rPr>
        <w:t xml:space="preserve">Date: 31 August 2026</w:t>
      </w:r>
      <w:r>
        <w:rPr>
          <w:sz w:val="24"/>
          <w:szCs w:val="24"/>
        </w:rPr>
      </w:r>
    </w:p>
    <w:p w14:paraId="7D31EECE">
      <w:pPr>
        <w:pBdr/>
        <w:spacing w:after="40" w:before="0"/>
        <w:ind/>
        <w:rPr>
          <w:sz w:val="24"/>
          <w:szCs w:val="24"/>
        </w:rPr>
      </w:pPr>
      <w:r>
        <w:rPr>
          <w:sz w:val="24"/>
          <w:szCs w:val="24"/>
          <w:highlight w:val="none"/>
        </w:rPr>
        <w:t xml:space="preserve">Quotation Reference: Q9915.1523.31082026</w:t>
      </w:r>
      <w:r>
        <w:rPr>
          <w:sz w:val="24"/>
          <w:szCs w:val="24"/>
          <w:highlight w:val="none"/>
        </w:rPr>
      </w:r>
    </w:p>
    <w:p>
      <w:pPr>
        <w:pBdr/>
        <w:spacing w:after="120" w:before="0"/>
        <w:ind/>
        <w:rPr>
          <w:sz w:val="24"/>
          <w:szCs w:val="24"/>
        </w:rPr>
      </w:pPr>
      <w:r>
        <w:rPr>
          <w:rFonts w:ascii="Arial" w:hAnsi="Arial"/>
          <w:b w:val="0"/>
          <w:i w:val="0"/>
          <w:sz w:val="24"/>
          <w:szCs w:val="24"/>
        </w:rPr>
        <w:t xml:space="preserve">This document sets out the terms on which Metron (Pt</w:t>
      </w:r>
      <w:r>
        <w:rPr>
          <w:rFonts w:ascii="Arial" w:hAnsi="Arial"/>
          <w:b w:val="0"/>
          <w:i w:val="0"/>
          <w:sz w:val="24"/>
          <w:szCs w:val="24"/>
        </w:rPr>
        <w:t xml:space="preserve">y) Ltd ("Metron") will make a lightning detection and alerting unit available to Glencore Wonderkop ("the Client") for a trial period, so that the Client can see the unit working in the context of its own site setup before committing to the full quotation.</w:t>
      </w:r>
      <w:r>
        <w:rPr>
          <w:sz w:val="24"/>
          <w:szCs w:val="24"/>
        </w:rPr>
      </w:r>
    </w:p>
    <w:p>
      <w:pPr>
        <w:pBdr/>
        <w:spacing w:after="80" w:before="240"/>
        <w:ind/>
        <w:rPr/>
      </w:pPr>
      <w:r>
        <w:rPr>
          <w:rFonts w:ascii="Arial" w:hAnsi="Arial"/>
          <w:b/>
          <w:i w:val="0"/>
          <w:sz w:val="23"/>
        </w:rPr>
        <w:t xml:space="preserve">Summary</w:t>
      </w:r>
      <w:r/>
    </w:p>
    <w:p>
      <w:pPr>
        <w:pBdr/>
        <w:tabs>
          <w:tab w:val="left" w:leader="none" w:pos="2608"/>
        </w:tabs>
        <w:spacing w:after="80"/>
        <w:ind w:hanging="2608" w:left="2608"/>
        <w:rPr>
          <w:sz w:val="24"/>
          <w:szCs w:val="24"/>
        </w:rPr>
      </w:pPr>
      <w:r>
        <w:rPr>
          <w:rFonts w:ascii="Arial" w:hAnsi="Arial"/>
          <w:b/>
          <w:sz w:val="24"/>
          <w:szCs w:val="24"/>
        </w:rPr>
        <w:t xml:space="preserve">Trial length</w:t>
        <w:tab/>
      </w:r>
      <w:r>
        <w:rPr>
          <w:rFonts w:ascii="Arial" w:hAnsi="Arial"/>
          <w:sz w:val="24"/>
          <w:szCs w:val="24"/>
        </w:rPr>
        <w:t xml:space="preserve">Eight (8) weeks from the Commissioning Date</w:t>
      </w:r>
      <w:r>
        <w:rPr>
          <w:sz w:val="24"/>
          <w:szCs w:val="24"/>
        </w:rPr>
      </w:r>
    </w:p>
    <w:p>
      <w:pPr>
        <w:pBdr/>
        <w:tabs>
          <w:tab w:val="left" w:leader="none" w:pos="2608"/>
        </w:tabs>
        <w:spacing w:after="80"/>
        <w:ind w:hanging="2608" w:left="2608"/>
        <w:rPr>
          <w:sz w:val="24"/>
          <w:szCs w:val="24"/>
        </w:rPr>
      </w:pPr>
      <w:r>
        <w:rPr>
          <w:rFonts w:ascii="Arial" w:hAnsi="Arial"/>
          <w:b/>
          <w:sz w:val="24"/>
          <w:szCs w:val="24"/>
        </w:rPr>
        <w:t xml:space="preserve">Billed for the trial</w:t>
        <w:tab/>
      </w:r>
      <w:r>
        <w:rPr>
          <w:rFonts w:ascii="Arial" w:hAnsi="Arial"/>
          <w:sz w:val="24"/>
          <w:szCs w:val="24"/>
        </w:rPr>
        <w:t xml:space="preserve">Installation and travel costs only</w:t>
      </w:r>
      <w:r>
        <w:rPr>
          <w:sz w:val="24"/>
          <w:szCs w:val="24"/>
        </w:rPr>
      </w:r>
    </w:p>
    <w:p>
      <w:pPr>
        <w:pBdr/>
        <w:tabs>
          <w:tab w:val="left" w:leader="none" w:pos="2608"/>
        </w:tabs>
        <w:spacing w:after="80"/>
        <w:ind w:hanging="2608" w:left="2608"/>
        <w:rPr>
          <w:sz w:val="24"/>
          <w:szCs w:val="24"/>
        </w:rPr>
      </w:pPr>
      <w:r>
        <w:rPr>
          <w:rFonts w:ascii="Arial" w:hAnsi="Arial"/>
          <w:b/>
          <w:sz w:val="24"/>
          <w:szCs w:val="24"/>
        </w:rPr>
        <w:t xml:space="preserve">Trial scope</w:t>
        <w:tab/>
      </w:r>
      <w:r>
        <w:rPr>
          <w:rFonts w:ascii="Arial" w:hAnsi="Arial"/>
          <w:sz w:val="24"/>
          <w:szCs w:val="24"/>
        </w:rPr>
        <w:t xml:space="preserve">Basic administration panel and dashboard, alerting to a limited group of recipients (10)</w:t>
      </w:r>
      <w:r>
        <w:rPr>
          <w:sz w:val="24"/>
          <w:szCs w:val="24"/>
        </w:rPr>
      </w:r>
    </w:p>
    <w:p>
      <w:pPr>
        <w:pBdr/>
        <w:tabs>
          <w:tab w:val="left" w:leader="none" w:pos="2608"/>
        </w:tabs>
        <w:spacing w:after="80"/>
        <w:ind w:hanging="2608" w:left="2608"/>
        <w:rPr>
          <w:sz w:val="24"/>
          <w:szCs w:val="24"/>
        </w:rPr>
      </w:pPr>
      <w:r>
        <w:rPr>
          <w:rFonts w:ascii="Arial" w:hAnsi="Arial"/>
          <w:b/>
          <w:sz w:val="24"/>
          <w:szCs w:val="24"/>
        </w:rPr>
        <w:t xml:space="preserve">Decision window</w:t>
        <w:tab/>
      </w:r>
      <w:r>
        <w:rPr>
          <w:rFonts w:ascii="Arial" w:hAnsi="Arial"/>
          <w:sz w:val="24"/>
          <w:szCs w:val="24"/>
        </w:rPr>
        <w:t xml:space="preserve">Two (2) weeks after the trial ends</w:t>
      </w:r>
      <w:r>
        <w:rPr>
          <w:sz w:val="24"/>
          <w:szCs w:val="24"/>
        </w:rPr>
      </w:r>
    </w:p>
    <w:p>
      <w:pPr>
        <w:pBdr/>
        <w:tabs>
          <w:tab w:val="left" w:leader="none" w:pos="2608"/>
        </w:tabs>
        <w:spacing w:after="80"/>
        <w:ind w:hanging="2608" w:left="2608"/>
        <w:rPr>
          <w:sz w:val="24"/>
          <w:szCs w:val="24"/>
        </w:rPr>
      </w:pPr>
      <w:r>
        <w:rPr>
          <w:rFonts w:ascii="Arial" w:hAnsi="Arial"/>
          <w:b/>
          <w:sz w:val="24"/>
          <w:szCs w:val="24"/>
        </w:rPr>
        <w:t xml:space="preserve">If the Client continues</w:t>
        <w:tab/>
      </w:r>
      <w:r>
        <w:rPr>
          <w:rFonts w:ascii="Arial" w:hAnsi="Arial"/>
          <w:sz w:val="24"/>
          <w:szCs w:val="24"/>
        </w:rPr>
        <w:t xml:space="preserve">Quotation </w:t>
      </w:r>
      <w:r>
        <w:rPr>
          <w:sz w:val="24"/>
          <w:szCs w:val="24"/>
          <w:highlight w:val="none"/>
        </w:rPr>
        <w:t xml:space="preserve">Q9915.1523.31082026</w:t>
      </w:r>
      <w:r>
        <w:rPr>
          <w:rFonts w:ascii="Arial" w:hAnsi="Arial"/>
          <w:sz w:val="24"/>
          <w:szCs w:val="24"/>
        </w:rPr>
        <w:t xml:space="preserve"> applies, with no further site visit or installation charge</w:t>
      </w:r>
      <w:r>
        <w:rPr>
          <w:sz w:val="24"/>
          <w:szCs w:val="24"/>
        </w:rPr>
      </w:r>
    </w:p>
    <w:p>
      <w:pPr>
        <w:pBdr/>
        <w:spacing w:after="80" w:before="240"/>
        <w:ind/>
        <w:rPr>
          <w:sz w:val="24"/>
          <w:szCs w:val="24"/>
        </w:rPr>
      </w:pPr>
      <w:r>
        <w:rPr>
          <w:rFonts w:ascii="Arial" w:hAnsi="Arial"/>
          <w:b/>
          <w:i w:val="0"/>
          <w:sz w:val="24"/>
          <w:szCs w:val="24"/>
        </w:rPr>
        <w:t xml:space="preserve">1. Purpose and scope</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1.1</w:t>
        <w:tab/>
      </w:r>
      <w:r>
        <w:rPr>
          <w:rFonts w:ascii="Arial" w:hAnsi="Arial"/>
          <w:sz w:val="24"/>
          <w:szCs w:val="24"/>
        </w:rPr>
        <w:t xml:space="preserve">These terms govern an eight (8) week trial of the lightning detection and alerting unit installed at the Client's Wonderkop site.</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1.2</w:t>
        <w:tab/>
      </w:r>
      <w:r>
        <w:rPr>
          <w:rFonts w:ascii="Arial" w:hAnsi="Arial"/>
          <w:sz w:val="24"/>
          <w:szCs w:val="24"/>
        </w:rPr>
        <w:t xml:space="preserve">The purpose of the trial is evaluation. It allows the Client to observe the unit operating within its own site arrangements, reporting to its own nominated people, before accepting the full quotation.</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1.3</w:t>
        <w:tab/>
      </w:r>
      <w:r>
        <w:rPr>
          <w:rFonts w:ascii="Arial" w:hAnsi="Arial"/>
          <w:sz w:val="24"/>
          <w:szCs w:val="24"/>
        </w:rPr>
        <w:t xml:space="preserve">These terms apply to the trial only.</w:t>
      </w:r>
      <w:r>
        <w:rPr>
          <w:sz w:val="24"/>
          <w:szCs w:val="24"/>
        </w:rPr>
      </w:r>
    </w:p>
    <w:p>
      <w:pPr>
        <w:pBdr/>
        <w:spacing w:after="80" w:before="240"/>
        <w:ind/>
        <w:rPr>
          <w:sz w:val="24"/>
          <w:szCs w:val="24"/>
        </w:rPr>
      </w:pPr>
      <w:r>
        <w:rPr>
          <w:rFonts w:ascii="Arial" w:hAnsi="Arial"/>
          <w:b/>
          <w:i w:val="0"/>
          <w:sz w:val="24"/>
          <w:szCs w:val="24"/>
        </w:rPr>
        <w:t xml:space="preserve">2. What is supplied for the trial</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2.1</w:t>
        <w:tab/>
      </w:r>
      <w:r>
        <w:rPr>
          <w:rFonts w:ascii="Arial" w:hAnsi="Arial"/>
          <w:sz w:val="24"/>
          <w:szCs w:val="24"/>
        </w:rPr>
        <w:t xml:space="preserve">One lightning detection unit, installed, commissioned and configured on site.</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2.2</w:t>
        <w:tab/>
      </w:r>
      <w:r>
        <w:rPr>
          <w:rFonts w:ascii="Arial" w:hAnsi="Arial"/>
          <w:sz w:val="24"/>
          <w:szCs w:val="24"/>
        </w:rPr>
        <w:t xml:space="preserve">A basic administration panel for the unit, giving the Client visibility of unit status and alert history.</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2.3</w:t>
        <w:tab/>
      </w:r>
      <w:r>
        <w:rPr>
          <w:rFonts w:ascii="Arial" w:hAnsi="Arial"/>
          <w:sz w:val="24"/>
          <w:szCs w:val="24"/>
        </w:rPr>
        <w:t xml:space="preserve">A basic dashboard view of detected activity.</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2.4</w:t>
        <w:tab/>
      </w:r>
      <w:r>
        <w:rPr>
          <w:rFonts w:ascii="Arial" w:hAnsi="Arial"/>
          <w:sz w:val="24"/>
          <w:szCs w:val="24"/>
        </w:rPr>
        <w:t xml:space="preserve">Alerting by SMS to a limited group of 10 recipients nominated by the Client.</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2.5</w:t>
        <w:tab/>
      </w:r>
      <w:r>
        <w:rPr>
          <w:rFonts w:ascii="Arial" w:hAnsi="Arial"/>
          <w:sz w:val="24"/>
          <w:szCs w:val="24"/>
        </w:rPr>
        <w:t xml:space="preserve">The detection and</w:t>
      </w:r>
      <w:r>
        <w:rPr>
          <w:rFonts w:ascii="Arial" w:hAnsi="Arial"/>
          <w:sz w:val="24"/>
          <w:szCs w:val="24"/>
        </w:rPr>
        <w:t xml:space="preserve"> alerting path used during the trial is the same one that would run in production. The trial is smaller in scope, not reduced in capability: the difference is the number of recipients and the extent of the panel and dashboard, not the quality of detection.</w:t>
      </w:r>
      <w:r>
        <w:rPr>
          <w:sz w:val="24"/>
          <w:szCs w:val="24"/>
        </w:rPr>
      </w:r>
    </w:p>
    <w:p>
      <w:pPr>
        <w:pBdr/>
        <w:spacing w:after="80" w:before="240"/>
        <w:ind/>
        <w:rPr>
          <w:sz w:val="24"/>
          <w:szCs w:val="24"/>
        </w:rPr>
      </w:pPr>
      <w:r>
        <w:rPr>
          <w:rFonts w:ascii="Arial" w:hAnsi="Arial"/>
          <w:b/>
          <w:i w:val="0"/>
          <w:sz w:val="24"/>
          <w:szCs w:val="24"/>
        </w:rPr>
        <w:t xml:space="preserve">3. Trial period</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3.1</w:t>
        <w:tab/>
      </w:r>
      <w:r>
        <w:rPr>
          <w:rFonts w:ascii="Arial" w:hAnsi="Arial"/>
          <w:sz w:val="24"/>
          <w:szCs w:val="24"/>
        </w:rPr>
        <w:t xml:space="preserve">The trial runs for eight (8) weeks, beginning on the date the unit is commissioned and confirmed to be running on site (the "Commissioning Date").</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3.2</w:t>
        <w:tab/>
      </w:r>
      <w:r>
        <w:rPr>
          <w:rFonts w:ascii="Arial" w:hAnsi="Arial"/>
          <w:sz w:val="24"/>
          <w:szCs w:val="24"/>
        </w:rPr>
        <w:t xml:space="preserve">The Commissioning Date will be recorded in writing by both parties on completion of installation.</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3.3</w:t>
        <w:tab/>
      </w:r>
      <w:r>
        <w:rPr>
          <w:rFonts w:ascii="Arial" w:hAnsi="Arial"/>
          <w:sz w:val="24"/>
          <w:szCs w:val="24"/>
        </w:rPr>
        <w:t xml:space="preserve">The trial ends eight (8) weeks after the Commissioning Date (the "Trial End Date").</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3.4</w:t>
        <w:tab/>
      </w:r>
      <w:r>
        <w:rPr>
          <w:rFonts w:ascii="Arial" w:hAnsi="Arial"/>
          <w:sz w:val="24"/>
          <w:szCs w:val="24"/>
        </w:rPr>
        <w:t xml:space="preserve">The unit continues to operate normally, at no additional charge, from the Trial End Date until the Decision Date in clause 5.</w:t>
      </w:r>
      <w:r>
        <w:rPr>
          <w:sz w:val="24"/>
          <w:szCs w:val="24"/>
        </w:rPr>
      </w:r>
    </w:p>
    <w:p>
      <w:pPr>
        <w:pBdr/>
        <w:spacing w:after="80" w:before="240"/>
        <w:ind/>
        <w:rPr>
          <w:sz w:val="24"/>
          <w:szCs w:val="24"/>
        </w:rPr>
      </w:pPr>
      <w:r>
        <w:rPr>
          <w:rFonts w:ascii="Arial" w:hAnsi="Arial"/>
          <w:b/>
          <w:i w:val="0"/>
          <w:sz w:val="24"/>
          <w:szCs w:val="24"/>
        </w:rPr>
        <w:t xml:space="preserve">4. What the Client pays during the trial</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4.1</w:t>
        <w:tab/>
      </w:r>
      <w:r>
        <w:rPr>
          <w:rFonts w:ascii="Arial" w:hAnsi="Arial"/>
          <w:sz w:val="24"/>
          <w:szCs w:val="24"/>
        </w:rPr>
        <w:t xml:space="preserve">The Client is billed only for the installation and travel costs associated with getting the unit on site and running.</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4.2</w:t>
        <w:tab/>
      </w:r>
      <w:r>
        <w:rPr>
          <w:rFonts w:ascii="Arial" w:hAnsi="Arial"/>
          <w:sz w:val="24"/>
          <w:szCs w:val="24"/>
        </w:rPr>
        <w:t xml:space="preserve">No license, subscription, monitoring or alerting fees are charged for the trial period itself.</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4.3</w:t>
        <w:tab/>
      </w:r>
      <w:r>
        <w:rPr>
          <w:rFonts w:ascii="Arial" w:hAnsi="Arial"/>
          <w:sz w:val="24"/>
          <w:szCs w:val="24"/>
        </w:rPr>
        <w:t xml:space="preserve">The installation and travel costs are payable whether or not the Client continues after </w:t>
      </w:r>
      <w:r>
        <w:rPr>
          <w:sz w:val="24"/>
          <w:szCs w:val="24"/>
        </w:rPr>
      </w:r>
    </w:p>
    <w:p>
      <w:pPr>
        <w:pBdr/>
        <w:spacing w:after="80" w:before="240"/>
        <w:ind/>
        <w:rPr>
          <w:sz w:val="24"/>
          <w:szCs w:val="24"/>
        </w:rPr>
      </w:pPr>
      <w:r>
        <w:rPr>
          <w:rFonts w:ascii="Arial" w:hAnsi="Arial"/>
          <w:b/>
          <w:i w:val="0"/>
          <w:sz w:val="24"/>
          <w:szCs w:val="24"/>
        </w:rPr>
        <w:t xml:space="preserve">5. Decision window after the trial</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5.1</w:t>
        <w:tab/>
      </w:r>
      <w:r>
        <w:rPr>
          <w:rFonts w:ascii="Arial" w:hAnsi="Arial"/>
          <w:sz w:val="24"/>
          <w:szCs w:val="24"/>
        </w:rPr>
        <w:t xml:space="preserve">The Client has two (2) weeks from the Trial End Date (the "Decision Date"), to confirm in writing whether they wish to continue.</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5.2</w:t>
        <w:tab/>
      </w:r>
      <w:r>
        <w:rPr>
          <w:rFonts w:ascii="Arial" w:hAnsi="Arial"/>
          <w:sz w:val="24"/>
          <w:szCs w:val="24"/>
        </w:rPr>
        <w:t xml:space="preserve">Continuing means written acceptance of the final quotation. An expression of interest without acceptance of the quotation is not continuation for the purposes of these terms.</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5.3</w:t>
        <w:tab/>
      </w:r>
      <w:r>
        <w:rPr>
          <w:rFonts w:ascii="Arial" w:hAnsi="Arial"/>
          <w:sz w:val="24"/>
          <w:szCs w:val="24"/>
        </w:rPr>
        <w:t xml:space="preserve">If Metron has received no response, or no acceptance of the final quotation, by the Decision Date, Metron will remove the unit in accordance with clause 7.</w:t>
      </w:r>
      <w:r>
        <w:rPr>
          <w:sz w:val="24"/>
          <w:szCs w:val="24"/>
        </w:rPr>
      </w:r>
      <w:r>
        <w:rPr>
          <w:rFonts w:ascii="Arial" w:hAnsi="Arial"/>
          <w:b w:val="0"/>
          <w:sz w:val="24"/>
          <w:szCs w:val="24"/>
        </w:rPr>
      </w:r>
      <w:r>
        <w:rPr>
          <w:sz w:val="24"/>
          <w:szCs w:val="24"/>
        </w:rPr>
      </w:r>
      <w:r>
        <w:rPr>
          <w:sz w:val="24"/>
          <w:szCs w:val="24"/>
        </w:rPr>
      </w:r>
    </w:p>
    <w:p>
      <w:pPr>
        <w:pBdr/>
        <w:spacing w:after="80" w:before="240"/>
        <w:ind/>
        <w:rPr>
          <w:sz w:val="24"/>
          <w:szCs w:val="24"/>
        </w:rPr>
      </w:pPr>
      <w:r>
        <w:rPr>
          <w:rFonts w:ascii="Arial" w:hAnsi="Arial"/>
          <w:b/>
          <w:i w:val="0"/>
          <w:sz w:val="24"/>
          <w:szCs w:val="24"/>
        </w:rPr>
        <w:t xml:space="preserve">6. If the Client continues</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6.1</w:t>
        <w:tab/>
      </w:r>
      <w:r>
        <w:rPr>
          <w:rFonts w:ascii="Arial" w:hAnsi="Arial"/>
          <w:sz w:val="24"/>
          <w:szCs w:val="24"/>
        </w:rPr>
        <w:t xml:space="preserve">Quotation Q9915.1523.31082026 applies from the Decision Date, adjusted as set out in this clause.</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6.2</w:t>
        <w:tab/>
      </w:r>
      <w:r>
        <w:rPr>
          <w:rFonts w:ascii="Arial" w:hAnsi="Arial"/>
          <w:sz w:val="24"/>
          <w:szCs w:val="24"/>
        </w:rPr>
        <w:t xml:space="preserve">No further site visit or installation charge applies. The unit remains in place and continues running as normal, so the site visit and installation already carried out and paid for under clause 4 is not repeated or re-billed.</w:t>
      </w:r>
      <w:r>
        <w:rPr>
          <w:sz w:val="24"/>
          <w:szCs w:val="24"/>
        </w:rPr>
      </w:r>
    </w:p>
    <w:p w14:paraId="537CAFB8">
      <w:pPr>
        <w:pBdr/>
        <w:spacing w:after="80" w:before="240"/>
        <w:ind/>
        <w:rPr>
          <w:sz w:val="24"/>
          <w:szCs w:val="24"/>
        </w:rPr>
      </w:pPr>
      <w:r>
        <w:rPr>
          <w:rFonts w:ascii="Arial" w:hAnsi="Arial"/>
          <w:b/>
          <w:i w:val="0"/>
          <w:sz w:val="24"/>
          <w:szCs w:val="24"/>
          <w:highlight w:val="none"/>
        </w:rPr>
      </w:r>
      <w:r>
        <w:rPr>
          <w:rFonts w:ascii="Arial" w:hAnsi="Arial"/>
          <w:b/>
          <w:i w:val="0"/>
          <w:sz w:val="24"/>
          <w:szCs w:val="24"/>
          <w:highlight w:val="none"/>
        </w:rPr>
      </w:r>
      <w:r>
        <w:rPr>
          <w:rFonts w:ascii="Arial" w:hAnsi="Arial"/>
          <w:b/>
          <w:i w:val="0"/>
          <w:sz w:val="24"/>
          <w:szCs w:val="24"/>
          <w:highlight w:val="none"/>
        </w:rPr>
      </w:r>
    </w:p>
    <w:p w14:paraId="6D5F04C9">
      <w:pPr>
        <w:pBdr/>
        <w:spacing w:after="80" w:before="240"/>
        <w:ind/>
        <w:rPr>
          <w:rFonts w:ascii="Arial" w:hAnsi="Arial"/>
          <w:b/>
          <w:bCs w:val="0"/>
          <w:i w:val="0"/>
          <w:sz w:val="24"/>
          <w:szCs w:val="24"/>
          <w:highlight w:val="none"/>
        </w:rPr>
      </w:pPr>
      <w:r>
        <w:rPr>
          <w:rFonts w:ascii="Arial" w:hAnsi="Arial"/>
          <w:b/>
          <w:i w:val="0"/>
          <w:sz w:val="24"/>
          <w:szCs w:val="24"/>
          <w:highlight w:val="none"/>
        </w:rPr>
      </w:r>
      <w:r>
        <w:rPr>
          <w:rFonts w:ascii="Arial" w:hAnsi="Arial"/>
          <w:b/>
          <w:i w:val="0"/>
          <w:sz w:val="24"/>
          <w:szCs w:val="24"/>
          <w:highlight w:val="none"/>
        </w:rPr>
      </w:r>
      <w:r>
        <w:rPr>
          <w:rFonts w:ascii="Arial" w:hAnsi="Arial"/>
          <w:b/>
          <w:i w:val="0"/>
          <w:sz w:val="24"/>
          <w:szCs w:val="24"/>
          <w:highlight w:val="none"/>
        </w:rPr>
      </w:r>
    </w:p>
    <w:p w14:paraId="1ACEFC49">
      <w:pPr>
        <w:pBdr/>
        <w:spacing w:after="80" w:before="240"/>
        <w:ind/>
        <w:rPr>
          <w:rFonts w:ascii="Arial" w:hAnsi="Arial"/>
          <w:b/>
          <w:bCs w:val="0"/>
          <w:i w:val="0"/>
          <w:sz w:val="24"/>
          <w:szCs w:val="24"/>
          <w:highlight w:val="none"/>
        </w:rPr>
      </w:pPr>
      <w:r>
        <w:rPr>
          <w:rFonts w:ascii="Arial" w:hAnsi="Arial"/>
          <w:b/>
          <w:i w:val="0"/>
          <w:sz w:val="24"/>
          <w:szCs w:val="24"/>
          <w:highlight w:val="none"/>
        </w:rPr>
      </w:r>
      <w:r>
        <w:rPr>
          <w:rFonts w:ascii="Arial" w:hAnsi="Arial"/>
          <w:b/>
          <w:i w:val="0"/>
          <w:sz w:val="24"/>
          <w:szCs w:val="24"/>
          <w:highlight w:val="none"/>
        </w:rPr>
      </w:r>
      <w:r>
        <w:rPr>
          <w:rFonts w:ascii="Arial" w:hAnsi="Arial"/>
          <w:b/>
          <w:i w:val="0"/>
          <w:sz w:val="24"/>
          <w:szCs w:val="24"/>
          <w:highlight w:val="none"/>
        </w:rPr>
      </w:r>
    </w:p>
    <w:p w14:paraId="57C9A440">
      <w:pPr>
        <w:pBdr/>
        <w:spacing w:after="80" w:before="240"/>
        <w:ind/>
        <w:rPr>
          <w:rFonts w:ascii="Arial" w:hAnsi="Arial"/>
          <w:b/>
          <w:bCs w:val="0"/>
          <w:i w:val="0"/>
          <w:sz w:val="24"/>
          <w:szCs w:val="24"/>
          <w:highlight w:val="none"/>
        </w:rPr>
      </w:pPr>
      <w:r>
        <w:rPr>
          <w:rFonts w:ascii="Arial" w:hAnsi="Arial"/>
          <w:b/>
          <w:i w:val="0"/>
          <w:sz w:val="24"/>
          <w:szCs w:val="24"/>
          <w:highlight w:val="none"/>
        </w:rPr>
      </w:r>
      <w:r>
        <w:rPr>
          <w:rFonts w:ascii="Arial" w:hAnsi="Arial"/>
          <w:b/>
          <w:i w:val="0"/>
          <w:sz w:val="24"/>
          <w:szCs w:val="24"/>
          <w:highlight w:val="none"/>
        </w:rPr>
      </w:r>
      <w:r>
        <w:rPr>
          <w:rFonts w:ascii="Arial" w:hAnsi="Arial"/>
          <w:b/>
          <w:i w:val="0"/>
          <w:sz w:val="24"/>
          <w:szCs w:val="24"/>
          <w:highlight w:val="none"/>
        </w:rPr>
      </w:r>
    </w:p>
    <w:p w14:paraId="3C158AE2">
      <w:pPr>
        <w:pBdr/>
        <w:spacing w:after="80" w:before="240"/>
        <w:ind/>
        <w:rPr>
          <w:rFonts w:ascii="Arial" w:hAnsi="Arial"/>
          <w:b/>
          <w:bCs w:val="0"/>
          <w:i w:val="0"/>
          <w:sz w:val="24"/>
          <w:szCs w:val="24"/>
          <w:highlight w:val="none"/>
        </w:rPr>
      </w:pPr>
      <w:r>
        <w:rPr>
          <w:rFonts w:ascii="Arial" w:hAnsi="Arial"/>
          <w:b/>
          <w:i w:val="0"/>
          <w:sz w:val="24"/>
          <w:szCs w:val="24"/>
          <w:highlight w:val="none"/>
        </w:rPr>
      </w:r>
      <w:r>
        <w:rPr>
          <w:rFonts w:ascii="Arial" w:hAnsi="Arial"/>
          <w:b/>
          <w:i w:val="0"/>
          <w:sz w:val="24"/>
          <w:szCs w:val="24"/>
          <w:highlight w:val="none"/>
        </w:rPr>
      </w:r>
      <w:r>
        <w:rPr>
          <w:rFonts w:ascii="Arial" w:hAnsi="Arial"/>
          <w:b/>
          <w:i w:val="0"/>
          <w:sz w:val="24"/>
          <w:szCs w:val="24"/>
          <w:highlight w:val="none"/>
        </w:rPr>
      </w:r>
    </w:p>
    <w:p>
      <w:pPr>
        <w:pBdr/>
        <w:spacing w:after="80" w:before="240"/>
        <w:ind/>
        <w:rPr>
          <w:rFonts w:ascii="Arial" w:hAnsi="Arial"/>
          <w:b/>
          <w:bCs w:val="0"/>
          <w:i w:val="0"/>
          <w:sz w:val="24"/>
          <w:szCs w:val="24"/>
          <w:highlight w:val="none"/>
        </w:rPr>
      </w:pPr>
      <w:r>
        <w:rPr>
          <w:rFonts w:ascii="Arial" w:hAnsi="Arial"/>
          <w:b/>
          <w:i w:val="0"/>
          <w:sz w:val="24"/>
          <w:szCs w:val="24"/>
        </w:rPr>
        <w:t xml:space="preserve">7. If the Client does not continue</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7.1</w:t>
        <w:tab/>
      </w:r>
      <w:r>
        <w:rPr>
          <w:rFonts w:ascii="Arial" w:hAnsi="Arial"/>
          <w:sz w:val="24"/>
          <w:szCs w:val="24"/>
        </w:rPr>
        <w:t xml:space="preserve">Metron will remove the unit within 10 working days of the Decision Date, at a time arranged with the Client.</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7.2</w:t>
        <w:tab/>
      </w:r>
      <w:r>
        <w:rPr>
          <w:rFonts w:ascii="Arial" w:hAnsi="Arial"/>
          <w:sz w:val="24"/>
          <w:szCs w:val="24"/>
        </w:rPr>
        <w:t xml:space="preserve">The Client will grant Metron access to the installation position for the purpose of removal.</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7.3</w:t>
        <w:tab/>
      </w:r>
      <w:r>
        <w:rPr>
          <w:rFonts w:ascii="Arial" w:hAnsi="Arial"/>
          <w:sz w:val="24"/>
          <w:szCs w:val="24"/>
        </w:rPr>
        <w:t xml:space="preserve">Detection and alerting stop when the unit is removed. The Client must not rely on the system, or on any alert from it, after removal.</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7.4</w:t>
        <w:tab/>
      </w:r>
      <w:r>
        <w:rPr>
          <w:rFonts w:ascii="Arial" w:hAnsi="Arial"/>
          <w:sz w:val="24"/>
          <w:szCs w:val="24"/>
        </w:rPr>
        <w:t xml:space="preserve">No amounts beyond those in clause 4 become payable because the Client chooses not to continue.</w:t>
      </w:r>
      <w:r>
        <w:rPr>
          <w:sz w:val="24"/>
          <w:szCs w:val="24"/>
        </w:rPr>
      </w:r>
    </w:p>
    <w:p>
      <w:pPr>
        <w:pBdr/>
        <w:spacing w:after="80" w:before="240"/>
        <w:ind/>
        <w:rPr>
          <w:sz w:val="24"/>
          <w:szCs w:val="24"/>
        </w:rPr>
      </w:pPr>
      <w:r>
        <w:rPr>
          <w:rFonts w:ascii="Arial" w:hAnsi="Arial"/>
          <w:b/>
          <w:i w:val="0"/>
          <w:sz w:val="24"/>
          <w:szCs w:val="24"/>
        </w:rPr>
        <w:t xml:space="preserve">8. Client responsibilities</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8.1</w:t>
        <w:tab/>
      </w:r>
      <w:r>
        <w:rPr>
          <w:rFonts w:ascii="Arial" w:hAnsi="Arial"/>
          <w:sz w:val="24"/>
          <w:szCs w:val="24"/>
        </w:rPr>
        <w:t xml:space="preserve">To provide safe access to the site and to the installation position, including any induction, permit or escort its procedures require.</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8.2</w:t>
        <w:tab/>
      </w:r>
      <w:r>
        <w:rPr>
          <w:rFonts w:ascii="Arial" w:hAnsi="Arial"/>
          <w:sz w:val="24"/>
          <w:szCs w:val="24"/>
        </w:rPr>
        <w:t xml:space="preserve">To nominate the trial recipients in writing and to keep their contact numbers current. Metron cannot deliver an alert to an incorrect or disconnected number.</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8.3</w:t>
        <w:tab/>
      </w:r>
      <w:r>
        <w:rPr>
          <w:rFonts w:ascii="Arial" w:hAnsi="Arial"/>
          <w:sz w:val="24"/>
          <w:szCs w:val="24"/>
        </w:rPr>
        <w:t xml:space="preserve">Not to move, modify, open or otherwise interfere with the unit during the trial, and to notify Metron promptly of any damage, fault or suspected fault.</w:t>
      </w:r>
      <w:r>
        <w:rPr>
          <w:sz w:val="24"/>
          <w:szCs w:val="24"/>
        </w:rPr>
      </w:r>
    </w:p>
    <w:p>
      <w:pPr>
        <w:pBdr/>
        <w:spacing w:after="80" w:before="240"/>
        <w:ind/>
        <w:rPr>
          <w:sz w:val="24"/>
          <w:szCs w:val="24"/>
        </w:rPr>
      </w:pPr>
      <w:r>
        <w:rPr>
          <w:rFonts w:ascii="Arial" w:hAnsi="Arial"/>
          <w:b/>
          <w:i w:val="0"/>
          <w:sz w:val="24"/>
          <w:szCs w:val="24"/>
        </w:rPr>
        <w:t xml:space="preserve">9. Ownership and risk</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9.1</w:t>
        <w:tab/>
      </w:r>
      <w:r>
        <w:rPr>
          <w:rFonts w:ascii="Arial" w:hAnsi="Arial"/>
          <w:sz w:val="24"/>
          <w:szCs w:val="24"/>
        </w:rPr>
        <w:t xml:space="preserve">The unit and all equipment supplied with it remain the property of Metron throughout the trial, and afterwards unless ownership passes under a separate written agreement. The trial is not a sale, lease or hire purchase.</w:t>
      </w:r>
      <w:r>
        <w:rPr>
          <w:sz w:val="24"/>
          <w:szCs w:val="24"/>
        </w:rPr>
      </w:r>
      <w:r>
        <w:rPr>
          <w:rFonts w:ascii="Arial" w:hAnsi="Arial"/>
          <w:b w:val="0"/>
          <w:sz w:val="24"/>
          <w:szCs w:val="24"/>
        </w:rPr>
      </w:r>
      <w:r>
        <w:rPr>
          <w:sz w:val="24"/>
          <w:szCs w:val="24"/>
        </w:rPr>
      </w:r>
      <w:r>
        <w:rPr>
          <w:sz w:val="24"/>
          <w:szCs w:val="24"/>
        </w:rPr>
      </w:r>
    </w:p>
    <w:p>
      <w:pPr>
        <w:pBdr/>
        <w:spacing w:after="80" w:before="240"/>
        <w:ind/>
        <w:rPr>
          <w:sz w:val="24"/>
          <w:szCs w:val="24"/>
        </w:rPr>
      </w:pPr>
      <w:r>
        <w:rPr>
          <w:rFonts w:ascii="Arial" w:hAnsi="Arial"/>
          <w:b/>
          <w:i w:val="0"/>
          <w:sz w:val="24"/>
          <w:szCs w:val="24"/>
        </w:rPr>
        <w:t xml:space="preserve">10. Data</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10.1</w:t>
        <w:tab/>
      </w:r>
      <w:r>
        <w:rPr>
          <w:rFonts w:ascii="Arial" w:hAnsi="Arial"/>
          <w:sz w:val="24"/>
          <w:szCs w:val="24"/>
        </w:rPr>
        <w:t xml:space="preserve">Detection records and unit telemetry are processed and stored to operate the system and support the Client.</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10.2</w:t>
        <w:tab/>
      </w:r>
      <w:r>
        <w:rPr>
          <w:rFonts w:ascii="Arial" w:hAnsi="Arial"/>
          <w:sz w:val="24"/>
          <w:szCs w:val="24"/>
        </w:rPr>
        <w:t xml:space="preserve">Recipient names and contact numbers are used only to deliver alerts, and are not shared with any third party other than the SMS gateway that carries the message.</w:t>
      </w:r>
      <w:r>
        <w:rPr>
          <w:sz w:val="24"/>
          <w:szCs w:val="24"/>
        </w:rPr>
      </w:r>
    </w:p>
    <w:p>
      <w:pPr>
        <w:pBdr/>
        <w:spacing w:after="80" w:before="240"/>
        <w:ind/>
        <w:rPr>
          <w:sz w:val="24"/>
          <w:szCs w:val="24"/>
        </w:rPr>
      </w:pPr>
      <w:r>
        <w:rPr>
          <w:rFonts w:ascii="Arial" w:hAnsi="Arial"/>
          <w:b/>
          <w:i w:val="0"/>
          <w:sz w:val="24"/>
          <w:szCs w:val="24"/>
        </w:rPr>
        <w:t xml:space="preserve">11. Nature of the system and its limits</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11.1</w:t>
        <w:tab/>
      </w:r>
      <w:r>
        <w:rPr>
          <w:rFonts w:ascii="Arial" w:hAnsi="Arial"/>
          <w:sz w:val="24"/>
          <w:szCs w:val="24"/>
        </w:rPr>
        <w:t xml:space="preserve">The system is a decision-support tool. It detects and reports lightning activity.</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11.2</w:t>
        <w:tab/>
      </w:r>
      <w:r>
        <w:rPr>
          <w:rFonts w:ascii="Arial" w:hAnsi="Arial"/>
          <w:sz w:val="24"/>
          <w:szCs w:val="24"/>
        </w:rPr>
        <w:t xml:space="preserve">Alert delivery depends on services outside Metron's control, including mobile network availability, the SMS gateway, and site connectivity. </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11.3</w:t>
        <w:tab/>
      </w:r>
      <w:r>
        <w:rPr>
          <w:rFonts w:ascii="Arial" w:hAnsi="Arial"/>
          <w:sz w:val="24"/>
          <w:szCs w:val="24"/>
        </w:rPr>
        <w:t xml:space="preserve">The Client remains responsible for its own lightning safety procedures and for its stop-work and resume-work decisions. The system supplements those procedures and does not replace them.</w:t>
      </w:r>
      <w:r>
        <w:rPr>
          <w:sz w:val="24"/>
          <w:szCs w:val="24"/>
        </w:rPr>
      </w:r>
    </w:p>
    <w:p w14:paraId="2A0C2983">
      <w:pPr>
        <w:pBdr/>
        <w:spacing w:after="80" w:before="240"/>
        <w:ind/>
        <w:rPr>
          <w:sz w:val="24"/>
          <w:szCs w:val="24"/>
        </w:rPr>
      </w:pPr>
      <w:r>
        <w:rPr>
          <w:rFonts w:ascii="Arial" w:hAnsi="Arial"/>
          <w:b/>
          <w:i w:val="0"/>
          <w:sz w:val="24"/>
          <w:szCs w:val="24"/>
          <w:highlight w:val="none"/>
        </w:rPr>
      </w:r>
      <w:r>
        <w:rPr>
          <w:rFonts w:ascii="Arial" w:hAnsi="Arial"/>
          <w:b/>
          <w:i w:val="0"/>
          <w:sz w:val="24"/>
          <w:szCs w:val="24"/>
          <w:highlight w:val="none"/>
        </w:rPr>
      </w:r>
      <w:r>
        <w:rPr>
          <w:rFonts w:ascii="Arial" w:hAnsi="Arial"/>
          <w:b/>
          <w:i w:val="0"/>
          <w:sz w:val="24"/>
          <w:szCs w:val="24"/>
          <w:highlight w:val="none"/>
        </w:rPr>
      </w:r>
    </w:p>
    <w:p w14:paraId="0903B23E">
      <w:pPr>
        <w:pBdr/>
        <w:spacing w:after="80" w:before="240"/>
        <w:ind/>
        <w:rPr>
          <w:rFonts w:ascii="Arial" w:hAnsi="Arial"/>
          <w:b/>
          <w:bCs w:val="0"/>
          <w:i w:val="0"/>
          <w:sz w:val="24"/>
          <w:szCs w:val="24"/>
          <w:highlight w:val="none"/>
        </w:rPr>
      </w:pPr>
      <w:r>
        <w:rPr>
          <w:rFonts w:ascii="Arial" w:hAnsi="Arial"/>
          <w:b/>
          <w:i w:val="0"/>
          <w:sz w:val="24"/>
          <w:szCs w:val="24"/>
          <w:highlight w:val="none"/>
        </w:rPr>
      </w:r>
      <w:r>
        <w:rPr>
          <w:rFonts w:ascii="Arial" w:hAnsi="Arial"/>
          <w:b/>
          <w:i w:val="0"/>
          <w:sz w:val="24"/>
          <w:szCs w:val="24"/>
          <w:highlight w:val="none"/>
        </w:rPr>
      </w:r>
      <w:r>
        <w:rPr>
          <w:rFonts w:ascii="Arial" w:hAnsi="Arial"/>
          <w:b/>
          <w:i w:val="0"/>
          <w:sz w:val="24"/>
          <w:szCs w:val="24"/>
          <w:highlight w:val="none"/>
        </w:rPr>
      </w:r>
    </w:p>
    <w:p>
      <w:pPr>
        <w:pBdr/>
        <w:spacing w:after="80" w:before="240"/>
        <w:ind/>
        <w:rPr>
          <w:rFonts w:ascii="Arial" w:hAnsi="Arial"/>
          <w:b/>
          <w:bCs w:val="0"/>
          <w:i w:val="0"/>
          <w:sz w:val="24"/>
          <w:szCs w:val="24"/>
          <w:highlight w:val="none"/>
        </w:rPr>
      </w:pPr>
      <w:r>
        <w:rPr>
          <w:rFonts w:ascii="Arial" w:hAnsi="Arial"/>
          <w:b/>
          <w:i w:val="0"/>
          <w:sz w:val="24"/>
          <w:szCs w:val="24"/>
        </w:rPr>
        <w:t xml:space="preserve">12. Confidentiality</w:t>
      </w:r>
      <w:r>
        <w:rPr>
          <w:sz w:val="24"/>
          <w:szCs w:val="24"/>
        </w:rPr>
      </w:r>
    </w:p>
    <w:p>
      <w:pPr>
        <w:pBdr/>
        <w:tabs>
          <w:tab w:val="left" w:leader="none" w:pos="680"/>
        </w:tabs>
        <w:spacing w:after="80"/>
        <w:ind w:hanging="680" w:left="680"/>
        <w:rPr>
          <w:sz w:val="24"/>
          <w:szCs w:val="24"/>
        </w:rPr>
      </w:pPr>
      <w:r>
        <w:rPr>
          <w:rFonts w:ascii="Arial" w:hAnsi="Arial"/>
          <w:b w:val="0"/>
          <w:sz w:val="24"/>
          <w:szCs w:val="24"/>
        </w:rPr>
        <w:t xml:space="preserve">12.1</w:t>
        <w:tab/>
      </w:r>
      <w:r>
        <w:rPr>
          <w:rFonts w:ascii="Arial" w:hAnsi="Arial"/>
          <w:sz w:val="24"/>
          <w:szCs w:val="24"/>
        </w:rPr>
        <w:t xml:space="preserve">Each party will keep the commercial ter</w:t>
      </w:r>
      <w:r>
        <w:rPr>
          <w:rFonts w:ascii="Arial" w:hAnsi="Arial"/>
          <w:sz w:val="24"/>
          <w:szCs w:val="24"/>
        </w:rPr>
        <w:t xml:space="preserve">ms of the quotation confidential, and will not disclose information marked or obviously confidential except to personnel and advisers who need it. This does not apply to information that is public, already lawfully held, or required to be disclosed by law.</w:t>
      </w:r>
      <w:r>
        <w:rPr>
          <w:sz w:val="24"/>
          <w:szCs w:val="24"/>
        </w:rPr>
      </w:r>
    </w:p>
    <w:sectPr>
      <w:footnotePr/>
      <w:endnotePr/>
      <w:type w:val="nextPage"/>
      <w:pgSz w:h="15840" w:orient="portrait" w:w="12240"/>
      <w:pgMar w:top="1134" w:right="1247" w:bottom="1134" w:left="124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120"/>
      <w:ind/>
    </w:pPr>
    <w:rPr>
      <w:rFonts w:ascii="Arial" w:hAnsi="Arial"/>
      <w:sz w:val="21"/>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2026-08-31T19:32:55Z</dcterms:modified>
  <cp:category/>
</cp:coreProperties>
</file>