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-668174</wp:posOffset>
            </wp:positionH>
            <wp:positionV relativeFrom="paragraph">
              <wp:posOffset>152400</wp:posOffset>
            </wp:positionV>
            <wp:extent cx="7063146" cy="43672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558" l="18272" r="18438" t="12801"/>
                    <a:stretch>
                      <a:fillRect/>
                    </a:stretch>
                  </pic:blipFill>
                  <pic:spPr>
                    <a:xfrm>
                      <a:off x="0" y="0"/>
                      <a:ext cx="7063146" cy="4367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u w:val="single"/>
          <w:rtl w:val="0"/>
        </w:rPr>
        <w:t xml:space="preserve">Sociedad irregular</w:t>
      </w:r>
      <w:r w:rsidDel="00000000" w:rsidR="00000000" w:rsidRPr="00000000">
        <w:rPr>
          <w:rtl w:val="0"/>
        </w:rPr>
        <w:t xml:space="preserve">: A diferencia de todas las anteriores formas sociales regulares, existe una alternativa que se adecúa perfectamente a un equipo de trabajo escolar con fines académicos, las sociedades irregulares. Esta clasificación, se formula informalmente y dado que no se necesita objeto, domicilio, capital o miembros legalmente estipulados, evitaremos el papeleo innecesario para la realización del portal. Si en algún momento quisiéramos ser respaldados por entidades reguladoras o generar una especulación comercial, podríamos optar por cualquiera de las otras dos formas más comunes, ya sea una SRL o una SA.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>
        <w:b w:val="1"/>
        <w:sz w:val="30"/>
        <w:szCs w:val="30"/>
        <w:u w:val="single"/>
      </w:rPr>
    </w:pPr>
    <w:r w:rsidDel="00000000" w:rsidR="00000000" w:rsidRPr="00000000">
      <w:rPr>
        <w:b w:val="1"/>
        <w:sz w:val="30"/>
        <w:szCs w:val="30"/>
        <w:u w:val="single"/>
        <w:rtl w:val="0"/>
      </w:rPr>
      <w:t xml:space="preserve">TIPO DE SOCIEDADES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