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DS502 </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Final Report </w:t>
      </w:r>
    </w:p>
    <w:p w:rsidR="00000000" w:rsidDel="00000000" w:rsidP="00000000" w:rsidRDefault="00000000" w:rsidRPr="00000000" w14:paraId="00000003">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–Group 6</w:t>
      </w:r>
    </w:p>
    <w:p w:rsidR="00000000" w:rsidDel="00000000" w:rsidP="00000000" w:rsidRDefault="00000000" w:rsidRPr="00000000" w14:paraId="00000004">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Xiuhan li, Enbo Tian, Ziyang Xu</w:t>
      </w:r>
    </w:p>
    <w:p w:rsidR="00000000" w:rsidDel="00000000" w:rsidP="00000000" w:rsidRDefault="00000000" w:rsidRPr="00000000" w14:paraId="0000000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Introduction</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Warmart is one of the largest supermarkets in the United States. There are stores located in different cities. Large dataset of sales is generated each year. There are problems with how to manage the data. We want to focus on the dataset beyond 2010 to 2012, defining the related data and predict a model for the following time.</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Data Processing</w:t>
      </w:r>
    </w:p>
    <w:p w:rsidR="00000000" w:rsidDel="00000000" w:rsidP="00000000" w:rsidRDefault="00000000" w:rsidRPr="00000000" w14:paraId="0000000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Introduction of the dataset </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original dataset contains 6435 rows and 8 columns without any duplicated rows. There are 3 categorical predictors and 4 numeric predictors. The target label of our dataset is column ‘weekly_sales’, which makes our dataset have only one column of label. The predictors include date, holiday flag, store information, unemployment and temperature.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Data Exploration</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first explored the distribution of our target label. Which can be seen in Figure 1.</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47913" cy="1621428"/>
            <wp:effectExtent b="0" l="0" r="0" t="0"/>
            <wp:docPr id="24"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2347913" cy="162142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researched the relationship between label and predictors. And the boxplot of sales versus stores as well as holiday can be seen in Figure 2. As can be seen in the figure, the variance of sales between stores is quite large, and there’s no relatively obvious linear relationship between store and sales, so we would consider one-hot encoding in later modeling. Also we may consider one hot encoding for holiday flag.</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14600"/>
            <wp:effectExtent b="0" l="0" r="0" t="0"/>
            <wp:docPr id="1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see the change of sales along with time. We first checked the a</w:t>
      </w:r>
      <w:r w:rsidDel="00000000" w:rsidR="00000000" w:rsidRPr="00000000">
        <w:rPr>
          <w:rFonts w:ascii="Times New Roman" w:cs="Times New Roman" w:eastAsia="Times New Roman" w:hAnsi="Times New Roman"/>
          <w:rtl w:val="0"/>
        </w:rPr>
        <w:t xml:space="preserve">verage sales of all stores, from 2010-02-05 to 2012-11-01, which showed some time varying patterns. To see sales of each store over time, we plotted the first 5 stores as an example, and the same pattern appeared again. (Figure 3)</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57775" cy="2297598"/>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057775" cy="229759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further explore the time varying pattern, we further divided the predictor “date” into “month” and “week” to see their relationship. As shown in Figure 4, high sales tend to appear in the last 2 months of a year. </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828800"/>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we displayed the numerical predictors in Figure 5, where the upper half are the distribution of the predictors and the bottom half are the scatterplot of predictors together with labels. From the distribution plot we could see that, except for the predictor ‘CPI’, all other predictors are relatively normally distributed, so there’s no skewness correction needed. And from the scatter plot, obvious positive relationship can be discovered in none of the predictors, which would be further verified by Figure 6. </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44800"/>
            <wp:effectExtent b="0" l="0" r="0" t="0"/>
            <wp:docPr id="2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 correlation heatmap of all features is shown in Figure 6.</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14638" cy="2573383"/>
            <wp:effectExtent b="0" l="0" r="0" t="0"/>
            <wp:docPr id="1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814638" cy="257338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Feature Engineering</w:t>
      </w:r>
    </w:p>
    <w:p w:rsidR="00000000" w:rsidDel="00000000" w:rsidP="00000000" w:rsidRDefault="00000000" w:rsidRPr="00000000" w14:paraId="0000001C">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Missing Values</w:t>
      </w:r>
    </w:p>
    <w:p w:rsidR="00000000" w:rsidDel="00000000" w:rsidP="00000000" w:rsidRDefault="00000000" w:rsidRPr="00000000" w14:paraId="0000001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missing values only make up less than 5% percent of total dataset. We drop rows with missing values.</w:t>
      </w:r>
    </w:p>
    <w:p w:rsidR="00000000" w:rsidDel="00000000" w:rsidP="00000000" w:rsidRDefault="00000000" w:rsidRPr="00000000" w14:paraId="0000001E">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Categorical variables</w:t>
      </w:r>
    </w:p>
    <w:p w:rsidR="00000000" w:rsidDel="00000000" w:rsidP="00000000" w:rsidRDefault="00000000" w:rsidRPr="00000000" w14:paraId="0000001F">
      <w:pPr>
        <w:numPr>
          <w:ilvl w:val="1"/>
          <w:numId w:val="2"/>
        </w:numPr>
        <w:ind w:left="144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24"/>
          <w:szCs w:val="24"/>
          <w:rtl w:val="0"/>
        </w:rPr>
        <w:t xml:space="preserve">one-hot encoding:</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24"/>
          <w:szCs w:val="24"/>
          <w:rtl w:val="0"/>
        </w:rPr>
        <w:t xml:space="preserve">We perform one-hot encoding on predictor ‘holiday flag’ and predictor ‘store’.</w:t>
      </w:r>
    </w:p>
    <w:p w:rsidR="00000000" w:rsidDel="00000000" w:rsidP="00000000" w:rsidRDefault="00000000" w:rsidRPr="00000000" w14:paraId="00000020">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 into numerical: </w:t>
      </w:r>
      <w:r w:rsidDel="00000000" w:rsidR="00000000" w:rsidRPr="00000000">
        <w:rPr>
          <w:rFonts w:ascii="Times New Roman" w:cs="Times New Roman" w:eastAsia="Times New Roman" w:hAnsi="Times New Roman"/>
          <w:sz w:val="24"/>
          <w:szCs w:val="24"/>
          <w:rtl w:val="0"/>
        </w:rPr>
        <w:t xml:space="preserve">For the predictor “date”, we split the date into year, week, month to further capture more features from date.</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1">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Outliers</w:t>
      </w:r>
      <w:r w:rsidDel="00000000" w:rsidR="00000000" w:rsidRPr="00000000">
        <w:rPr>
          <w:rtl w:val="0"/>
        </w:rPr>
      </w:r>
    </w:p>
    <w:p w:rsidR="00000000" w:rsidDel="00000000" w:rsidP="00000000" w:rsidRDefault="00000000" w:rsidRPr="00000000" w14:paraId="0000002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deducted outliers for predictors “unemployment” and “temperature”.</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Model</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numPr>
          <w:ilvl w:val="0"/>
          <w:numId w:val="1"/>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Regression </w:t>
      </w:r>
    </w:p>
    <w:p w:rsidR="00000000" w:rsidDel="00000000" w:rsidP="00000000" w:rsidRDefault="00000000" w:rsidRPr="00000000" w14:paraId="0000002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trying to fit a linear regression Model, and make the regression Model more accurate. It is necessary to show the linear model for each store, Since for each store there may be a different relationship between sales and the factors. Here is an example for store 1, store 2:</w:t>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5338" cy="2975874"/>
            <wp:effectExtent b="0" l="0" r="0" t="0"/>
            <wp:docPr id="1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605338" cy="297587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8688" cy="3148630"/>
            <wp:effectExtent b="0" l="0" r="0" t="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738688" cy="314863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T test, It shows that temperature and CPI are the main factors for the sales of Store 1. Fuel price temperature are the main factors for the sales of Store 2. We can see that the main factor is changing for different stores. So we would like to count the times of importance of each factor for each store, and drop the factors which have significantly less count than the others. We find that the factor holiday has a count of 12, temperature has a count of 19, fuel price has a count of 4, CPI has a count of 20, and the factor of unemployment has a count of 12. This shows that Fuel price has much less count than the other factors. If we can not fit it with a transform of log or quadratic, we may drop it from the linear model. We find that the log transform of fuel price has a count of 3, and the quadratic has a count of 4. </w:t>
      </w:r>
    </w:p>
    <w:p w:rsidR="00000000" w:rsidDel="00000000" w:rsidP="00000000" w:rsidRDefault="00000000" w:rsidRPr="00000000" w14:paraId="0000002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conclusion, Fuel price can be dropped from the linear model of each store, but when we fit a model for all of the stores, the factor of Fuel price remains. The following step is to fit a model of all stores.</w:t>
      </w:r>
    </w:p>
    <w:p w:rsidR="00000000" w:rsidDel="00000000" w:rsidP="00000000" w:rsidRDefault="00000000" w:rsidRPr="00000000" w14:paraId="0000002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want to fit an anova table to show which of the factors and interactions are important. In this model, stores and the week date are also factors, because we combine all the stores together, and there are the same week days for each of the stores. Here is the anova table:</w:t>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127500"/>
            <wp:effectExtent b="0" l="0" r="0" t="0"/>
            <wp:docPr id="1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F test of the ANOVA table, we can find the factors with a significant effect, Which have at least a (*) at the end of the table. We reduce the other factors and use the significant factors to fit another ANOVA table to get our final result:</w:t>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24100"/>
            <wp:effectExtent b="0" l="0" r="0" t="0"/>
            <wp:docPr id="2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574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can now fit a model with the factors and interactions, Since Stores and date have a degree of freedom 44, and 142, we have 44+142 estimators for the Stores and date. </w:t>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715000"/>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1113" cy="5594047"/>
            <wp:effectExtent b="0" l="0" r="0" t="0"/>
            <wp:docPr id="2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091113" cy="559404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7529" cy="2726810"/>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167529" cy="272681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134100"/>
            <wp:effectExtent b="0" l="0" r="0" t="0"/>
            <wp:docPr id="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426200"/>
            <wp:effectExtent b="0" l="0" r="0" t="0"/>
            <wp:docPr id="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622800"/>
            <wp:effectExtent b="0" l="0" r="0" t="0"/>
            <wp:docPr id="2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now all of the dates and stores are necessary for the model. This also can be shown from the special time series plot, which has much difference than the other Stores.</w:t>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65500"/>
            <wp:effectExtent b="0" l="0" r="0" t="0"/>
            <wp:docPr id="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make a comparison with other models, We would like to find the accuracy of Linear Regression Model:</w:t>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2900"/>
            <wp:effectExtent b="0" l="0" r="0" t="0"/>
            <wp:docPr id="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tl w:val="0"/>
        </w:rPr>
        <w:tab/>
        <w:t xml:space="preserve">Also we have the MSE of 7.344*10^13 from the ANOVA table.</w:t>
      </w:r>
      <w:r w:rsidDel="00000000" w:rsidR="00000000" w:rsidRPr="00000000">
        <w:rPr>
          <w:rtl w:val="0"/>
        </w:rPr>
      </w:r>
    </w:p>
    <w:p w:rsidR="00000000" w:rsidDel="00000000" w:rsidP="00000000" w:rsidRDefault="00000000" w:rsidRPr="00000000" w14:paraId="00000041">
      <w:pPr>
        <w:numPr>
          <w:ilvl w:val="0"/>
          <w:numId w:val="1"/>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Tree</w:t>
      </w:r>
    </w:p>
    <w:p w:rsidR="00000000" w:rsidDel="00000000" w:rsidP="00000000" w:rsidRDefault="00000000" w:rsidRPr="00000000" w14:paraId="00000042">
      <w:pPr>
        <w:numPr>
          <w:ilvl w:val="1"/>
          <w:numId w:val="1"/>
        </w:numPr>
        <w:ind w:left="144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Outliers</w:t>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are trying to fit a Decision tree regressor Model. We first use the box plot to detect whether there are any outliers for the numerical features.</w:t>
      </w:r>
    </w:p>
    <w:p w:rsidR="00000000" w:rsidDel="00000000" w:rsidP="00000000" w:rsidRDefault="00000000" w:rsidRPr="00000000" w14:paraId="0000004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765800"/>
            <wp:effectExtent b="0" l="0" r="0" t="0"/>
            <wp:docPr id="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plot, we can clearly see that “Temperature” and  “Unemployment” have some outliers. Therefore, we drop the points where “Temperature” is smaller than 10 and “Unemployment” smaller than 4.5 and higher than 10. After dropping the outliers, we plot the boxplot again.</w:t>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765800"/>
            <wp:effectExtent b="0" l="0" r="0" t="0"/>
            <wp:docPr id="16"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12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there are no more outliers, we now obtained a cleaner dataset for feature work.</w:t>
      </w:r>
    </w:p>
    <w:p w:rsidR="00000000" w:rsidDel="00000000" w:rsidP="00000000" w:rsidRDefault="00000000" w:rsidRPr="00000000" w14:paraId="00000048">
      <w:pPr>
        <w:numPr>
          <w:ilvl w:val="1"/>
          <w:numId w:val="1"/>
        </w:numPr>
        <w:ind w:left="144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Feature Selection</w:t>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First, we build a decision tree regressor with all the features, which are  'Store', 'Holiday_Flag', 'Temperature', 'Fuel_Price', 'CPI', 'Unemployment', 'week', 'day', 'year', 'month'. And put 'Weekly_Sales' as our prediction target. The result is shown below.</w:t>
      </w:r>
    </w:p>
    <w:p w:rsidR="00000000" w:rsidDel="00000000" w:rsidP="00000000" w:rsidRDefault="00000000" w:rsidRPr="00000000" w14:paraId="0000004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Regressor with X:</w:t>
      </w:r>
    </w:p>
    <w:p w:rsidR="00000000" w:rsidDel="00000000" w:rsidP="00000000" w:rsidRDefault="00000000" w:rsidRPr="00000000" w14:paraId="0000004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Absolute Error: 81579.22962014136</w:t>
      </w:r>
    </w:p>
    <w:p w:rsidR="00000000" w:rsidDel="00000000" w:rsidP="00000000" w:rsidRDefault="00000000" w:rsidRPr="00000000" w14:paraId="0000004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23707178610.1199</w:t>
      </w:r>
    </w:p>
    <w:p w:rsidR="00000000" w:rsidDel="00000000" w:rsidP="00000000" w:rsidRDefault="00000000" w:rsidRPr="00000000" w14:paraId="0000004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Mean Squared Error: 153971.35645995947</w:t>
      </w:r>
    </w:p>
    <w:p w:rsidR="00000000" w:rsidDel="00000000" w:rsidP="00000000" w:rsidRDefault="00000000" w:rsidRPr="00000000" w14:paraId="0000004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graph the plot of feature importance of this model.</w:t>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57675" cy="2514600"/>
            <wp:effectExtent b="0" l="0" r="0" t="0"/>
            <wp:docPr id="1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2576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drop the least three important features “year”, “Holiday_Flag”, and “day”, and use the rest of the features to build a tree again. Then the result is shown below.</w:t>
      </w:r>
      <w:r w:rsidDel="00000000" w:rsidR="00000000" w:rsidRPr="00000000">
        <w:rPr>
          <w:rtl w:val="0"/>
        </w:rPr>
      </w:r>
    </w:p>
    <w:p w:rsidR="00000000" w:rsidDel="00000000" w:rsidP="00000000" w:rsidRDefault="00000000" w:rsidRPr="00000000" w14:paraId="0000005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Regressor with X:</w:t>
      </w:r>
    </w:p>
    <w:p w:rsidR="00000000" w:rsidDel="00000000" w:rsidP="00000000" w:rsidRDefault="00000000" w:rsidRPr="00000000" w14:paraId="0000005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Absolute Error: 76584.22007067138</w:t>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21548856565.854446</w:t>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Mean Squared Error: 146795.28795521485</w:t>
      </w:r>
    </w:p>
    <w:p w:rsidR="00000000" w:rsidDel="00000000" w:rsidP="00000000" w:rsidRDefault="00000000" w:rsidRPr="00000000" w14:paraId="0000005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57675" cy="2514600"/>
            <wp:effectExtent b="0" l="0" r="0" t="0"/>
            <wp:docPr id="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2576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MAE, MSE, and RMSE all decreased. Hence, the accuracy of our model has improved. For the next step, we continue to drop the least important feature “Temperature”. And the result is shown below.</w:t>
      </w:r>
    </w:p>
    <w:p w:rsidR="00000000" w:rsidDel="00000000" w:rsidP="00000000" w:rsidRDefault="00000000" w:rsidRPr="00000000" w14:paraId="0000005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Regressor with X:</w:t>
      </w:r>
    </w:p>
    <w:p w:rsidR="00000000" w:rsidDel="00000000" w:rsidP="00000000" w:rsidRDefault="00000000" w:rsidRPr="00000000" w14:paraId="0000005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Absolute Error: 76350.61183745583</w:t>
      </w:r>
    </w:p>
    <w:p w:rsidR="00000000" w:rsidDel="00000000" w:rsidP="00000000" w:rsidRDefault="00000000" w:rsidRPr="00000000" w14:paraId="0000005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19375118624.50201</w:t>
      </w:r>
    </w:p>
    <w:p w:rsidR="00000000" w:rsidDel="00000000" w:rsidP="00000000" w:rsidRDefault="00000000" w:rsidRPr="00000000" w14:paraId="0000005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Mean Squared Error: 139194.53518188855</w:t>
      </w:r>
    </w:p>
    <w:p w:rsidR="00000000" w:rsidDel="00000000" w:rsidP="00000000" w:rsidRDefault="00000000" w:rsidRPr="00000000" w14:paraId="0000006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57675" cy="2514600"/>
            <wp:effectExtent b="0" l="0" r="0" t="0"/>
            <wp:docPr id="18"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2576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MAE, MSE, and RMSE are keep decreasing on the test set. Hence, the accuracy of our model keeps improving. For the next step, we continue to drop the least important feature “Fuel_price”. And the result is shown below.</w:t>
      </w:r>
    </w:p>
    <w:p w:rsidR="00000000" w:rsidDel="00000000" w:rsidP="00000000" w:rsidRDefault="00000000" w:rsidRPr="00000000" w14:paraId="0000006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Regressor with X:</w:t>
      </w:r>
    </w:p>
    <w:p w:rsidR="00000000" w:rsidDel="00000000" w:rsidP="00000000" w:rsidRDefault="00000000" w:rsidRPr="00000000" w14:paraId="0000006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Absolute Error: 72027.80410777385</w:t>
      </w:r>
    </w:p>
    <w:p w:rsidR="00000000" w:rsidDel="00000000" w:rsidP="00000000" w:rsidRDefault="00000000" w:rsidRPr="00000000" w14:paraId="0000006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15711243645.870707</w:t>
      </w:r>
    </w:p>
    <w:p w:rsidR="00000000" w:rsidDel="00000000" w:rsidP="00000000" w:rsidRDefault="00000000" w:rsidRPr="00000000" w14:paraId="0000006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Mean Squared Error: 125344.49986286079</w:t>
      </w:r>
    </w:p>
    <w:p w:rsidR="00000000" w:rsidDel="00000000" w:rsidP="00000000" w:rsidRDefault="00000000" w:rsidRPr="00000000" w14:paraId="0000006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5300" cy="2514600"/>
            <wp:effectExtent b="0" l="0" r="0" t="0"/>
            <wp:docPr id="23"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43053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our model get a better score than last time. And all the features are fairly important to our model based on the feature importances plot. Therefore, we will use “Store”, “CPI”, “Unemployment”, “week”, and “month” as our features to build the decision tree regressor.</w:t>
      </w:r>
      <w:r w:rsidDel="00000000" w:rsidR="00000000" w:rsidRPr="00000000">
        <w:rPr>
          <w:rtl w:val="0"/>
        </w:rPr>
      </w:r>
    </w:p>
    <w:p w:rsidR="00000000" w:rsidDel="00000000" w:rsidP="00000000" w:rsidRDefault="00000000" w:rsidRPr="00000000" w14:paraId="0000006B">
      <w:pPr>
        <w:numPr>
          <w:ilvl w:val="1"/>
          <w:numId w:val="1"/>
        </w:numPr>
        <w:ind w:left="144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Result</w:t>
      </w:r>
    </w:p>
    <w:p w:rsidR="00000000" w:rsidDel="00000000" w:rsidP="00000000" w:rsidRDefault="00000000" w:rsidRPr="00000000" w14:paraId="0000006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the features we previously decided, we now build a decision tree regressor. We ran the model 50 times, and printed the mean score for MAE, MSE, and RMSE. The final result is shown below.</w:t>
      </w:r>
    </w:p>
    <w:p w:rsidR="00000000" w:rsidDel="00000000" w:rsidP="00000000" w:rsidRDefault="00000000" w:rsidRPr="00000000" w14:paraId="0000006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Regressor:</w:t>
      </w:r>
    </w:p>
    <w:p w:rsidR="00000000" w:rsidDel="00000000" w:rsidP="00000000" w:rsidRDefault="00000000" w:rsidRPr="00000000" w14:paraId="0000006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Absolute Error: 72870.70425971733</w:t>
      </w:r>
    </w:p>
    <w:p w:rsidR="00000000" w:rsidDel="00000000" w:rsidP="00000000" w:rsidRDefault="00000000" w:rsidRPr="00000000" w14:paraId="0000007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16390844791.99989</w:t>
      </w:r>
    </w:p>
    <w:p w:rsidR="00000000" w:rsidDel="00000000" w:rsidP="00000000" w:rsidRDefault="00000000" w:rsidRPr="00000000" w14:paraId="0000007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Mean Squared Error: 127947.106865705</w:t>
      </w:r>
    </w:p>
    <w:p w:rsidR="00000000" w:rsidDel="00000000" w:rsidP="00000000" w:rsidRDefault="00000000" w:rsidRPr="00000000" w14:paraId="00000072">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numPr>
          <w:ilvl w:val="0"/>
          <w:numId w:val="1"/>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Randomforest</w:t>
      </w:r>
    </w:p>
    <w:p w:rsidR="00000000" w:rsidDel="00000000" w:rsidP="00000000" w:rsidRDefault="00000000" w:rsidRPr="00000000" w14:paraId="0000007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all the features, we build a random forest regressor to predict weelk_sales. The result is shown below.</w:t>
      </w:r>
    </w:p>
    <w:p w:rsidR="00000000" w:rsidDel="00000000" w:rsidP="00000000" w:rsidRDefault="00000000" w:rsidRPr="00000000" w14:paraId="0000007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Regressor with X:</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Absolute Error: 65997.55455653711</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15189204958.608917</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Mean Squared Error: 123244.49260964531</w:t>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Result and Evaluation</w:t>
      </w:r>
    </w:p>
    <w:p w:rsidR="00000000" w:rsidDel="00000000" w:rsidP="00000000" w:rsidRDefault="00000000" w:rsidRPr="00000000" w14:paraId="0000007C">
      <w:pPr>
        <w:rPr/>
      </w:pPr>
      <w:r w:rsidDel="00000000" w:rsidR="00000000" w:rsidRPr="00000000">
        <w:rPr>
          <w:rtl w:val="0"/>
        </w:rPr>
      </w:r>
    </w:p>
    <w:tbl>
      <w:tblPr>
        <w:tblStyle w:val="Table1"/>
        <w:tblW w:w="7275.0" w:type="dxa"/>
        <w:jc w:val="left"/>
        <w:tblInd w:w="72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950"/>
        <w:gridCol w:w="1515"/>
        <w:gridCol w:w="1845"/>
        <w:gridCol w:w="1965"/>
        <w:tblGridChange w:id="0">
          <w:tblGrid>
            <w:gridCol w:w="1950"/>
            <w:gridCol w:w="1515"/>
            <w:gridCol w:w="1845"/>
            <w:gridCol w:w="1965"/>
          </w:tblGrid>
        </w:tblGridChange>
      </w:tblGrid>
      <w:tr>
        <w:trPr>
          <w:cantSplit w:val="0"/>
          <w:trHeight w:val="716.953125" w:hRule="atLeast"/>
          <w:tblHeader w:val="0"/>
        </w:trPr>
        <w:tc>
          <w:tcPr>
            <w:tcBorders>
              <w:top w:color="9e9e9e" w:space="0" w:sz="24" w:val="single"/>
              <w:left w:color="9e9e9e" w:space="0" w:sz="24" w:val="single"/>
              <w:bottom w:color="9e9e9e" w:space="0" w:sz="24" w:val="single"/>
              <w:right w:color="9e9e9e" w:space="0" w:sz="24" w:val="single"/>
            </w:tcBorders>
            <w:tcMar>
              <w:top w:w="140.0" w:type="dxa"/>
              <w:left w:w="140.0" w:type="dxa"/>
              <w:bottom w:w="140.0" w:type="dxa"/>
              <w:right w:w="14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9e9e9e" w:space="0" w:sz="24" w:val="single"/>
              <w:left w:color="9e9e9e" w:space="0" w:sz="24" w:val="single"/>
              <w:bottom w:color="9e9e9e" w:space="0" w:sz="24" w:val="single"/>
              <w:right w:color="9e9e9e" w:space="0" w:sz="24" w:val="single"/>
            </w:tcBorders>
            <w:tcMar>
              <w:top w:w="140.0" w:type="dxa"/>
              <w:left w:w="140.0" w:type="dxa"/>
              <w:bottom w:w="140.0" w:type="dxa"/>
              <w:right w:w="14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w:t>
            </w:r>
          </w:p>
        </w:tc>
        <w:tc>
          <w:tcPr>
            <w:tcBorders>
              <w:top w:color="9e9e9e" w:space="0" w:sz="24" w:val="single"/>
              <w:left w:color="9e9e9e" w:space="0" w:sz="24" w:val="single"/>
              <w:bottom w:color="9e9e9e" w:space="0" w:sz="24" w:val="single"/>
              <w:right w:color="9e9e9e" w:space="0" w:sz="24" w:val="single"/>
            </w:tcBorders>
            <w:tcMar>
              <w:top w:w="140.0" w:type="dxa"/>
              <w:left w:w="140.0" w:type="dxa"/>
              <w:bottom w:w="140.0" w:type="dxa"/>
              <w:right w:w="14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Regressor</w:t>
            </w:r>
          </w:p>
        </w:tc>
        <w:tc>
          <w:tcPr>
            <w:tcBorders>
              <w:top w:color="9e9e9e" w:space="0" w:sz="24" w:val="single"/>
              <w:left w:color="9e9e9e" w:space="0" w:sz="24" w:val="single"/>
              <w:bottom w:color="9e9e9e" w:space="0" w:sz="24" w:val="single"/>
              <w:right w:color="9e9e9e" w:space="0" w:sz="24" w:val="single"/>
            </w:tcBorders>
            <w:tcMar>
              <w:top w:w="140.0" w:type="dxa"/>
              <w:left w:w="140.0" w:type="dxa"/>
              <w:bottom w:w="140.0" w:type="dxa"/>
              <w:right w:w="14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Regressor</w:t>
            </w:r>
          </w:p>
        </w:tc>
      </w:tr>
      <w:tr>
        <w:trPr>
          <w:cantSplit w:val="0"/>
          <w:trHeight w:val="799.74609375" w:hRule="atLeast"/>
          <w:tblHeader w:val="0"/>
        </w:trPr>
        <w:tc>
          <w:tcPr>
            <w:tcBorders>
              <w:top w:color="9e9e9e" w:space="0" w:sz="24" w:val="single"/>
              <w:left w:color="9e9e9e" w:space="0" w:sz="24" w:val="single"/>
              <w:bottom w:color="9e9e9e" w:space="0" w:sz="24" w:val="single"/>
              <w:right w:color="9e9e9e" w:space="0" w:sz="24" w:val="single"/>
            </w:tcBorders>
            <w:tcMar>
              <w:top w:w="140.0" w:type="dxa"/>
              <w:left w:w="140.0" w:type="dxa"/>
              <w:bottom w:w="140.0" w:type="dxa"/>
              <w:right w:w="140.0" w:type="dxa"/>
            </w:tcMar>
            <w:vAlign w:val="top"/>
          </w:tcPr>
          <w:p w:rsidR="00000000" w:rsidDel="00000000" w:rsidP="00000000" w:rsidRDefault="00000000" w:rsidRPr="00000000" w14:paraId="0000008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Absolute Error</w:t>
            </w:r>
          </w:p>
        </w:tc>
        <w:tc>
          <w:tcPr>
            <w:tcBorders>
              <w:top w:color="9e9e9e" w:space="0" w:sz="24" w:val="single"/>
              <w:left w:color="9e9e9e" w:space="0" w:sz="24" w:val="single"/>
              <w:bottom w:color="9e9e9e" w:space="0" w:sz="24" w:val="single"/>
              <w:right w:color="9e9e9e" w:space="0" w:sz="24" w:val="single"/>
            </w:tcBorders>
            <w:tcMar>
              <w:top w:w="140.0" w:type="dxa"/>
              <w:left w:w="140.0" w:type="dxa"/>
              <w:bottom w:w="140.0" w:type="dxa"/>
              <w:right w:w="14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6.7503e+4</w:t>
            </w:r>
          </w:p>
        </w:tc>
        <w:tc>
          <w:tcPr>
            <w:tcBorders>
              <w:top w:color="9e9e9e" w:space="0" w:sz="24" w:val="single"/>
              <w:left w:color="9e9e9e" w:space="0" w:sz="24" w:val="single"/>
              <w:bottom w:color="9e9e9e" w:space="0" w:sz="24" w:val="single"/>
              <w:right w:color="9e9e9e" w:space="0" w:sz="24" w:val="single"/>
            </w:tcBorders>
            <w:tcMar>
              <w:top w:w="140.0" w:type="dxa"/>
              <w:left w:w="140.0" w:type="dxa"/>
              <w:bottom w:w="140.0" w:type="dxa"/>
              <w:right w:w="140.0" w:type="dxa"/>
            </w:tcMar>
            <w:vAlign w:val="top"/>
          </w:tcPr>
          <w:p w:rsidR="00000000" w:rsidDel="00000000" w:rsidP="00000000" w:rsidRDefault="00000000" w:rsidRPr="00000000" w14:paraId="0000008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24"/>
                <w:szCs w:val="24"/>
                <w:rtl w:val="0"/>
              </w:rPr>
              <w:t xml:space="preserve">.2870e+4</w:t>
            </w:r>
          </w:p>
        </w:tc>
        <w:tc>
          <w:tcPr>
            <w:tcBorders>
              <w:top w:color="9e9e9e" w:space="0" w:sz="24" w:val="single"/>
              <w:left w:color="9e9e9e" w:space="0" w:sz="24" w:val="single"/>
              <w:bottom w:color="9e9e9e" w:space="0" w:sz="24" w:val="single"/>
              <w:right w:color="9e9e9e" w:space="0" w:sz="24" w:val="single"/>
            </w:tcBorders>
            <w:tcMar>
              <w:top w:w="140.0" w:type="dxa"/>
              <w:left w:w="140.0" w:type="dxa"/>
              <w:bottom w:w="140.0" w:type="dxa"/>
              <w:right w:w="140.0" w:type="dxa"/>
            </w:tcMar>
            <w:vAlign w:val="top"/>
          </w:tcPr>
          <w:p w:rsidR="00000000" w:rsidDel="00000000" w:rsidP="00000000" w:rsidRDefault="00000000" w:rsidRPr="00000000" w14:paraId="0000008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6.5997</w:t>
            </w:r>
            <w:r w:rsidDel="00000000" w:rsidR="00000000" w:rsidRPr="00000000">
              <w:rPr>
                <w:rFonts w:ascii="Times New Roman" w:cs="Times New Roman" w:eastAsia="Times New Roman" w:hAnsi="Times New Roman"/>
                <w:sz w:val="24"/>
                <w:szCs w:val="24"/>
                <w:rtl w:val="0"/>
              </w:rPr>
              <w:t xml:space="preserve">e+4</w:t>
            </w:r>
          </w:p>
        </w:tc>
      </w:tr>
      <w:tr>
        <w:trPr>
          <w:cantSplit w:val="0"/>
          <w:trHeight w:val="630" w:hRule="atLeast"/>
          <w:tblHeader w:val="0"/>
        </w:trPr>
        <w:tc>
          <w:tcPr>
            <w:tcBorders>
              <w:top w:color="9e9e9e" w:space="0" w:sz="24" w:val="single"/>
              <w:left w:color="9e9e9e" w:space="0" w:sz="24" w:val="single"/>
              <w:bottom w:color="9e9e9e" w:space="0" w:sz="24" w:val="single"/>
              <w:right w:color="9e9e9e" w:space="0" w:sz="24" w:val="single"/>
            </w:tcBorders>
            <w:tcMar>
              <w:top w:w="140.0" w:type="dxa"/>
              <w:left w:w="140.0" w:type="dxa"/>
              <w:bottom w:w="140.0" w:type="dxa"/>
              <w:right w:w="140.0" w:type="dxa"/>
            </w:tcMar>
            <w:vAlign w:val="top"/>
          </w:tcPr>
          <w:p w:rsidR="00000000" w:rsidDel="00000000" w:rsidP="00000000" w:rsidRDefault="00000000" w:rsidRPr="00000000" w14:paraId="0000008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w:t>
            </w:r>
          </w:p>
        </w:tc>
        <w:tc>
          <w:tcPr>
            <w:tcBorders>
              <w:top w:color="9e9e9e" w:space="0" w:sz="24" w:val="single"/>
              <w:left w:color="9e9e9e" w:space="0" w:sz="24" w:val="single"/>
              <w:bottom w:color="9e9e9e" w:space="0" w:sz="24" w:val="single"/>
              <w:right w:color="9e9e9e" w:space="0" w:sz="24" w:val="single"/>
            </w:tcBorders>
            <w:tcMar>
              <w:top w:w="140.0" w:type="dxa"/>
              <w:left w:w="140.0" w:type="dxa"/>
              <w:bottom w:w="140.0" w:type="dxa"/>
              <w:right w:w="14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1.176e+10 </w:t>
            </w:r>
          </w:p>
        </w:tc>
        <w:tc>
          <w:tcPr>
            <w:tcBorders>
              <w:top w:color="9e9e9e" w:space="0" w:sz="24" w:val="single"/>
              <w:left w:color="9e9e9e" w:space="0" w:sz="24" w:val="single"/>
              <w:bottom w:color="9e9e9e" w:space="0" w:sz="24" w:val="single"/>
              <w:right w:color="9e9e9e" w:space="0" w:sz="24" w:val="single"/>
            </w:tcBorders>
            <w:tcMar>
              <w:top w:w="140.0" w:type="dxa"/>
              <w:left w:w="140.0" w:type="dxa"/>
              <w:bottom w:w="140.0" w:type="dxa"/>
              <w:right w:w="140.0" w:type="dxa"/>
            </w:tcMar>
            <w:vAlign w:val="top"/>
          </w:tcPr>
          <w:p w:rsidR="00000000" w:rsidDel="00000000" w:rsidP="00000000" w:rsidRDefault="00000000" w:rsidRPr="00000000" w14:paraId="0000008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.6390e+10</w:t>
            </w:r>
          </w:p>
        </w:tc>
        <w:tc>
          <w:tcPr>
            <w:tcBorders>
              <w:top w:color="9e9e9e" w:space="0" w:sz="24" w:val="single"/>
              <w:left w:color="9e9e9e" w:space="0" w:sz="24" w:val="single"/>
              <w:bottom w:color="9e9e9e" w:space="0" w:sz="24" w:val="single"/>
              <w:right w:color="9e9e9e" w:space="0" w:sz="24" w:val="single"/>
            </w:tcBorders>
            <w:tcMar>
              <w:top w:w="140.0" w:type="dxa"/>
              <w:left w:w="140.0" w:type="dxa"/>
              <w:bottom w:w="140.0" w:type="dxa"/>
              <w:right w:w="140.0" w:type="dxa"/>
            </w:tcMar>
            <w:vAlign w:val="top"/>
          </w:tcPr>
          <w:p w:rsidR="00000000" w:rsidDel="00000000" w:rsidP="00000000" w:rsidRDefault="00000000" w:rsidRPr="00000000" w14:paraId="0000008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1.51892e+10</w:t>
            </w:r>
          </w:p>
        </w:tc>
      </w:tr>
      <w:tr>
        <w:trPr>
          <w:cantSplit w:val="0"/>
          <w:trHeight w:val="525" w:hRule="atLeast"/>
          <w:tblHeader w:val="0"/>
        </w:trPr>
        <w:tc>
          <w:tcPr>
            <w:tcBorders>
              <w:top w:color="9e9e9e" w:space="0" w:sz="24" w:val="single"/>
              <w:left w:color="9e9e9e" w:space="0" w:sz="24" w:val="single"/>
              <w:bottom w:color="9e9e9e" w:space="0" w:sz="24" w:val="single"/>
              <w:right w:color="9e9e9e" w:space="0" w:sz="24" w:val="single"/>
            </w:tcBorders>
            <w:tcMar>
              <w:top w:w="140.0" w:type="dxa"/>
              <w:left w:w="140.0" w:type="dxa"/>
              <w:bottom w:w="140.0" w:type="dxa"/>
              <w:right w:w="140.0" w:type="dxa"/>
            </w:tcMar>
            <w:vAlign w:val="top"/>
          </w:tcPr>
          <w:p w:rsidR="00000000" w:rsidDel="00000000" w:rsidP="00000000" w:rsidRDefault="00000000" w:rsidRPr="00000000" w14:paraId="0000008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Mean Squared Error</w:t>
            </w:r>
          </w:p>
        </w:tc>
        <w:tc>
          <w:tcPr>
            <w:tcBorders>
              <w:top w:color="9e9e9e" w:space="0" w:sz="24" w:val="single"/>
              <w:left w:color="9e9e9e" w:space="0" w:sz="24" w:val="single"/>
              <w:bottom w:color="9e9e9e" w:space="0" w:sz="24" w:val="single"/>
              <w:right w:color="9e9e9e" w:space="0" w:sz="24" w:val="single"/>
            </w:tcBorders>
            <w:tcMar>
              <w:top w:w="140.0" w:type="dxa"/>
              <w:left w:w="140.0" w:type="dxa"/>
              <w:bottom w:w="140.0" w:type="dxa"/>
              <w:right w:w="14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1.06831e+5</w:t>
            </w:r>
          </w:p>
        </w:tc>
        <w:tc>
          <w:tcPr>
            <w:tcBorders>
              <w:top w:color="9e9e9e" w:space="0" w:sz="24" w:val="single"/>
              <w:left w:color="9e9e9e" w:space="0" w:sz="24" w:val="single"/>
              <w:bottom w:color="9e9e9e" w:space="0" w:sz="24" w:val="single"/>
              <w:right w:color="9e9e9e" w:space="0" w:sz="24" w:val="single"/>
            </w:tcBorders>
            <w:tcMar>
              <w:top w:w="140.0" w:type="dxa"/>
              <w:left w:w="140.0" w:type="dxa"/>
              <w:bottom w:w="140.0" w:type="dxa"/>
              <w:right w:w="140.0" w:type="dxa"/>
            </w:tcMar>
            <w:vAlign w:val="top"/>
          </w:tcPr>
          <w:p w:rsidR="00000000" w:rsidDel="00000000" w:rsidP="00000000" w:rsidRDefault="00000000" w:rsidRPr="00000000" w14:paraId="0000008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1.2794e+5</w:t>
            </w:r>
          </w:p>
        </w:tc>
        <w:tc>
          <w:tcPr>
            <w:tcBorders>
              <w:top w:color="9e9e9e" w:space="0" w:sz="24" w:val="single"/>
              <w:left w:color="9e9e9e" w:space="0" w:sz="24" w:val="single"/>
              <w:bottom w:color="9e9e9e" w:space="0" w:sz="24" w:val="single"/>
              <w:right w:color="9e9e9e" w:space="0" w:sz="24" w:val="single"/>
            </w:tcBorders>
            <w:tcMar>
              <w:top w:w="140.0" w:type="dxa"/>
              <w:left w:w="140.0" w:type="dxa"/>
              <w:bottom w:w="140.0" w:type="dxa"/>
              <w:right w:w="140.0" w:type="dxa"/>
            </w:tcMar>
            <w:vAlign w:val="top"/>
          </w:tcPr>
          <w:p w:rsidR="00000000" w:rsidDel="00000000" w:rsidP="00000000" w:rsidRDefault="00000000" w:rsidRPr="00000000" w14:paraId="0000008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1.23244e+5</w:t>
            </w:r>
          </w:p>
        </w:tc>
      </w:tr>
    </w:tbl>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table, random forest regressors have the best MAE. However, linear regression models have the best MSE and RMSE among all three different models.</w:t>
      </w:r>
    </w:p>
    <w:p w:rsidR="00000000" w:rsidDel="00000000" w:rsidP="00000000" w:rsidRDefault="00000000" w:rsidRPr="00000000" w14:paraId="0000008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sectPr>
      <w:foot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rPr>
        <w:rFonts w:ascii="Times New Roman" w:cs="Times New Roman" w:eastAsia="Times New Roman" w:hAnsi="Times New Roman"/>
        <w:color w:val="cc0000"/>
      </w:rPr>
    </w:pPr>
    <w:r w:rsidDel="00000000" w:rsidR="00000000" w:rsidRPr="00000000">
      <w:rPr/>
      <w:fldChar w:fldCharType="begin"/>
      <w:instrText xml:space="preserve">PAGE</w:instrText>
      <w:fldChar w:fldCharType="separate"/>
      <w:fldChar w:fldCharType="end"/>
    </w:r>
    <w:r w:rsidDel="00000000" w:rsidR="00000000" w:rsidRPr="00000000">
      <w:rPr>
        <w:rtl w:val="0"/>
      </w:rPr>
      <w:tab/>
      <w:tab/>
      <w:tab/>
      <w:tab/>
      <w:tab/>
      <w:tab/>
      <w:t xml:space="preserve">       </w:t>
      <w:tab/>
      <w:tab/>
      <w:t xml:space="preserve">        </w:t>
    </w:r>
    <w:r w:rsidDel="00000000" w:rsidR="00000000" w:rsidRPr="00000000">
      <w:rPr>
        <w:rFonts w:ascii="Times New Roman" w:cs="Times New Roman" w:eastAsia="Times New Roman" w:hAnsi="Times New Roman"/>
        <w:color w:val="cc0000"/>
        <w:rtl w:val="0"/>
      </w:rPr>
      <w:t xml:space="preserve">Worcester Polytechnic Institute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4.png"/><Relationship Id="rId21" Type="http://schemas.openxmlformats.org/officeDocument/2006/relationships/image" Target="media/image10.png"/><Relationship Id="rId24" Type="http://schemas.openxmlformats.org/officeDocument/2006/relationships/image" Target="media/image3.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2.png"/><Relationship Id="rId25" Type="http://schemas.openxmlformats.org/officeDocument/2006/relationships/image" Target="media/image19.png"/><Relationship Id="rId28" Type="http://schemas.openxmlformats.org/officeDocument/2006/relationships/image" Target="media/image2.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9.png"/><Relationship Id="rId7" Type="http://schemas.openxmlformats.org/officeDocument/2006/relationships/image" Target="media/image13.png"/><Relationship Id="rId8" Type="http://schemas.openxmlformats.org/officeDocument/2006/relationships/image" Target="media/image11.png"/><Relationship Id="rId31" Type="http://schemas.openxmlformats.org/officeDocument/2006/relationships/footer" Target="footer1.xml"/><Relationship Id="rId30" Type="http://schemas.openxmlformats.org/officeDocument/2006/relationships/image" Target="media/image23.png"/><Relationship Id="rId11" Type="http://schemas.openxmlformats.org/officeDocument/2006/relationships/image" Target="media/image18.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16.png"/><Relationship Id="rId15" Type="http://schemas.openxmlformats.org/officeDocument/2006/relationships/image" Target="media/image21.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image" Target="media/image14.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