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Biochemical Guardrails — Q-Twin</w:t>
      </w:r>
    </w:p>
    <w:p>
      <w:pPr>
        <w:spacing w:after="120"/>
      </w:pPr>
      <w:r>
        <w:rPr>
          <w:i/>
          <w:iCs/>
          <w:color w:val="555555"/>
        </w:rPr>
        <w:t xml:space="preserve">Draft prepared from the 45-chip raw dataset (14/15/20/21 Mar 2026). This is a first pass built directly off the computed numbers — Eva should read through, correct anything that conflicts with lab notes, and own the final judgment calls (flagged below).</w:t>
      </w:r>
    </w:p>
    <w:p>
      <w:pPr>
        <w:pStyle w:val="Heading1"/>
        <w:spacing w:after="150" w:before="300"/>
      </w:pPr>
      <w:r>
        <w:t xml:space="preserve">1. Concentration bounds</w:t>
      </w:r>
    </w:p>
    <w:p>
      <w:pPr>
        <w:spacing w:after="120"/>
      </w:pPr>
      <w:r>
        <w:t xml:space="preserve">Valid range: 0.5–10 µM. Concentrations outside this range are not physically meaningful for this assay and should be excluded from training data for the AI models in Weeks 2+.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range is taken directly from the Week 1 guide (Task 5, item 13). The raw dataset also includes 20 µM, 40 µM and NC chips, used here only to characterize the crowding inversion (Section 2) and negative-control behavior (Section 4) — confirm this is the intended scope, not a contradiction.</w:t>
      </w:r>
    </w:p>
    <w:p>
      <w:pPr>
        <w:pStyle w:val="Heading1"/>
        <w:spacing w:after="150" w:before="300"/>
      </w:pPr>
      <w:r>
        <w:t xml:space="preserve">2. The 10 µM crowding inversion</w:t>
      </w:r>
    </w:p>
    <w:p>
      <w:pPr>
        <w:spacing w:after="120"/>
      </w:pPr>
      <w:r>
        <w:t xml:space="preserve">Above roughly 10 µM (probe concentration during the probe-deposition stage), Δf stops getting more negative and starts trending positive — surface crowding limits further mass loading, and non-specific/multilayer effects can push the frequency back up instead of down.</w:t>
      </w:r>
    </w:p>
    <w:p>
      <w:pPr>
        <w:spacing w:after="120"/>
      </w:pPr>
      <w:r>
        <w:t xml:space="preserve">Reference number from the published paper/summary: −62.96 Hz at 10 µM, room temperature.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800"/>
        <w:gridCol w:w="1800"/>
        <w:gridCol w:w="2200"/>
      </w:tblGrid>
      <w:tr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Concentration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Chips (n)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Mean probe Δf (Hz)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Range (Hz)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-0.72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-1.46 to +0.14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baseline, no probe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5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+1.15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-0.81 to +4.39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10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+3.44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+1.94 to +5.19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above crowding onset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20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+1.11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-1.12 to +5.12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40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+2.91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-1.48 to +6.98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Table computed from the 14 Mar concentration-sweep chips (probe-stage Δf, averaged per replicate then per chip). Sample size is small (n=3 per concentration) and noisy — the trend is directionally consistent with crowding (Δf becomes less negative / goes positive above ~5–10 µM) but does not cleanly reproduce the −62.96 Hz reference point from the published paper. That number likely comes from a cleaner/aggregated measurement elsewhere in the original dataset.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reconcile the −62.96 Hz reference against this table with the teacher — same open question as Task 2 in the Week 1 guide (the 70.18% vs 70.72% mismatch). Also confirm whether 'crowding onset' should be pinned at 10 µM or whether 5 µM already shows early signs (mean here is only weakly negative).</w:t>
      </w:r>
    </w:p>
    <w:p>
      <w:pPr>
        <w:pStyle w:val="Heading1"/>
        <w:spacing w:after="150" w:before="300"/>
      </w:pPr>
      <w:r>
        <w:t xml:space="preserve">3. Chip failure logic</w:t>
      </w:r>
    </w:p>
    <w:p>
      <w:pPr>
        <w:spacing w:after="120"/>
      </w:pPr>
      <w:r>
        <w:t xml:space="preserve">SUCCESS if probe-stage Δf &lt; 0 Hz. FAILURE otherwise (Δf ≥ 0, or missing probe data).</w:t>
      </w:r>
    </w:p>
    <w:p>
      <w:pPr>
        <w:spacing w:after="120"/>
      </w:pPr>
      <w:r>
        <w:t xml:space="preserve">Across the 45-chip dataset: 20 SUCCESS, 25 FAILURE. Mean probe Δf for SUCCESS chips is -1.47 Hz (range -5.09 to -0.13); mean for FAILURE chips is +2.91 Hz (range +0.08 to +7.81). The two groups are well separated around zero — the largest gap in the sorted Δf values near the boundary falls between +0.14 Hz and +0.86 Hz, just above the threshold, supporting 0 Hz as a clean, physically-motivated cutoff (negative Δf = added mass = binding).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confirm 0 Hz (not some small negative buffer, e.g. -0.5 Hz, to account for instrument noise) is the right cutoff — a few chips sit close to zero (No.3: +0.14, No.9: -0.13, No.29 NC: +0.08) where measurement noise could flip the call.</w:t>
      </w:r>
    </w:p>
    <w:p>
      <w:pPr>
        <w:pStyle w:val="Heading1"/>
        <w:spacing w:after="150" w:before="300"/>
      </w:pPr>
      <w:r>
        <w:t xml:space="preserve">4. Real negative-control behavior</w:t>
      </w:r>
    </w:p>
    <w:p>
      <w:pPr>
        <w:spacing w:after="120"/>
      </w:pPr>
      <w:r>
        <w:t xml:space="preserve">Chips No.7 and No.29 (21 Mar) are the only genuine 'no target present' runs. Plots: figures/NC_21Mar_No_7.png and figures/NC_21Mar_No_29.png.</w:t>
      </w:r>
    </w:p>
    <w:p>
      <w:pPr>
        <w:spacing w:after="120"/>
      </w:pPr>
      <w:r>
        <w:t xml:space="preserve">Draft description: both NC chips show flat, low-amplitude, monotonic upward drift over their full run (roughly +10–15 Hz over 150–220s) with no sharp steps or large excursions — this looks like slow thermal/baseline drift, not a binding event. By contrast, a genuine hybridization curve (e.g. chip No.2, a SUCCESS chip from the same 21 Mar session) shows a fast initial drop of tens of Hz within the first ~20–30s and sharp step-like jumps later in the run, both absent from the NC curves. Chip No.29's probe-stage replicates are noisier than No.7's, with small dips instead of a smooth drift, but neither shows the large negative excursion characteristic of a SUCCESS chip.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paragraph is Evin's read of the plots, standing in for Eva's Task 4 write-up. Eva should look at the actual figures (not just this description) and confirm/adjust — in particular the 'this is thermal drift, not binding' interpretation is an inference, not a lab-verified fact.</w:t>
      </w:r>
    </w:p>
    <w:p>
      <w:pPr>
        <w:pStyle w:val="Heading1"/>
        <w:spacing w:after="150" w:before="300"/>
      </w:pPr>
      <w:r>
        <w:t xml:space="preserve">5. NEW — The Novel Kinetic Biomarker</w:t>
      </w:r>
    </w:p>
    <w:p>
      <w:pPr>
        <w:pStyle w:val="Heading2"/>
        <w:spacing w:after="120" w:before="250"/>
      </w:pPr>
      <w:r>
        <w:t xml:space="preserve">(a) Time window</w:t>
      </w:r>
    </w:p>
    <w:p>
      <w:pPr>
        <w:spacing w:after="120"/>
      </w:pPr>
      <w:r>
        <w:t xml:space="preserve">30 seconds, measured from the start of the probe-stage curve. Computed as the slope of a linear least-squares fit of Resonance_Frequency vs Relative_time over Relative_time ≤ 30s.</w:t>
      </w:r>
    </w:p>
    <w:p>
      <w:pPr>
        <w:pStyle w:val="Heading2"/>
        <w:spacing w:after="120" w:before="250"/>
      </w:pPr>
      <w:r>
        <w:t xml:space="preserve">(b) Why this window avoids the crowding problem</w:t>
      </w:r>
    </w:p>
    <w:p>
      <w:pPr>
        <w:spacing w:after="120"/>
      </w:pPr>
      <w:r>
        <w:t xml:space="preserve">The sampling interval is ~0.6s, so a 30s window still gives ~45-50 points — enough for a stable slope estimate. A 60s window was considered but rejected: at the higher probe concentrations in this dataset (20-40 µM), the crowding-driven flattening/reversal described in Section 2 can already be influencing the curve well before 60s, which would contaminate the 'early kinetics' signal with the same surface-saturation effect the biomarker is meant to isolate from. 30s stays safely inside the initial near-linear binding regime for all concentrations tested.</w:t>
      </w:r>
    </w:p>
    <w:p>
      <w:pPr>
        <w:pStyle w:val="Heading2"/>
        <w:spacing w:after="120" w:before="250"/>
      </w:pPr>
      <w:r>
        <w:t xml:space="preserve">(c) Expected behavior</w:t>
      </w:r>
    </w:p>
    <w:p>
      <w:pPr>
        <w:spacing w:after="120"/>
      </w:pPr>
      <w:r>
        <w:t xml:space="preserve">SUCCESS chips: mean binding rate ≈ -0.0149 Hz/s (std 0.032) over the 30s window — i.e., frequency dropping right from the start.</w:t>
      </w:r>
    </w:p>
    <w:p>
      <w:pPr>
        <w:spacing w:after="120"/>
      </w:pPr>
      <w:r>
        <w:t xml:space="preserve">FAILURE chips: mean binding rate ≈ +0.0187 Hz/s (std 0.030) — flat or drifting upward from the start, consistent with no early binding.</w:t>
      </w:r>
    </w:p>
    <w:p>
      <w:pPr>
        <w:spacing w:after="120"/>
      </w:pPr>
      <w:r>
        <w:t xml:space="preserve">Across concentrations: expect the magnitude of the early binding rate to increase with concentration up to the ~10 µM crowding onset (more target/probe available to bind faster), then plateau or shrink above that as surface crowding slows the initial adsorption kinetics too, not just the final Δf.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the concentration-dependence claim in the last sentence is a hypothesis based on the crowding model in Section 2, not yet directly verified against this dataset's biomarker column (qtwin/data/chip_summary.csv, binding_rate_probe_dfdt_30s) broken out by concentration group — worth a quick check before this goes in the proposal.</w:t>
      </w:r>
    </w:p>
    <w:p>
      <w:pPr>
        <w:spacing w:after="120"/>
      </w:pPr>
      <w:r>
        <w:t xml:space="preserve">Known limitation: chip 21Mar_No.29, a true negative control, has the second-fastest early binding rate in the whole dataset (-0.071 Hz/s) despite a near-zero full-run Δf (correctly FAILURE). This comes from one noisy replicate declining smoothly for 30s while the other replicate is flat with a step artifact — i.e. a single-replicate false positive on the early-window biomarker alone.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should Week 2's models require agreement across replicates before trusting the 30s biomarker, rather than the simple per-chip average used here? See clarifying_questions.md item 7.</w:t>
      </w:r>
    </w:p>
    <w:p>
      <w:pPr>
        <w:pStyle w:val="Heading1"/>
        <w:spacing w:after="150" w:before="30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Computed values: qtwin/data/chip_summary.csv (45 chips, all 4 sessions).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Cross-check against Eva's chip_index.csv: qtwin/data/cross_check_report.csv (0 mismatches).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Plots: qtwin/figures/ (NC_21Mar_No_7.png, NC_21Mar_No_29.png, and grouped condition plots).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2026-08-02T03:33:18.699Z</dcterms:created>
  <dcterms:modified xsi:type="dcterms:W3CDTF">2026-08-02T03:33:18.706Z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