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F2D" w:rsidRPr="003F663E" w:rsidRDefault="00FE6F2D" w:rsidP="00320E5B">
      <w:pPr>
        <w:pStyle w:val="Heading1"/>
      </w:pPr>
      <w:r w:rsidRPr="003F663E">
        <w:t>Cortical correlates of translating point-light walker. An event-related potentials study</w:t>
      </w:r>
    </w:p>
    <w:p w:rsidR="00FE6F2D" w:rsidRPr="00FE6F2D" w:rsidRDefault="00FE6F2D" w:rsidP="00320E5B">
      <w:pPr>
        <w:rPr>
          <w:rFonts w:eastAsia="Batang"/>
          <w:lang w:val="en-GB"/>
        </w:rPr>
      </w:pPr>
    </w:p>
    <w:p w:rsidR="00FE6F2D" w:rsidRPr="00FE6F2D" w:rsidRDefault="00FE6F2D" w:rsidP="00320E5B">
      <w:pPr>
        <w:rPr>
          <w:rFonts w:eastAsia="Batang"/>
          <w:lang w:val="en-GB"/>
        </w:rPr>
      </w:pPr>
    </w:p>
    <w:p w:rsidR="00FE6F2D" w:rsidRPr="00FE6F2D" w:rsidRDefault="00FE6F2D" w:rsidP="00320E5B">
      <w:pPr>
        <w:rPr>
          <w:rFonts w:eastAsia="Batang"/>
          <w:lang w:val="en-GB"/>
        </w:rPr>
      </w:pPr>
      <w:proofErr w:type="spellStart"/>
      <w:r w:rsidRPr="00FE6F2D">
        <w:rPr>
          <w:rFonts w:eastAsia="Batang"/>
          <w:lang w:val="en-GB"/>
        </w:rPr>
        <w:t>Inuggi</w:t>
      </w:r>
      <w:proofErr w:type="spellEnd"/>
      <w:r w:rsidRPr="00FE6F2D">
        <w:rPr>
          <w:rFonts w:eastAsia="Batang"/>
          <w:lang w:val="en-GB"/>
        </w:rPr>
        <w:t xml:space="preserve"> A</w:t>
      </w:r>
      <w:r w:rsidRPr="00FE6F2D">
        <w:rPr>
          <w:rFonts w:eastAsia="Batang"/>
          <w:vertAlign w:val="superscript"/>
          <w:lang w:val="en-GB"/>
        </w:rPr>
        <w:t>1</w:t>
      </w:r>
      <w:r w:rsidRPr="00FE6F2D">
        <w:rPr>
          <w:rFonts w:eastAsia="Batang"/>
          <w:lang w:val="en-GB"/>
        </w:rPr>
        <w:t>, Campus C</w:t>
      </w:r>
      <w:r w:rsidRPr="00FE6F2D">
        <w:rPr>
          <w:rFonts w:eastAsia="Batang"/>
          <w:vertAlign w:val="superscript"/>
          <w:lang w:val="en-GB"/>
        </w:rPr>
        <w:t>1</w:t>
      </w:r>
      <w:r w:rsidRPr="00FE6F2D">
        <w:rPr>
          <w:rFonts w:eastAsia="Batang"/>
          <w:lang w:val="en-GB"/>
        </w:rPr>
        <w:t xml:space="preserve">, </w:t>
      </w:r>
      <w:proofErr w:type="spellStart"/>
      <w:r w:rsidRPr="00FE6F2D">
        <w:rPr>
          <w:rFonts w:eastAsia="Batang"/>
          <w:lang w:val="en-GB"/>
        </w:rPr>
        <w:t>Keroglanian</w:t>
      </w:r>
      <w:proofErr w:type="spellEnd"/>
      <w:r w:rsidRPr="00FE6F2D">
        <w:rPr>
          <w:rFonts w:eastAsia="Batang"/>
          <w:lang w:val="en-GB"/>
        </w:rPr>
        <w:t xml:space="preserve"> A</w:t>
      </w:r>
      <w:r w:rsidRPr="00FE6F2D">
        <w:rPr>
          <w:rFonts w:eastAsia="Batang"/>
          <w:vertAlign w:val="superscript"/>
          <w:lang w:val="en-GB"/>
        </w:rPr>
        <w:t>1</w:t>
      </w:r>
      <w:r w:rsidRPr="00FE6F2D">
        <w:rPr>
          <w:rFonts w:eastAsia="Batang"/>
          <w:lang w:val="en-GB"/>
        </w:rPr>
        <w:t xml:space="preserve"> and T. Pozzo</w:t>
      </w:r>
      <w:r w:rsidRPr="00FE6F2D">
        <w:rPr>
          <w:rFonts w:eastAsia="Batang"/>
          <w:vertAlign w:val="superscript"/>
          <w:lang w:val="en-GB"/>
        </w:rPr>
        <w:t xml:space="preserve">1 2 3 </w:t>
      </w:r>
      <w:r w:rsidRPr="00FE6F2D">
        <w:rPr>
          <w:rFonts w:eastAsia="Batang"/>
          <w:lang w:val="en-GB"/>
        </w:rPr>
        <w:t xml:space="preserve"> </w:t>
      </w:r>
    </w:p>
    <w:p w:rsidR="00FE6F2D" w:rsidRPr="00FE6F2D" w:rsidRDefault="00FE6F2D" w:rsidP="00320E5B">
      <w:pPr>
        <w:rPr>
          <w:rFonts w:eastAsia="Batang"/>
          <w:lang w:val="en-GB"/>
        </w:rPr>
      </w:pPr>
      <w:r w:rsidRPr="00FE6F2D">
        <w:rPr>
          <w:rFonts w:eastAsia="Batang"/>
          <w:b/>
          <w:bCs/>
          <w:lang w:val="en-GB"/>
        </w:rPr>
        <w:t>1</w:t>
      </w:r>
      <w:r w:rsidRPr="00FE6F2D">
        <w:rPr>
          <w:rFonts w:eastAsia="Batang"/>
          <w:lang w:val="en-GB"/>
        </w:rPr>
        <w:t xml:space="preserve"> Department of Robotics, Brain and Cognitive Sciences, </w:t>
      </w:r>
      <w:proofErr w:type="spellStart"/>
      <w:r w:rsidRPr="00FE6F2D">
        <w:rPr>
          <w:rFonts w:eastAsia="Batang"/>
          <w:lang w:val="en-GB"/>
        </w:rPr>
        <w:t>Istituto</w:t>
      </w:r>
      <w:proofErr w:type="spellEnd"/>
      <w:r w:rsidRPr="00FE6F2D">
        <w:rPr>
          <w:rFonts w:eastAsia="Batang"/>
          <w:lang w:val="en-GB"/>
        </w:rPr>
        <w:t xml:space="preserve"> </w:t>
      </w:r>
      <w:proofErr w:type="spellStart"/>
      <w:r w:rsidRPr="00FE6F2D">
        <w:rPr>
          <w:rFonts w:eastAsia="Batang"/>
          <w:lang w:val="en-GB"/>
        </w:rPr>
        <w:t>Italiano</w:t>
      </w:r>
      <w:proofErr w:type="spellEnd"/>
      <w:r w:rsidRPr="00FE6F2D">
        <w:rPr>
          <w:rFonts w:eastAsia="Batang"/>
          <w:lang w:val="en-GB"/>
        </w:rPr>
        <w:t xml:space="preserve"> di </w:t>
      </w:r>
      <w:proofErr w:type="spellStart"/>
      <w:r w:rsidRPr="00FE6F2D">
        <w:rPr>
          <w:rFonts w:eastAsia="Batang"/>
          <w:lang w:val="en-GB"/>
        </w:rPr>
        <w:t>Tecnologia</w:t>
      </w:r>
      <w:proofErr w:type="spellEnd"/>
      <w:r w:rsidRPr="00FE6F2D">
        <w:rPr>
          <w:rFonts w:eastAsia="Batang"/>
          <w:lang w:val="en-GB"/>
        </w:rPr>
        <w:t xml:space="preserve">, </w:t>
      </w:r>
      <w:proofErr w:type="spellStart"/>
      <w:r w:rsidRPr="00FE6F2D">
        <w:rPr>
          <w:rFonts w:eastAsia="Batang"/>
          <w:lang w:val="en-GB"/>
        </w:rPr>
        <w:t>Genova</w:t>
      </w:r>
      <w:proofErr w:type="spellEnd"/>
      <w:r w:rsidRPr="00FE6F2D">
        <w:rPr>
          <w:rFonts w:eastAsia="Batang"/>
          <w:lang w:val="en-GB"/>
        </w:rPr>
        <w:t>, Italy, </w:t>
      </w:r>
      <w:r w:rsidRPr="00FE6F2D">
        <w:rPr>
          <w:rFonts w:eastAsia="Batang"/>
          <w:b/>
          <w:bCs/>
          <w:lang w:val="en-GB"/>
        </w:rPr>
        <w:t xml:space="preserve"> 2</w:t>
      </w:r>
      <w:r w:rsidRPr="00FE6F2D">
        <w:rPr>
          <w:rFonts w:eastAsia="Batang"/>
          <w:lang w:val="en-GB"/>
        </w:rPr>
        <w:t xml:space="preserve"> INSERM-U887, </w:t>
      </w:r>
      <w:proofErr w:type="spellStart"/>
      <w:r w:rsidRPr="00FE6F2D">
        <w:rPr>
          <w:rFonts w:eastAsia="Batang"/>
          <w:lang w:val="en-GB"/>
        </w:rPr>
        <w:t>Motricité-Plasticité</w:t>
      </w:r>
      <w:proofErr w:type="spellEnd"/>
      <w:r w:rsidRPr="00FE6F2D">
        <w:rPr>
          <w:rFonts w:eastAsia="Batang"/>
          <w:lang w:val="en-GB"/>
        </w:rPr>
        <w:t xml:space="preserve">, Campus </w:t>
      </w:r>
      <w:proofErr w:type="spellStart"/>
      <w:r w:rsidRPr="00FE6F2D">
        <w:rPr>
          <w:rFonts w:eastAsia="Batang"/>
          <w:lang w:val="en-GB"/>
        </w:rPr>
        <w:t>Universitaire</w:t>
      </w:r>
      <w:proofErr w:type="spellEnd"/>
      <w:r w:rsidRPr="00FE6F2D">
        <w:rPr>
          <w:rFonts w:eastAsia="Batang"/>
          <w:lang w:val="en-GB"/>
        </w:rPr>
        <w:t xml:space="preserve">, Dijon, France, </w:t>
      </w:r>
      <w:r w:rsidRPr="00FE6F2D">
        <w:rPr>
          <w:rFonts w:eastAsia="Batang"/>
          <w:b/>
          <w:lang w:val="en-GB"/>
        </w:rPr>
        <w:t>3</w:t>
      </w:r>
      <w:r w:rsidRPr="00FE6F2D">
        <w:rPr>
          <w:rFonts w:eastAsia="Batang"/>
          <w:lang w:val="en-GB"/>
        </w:rPr>
        <w:t xml:space="preserve"> </w:t>
      </w:r>
      <w:proofErr w:type="spellStart"/>
      <w:r w:rsidRPr="00FE6F2D">
        <w:rPr>
          <w:rFonts w:eastAsia="Batang"/>
          <w:lang w:val="en-GB"/>
        </w:rPr>
        <w:t>Institut</w:t>
      </w:r>
      <w:proofErr w:type="spellEnd"/>
      <w:r w:rsidRPr="00FE6F2D">
        <w:rPr>
          <w:rFonts w:eastAsia="Batang"/>
          <w:lang w:val="en-GB"/>
        </w:rPr>
        <w:t xml:space="preserve"> </w:t>
      </w:r>
      <w:proofErr w:type="spellStart"/>
      <w:r w:rsidRPr="00FE6F2D">
        <w:rPr>
          <w:rFonts w:eastAsia="Batang"/>
          <w:lang w:val="en-GB"/>
        </w:rPr>
        <w:t>Universitaire</w:t>
      </w:r>
      <w:proofErr w:type="spellEnd"/>
      <w:r w:rsidRPr="00FE6F2D">
        <w:rPr>
          <w:rFonts w:eastAsia="Batang"/>
          <w:lang w:val="en-GB"/>
        </w:rPr>
        <w:t xml:space="preserve"> de France, </w:t>
      </w:r>
      <w:proofErr w:type="spellStart"/>
      <w:r w:rsidRPr="00FE6F2D">
        <w:rPr>
          <w:rFonts w:eastAsia="Batang"/>
          <w:lang w:val="en-GB"/>
        </w:rPr>
        <w:t>Université</w:t>
      </w:r>
      <w:proofErr w:type="spellEnd"/>
      <w:r w:rsidRPr="00FE6F2D">
        <w:rPr>
          <w:rFonts w:eastAsia="Batang"/>
          <w:lang w:val="en-GB"/>
        </w:rPr>
        <w:t xml:space="preserve"> de Bourgogne, Dijon, Campus </w:t>
      </w:r>
      <w:proofErr w:type="spellStart"/>
      <w:r w:rsidRPr="00FE6F2D">
        <w:rPr>
          <w:rFonts w:eastAsia="Batang"/>
          <w:lang w:val="en-GB"/>
        </w:rPr>
        <w:t>Universitaire</w:t>
      </w:r>
      <w:proofErr w:type="spellEnd"/>
      <w:r w:rsidRPr="00FE6F2D">
        <w:rPr>
          <w:rFonts w:eastAsia="Batang"/>
          <w:lang w:val="en-GB"/>
        </w:rPr>
        <w:t>, UFR STAPS, BP 27877, F-21078 Dijon, France</w:t>
      </w:r>
    </w:p>
    <w:p w:rsidR="00FE6F2D" w:rsidRPr="00FE6F2D" w:rsidRDefault="00FE6F2D" w:rsidP="00320E5B">
      <w:pPr>
        <w:rPr>
          <w:rFonts w:eastAsia="Batang"/>
          <w:lang w:val="en-GB"/>
        </w:rPr>
      </w:pPr>
    </w:p>
    <w:p w:rsidR="00FE6F2D" w:rsidRPr="00FE6F2D" w:rsidRDefault="00FE6F2D" w:rsidP="00320E5B">
      <w:pPr>
        <w:rPr>
          <w:rFonts w:eastAsia="Batang"/>
          <w:lang w:val="en-GB"/>
        </w:rPr>
      </w:pPr>
      <w:r w:rsidRPr="00FE6F2D">
        <w:rPr>
          <w:rFonts w:eastAsia="Batang"/>
          <w:lang w:val="en-GB"/>
        </w:rPr>
        <w:t xml:space="preserve">Corresponding authors: </w:t>
      </w:r>
    </w:p>
    <w:p w:rsidR="00FE6F2D" w:rsidRPr="00FE6F2D" w:rsidRDefault="003F663E" w:rsidP="00320E5B">
      <w:pPr>
        <w:rPr>
          <w:rFonts w:eastAsia="Batang"/>
          <w:b/>
          <w:lang w:val="en-GB"/>
        </w:rPr>
      </w:pPr>
      <w:proofErr w:type="spellStart"/>
      <w:r>
        <w:rPr>
          <w:rFonts w:eastAsia="Batang"/>
          <w:lang w:val="en-GB"/>
        </w:rPr>
        <w:t>Prof.</w:t>
      </w:r>
      <w:proofErr w:type="spellEnd"/>
      <w:r>
        <w:rPr>
          <w:rFonts w:eastAsia="Batang"/>
          <w:lang w:val="en-GB"/>
        </w:rPr>
        <w:t xml:space="preserve"> </w:t>
      </w:r>
      <w:r w:rsidR="00FE6F2D" w:rsidRPr="00FE6F2D">
        <w:rPr>
          <w:rFonts w:eastAsia="Batang"/>
          <w:lang w:val="en-GB"/>
        </w:rPr>
        <w:t>T</w:t>
      </w:r>
      <w:r>
        <w:rPr>
          <w:rFonts w:eastAsia="Batang"/>
          <w:lang w:val="en-GB"/>
        </w:rPr>
        <w:t>hierry</w:t>
      </w:r>
      <w:r w:rsidR="00FE6F2D" w:rsidRPr="00FE6F2D">
        <w:rPr>
          <w:rFonts w:eastAsia="Batang"/>
          <w:lang w:val="en-GB"/>
        </w:rPr>
        <w:t xml:space="preserve"> Pozzo: Department of Robotics, Brain and Cognitive Sciences, </w:t>
      </w:r>
      <w:proofErr w:type="spellStart"/>
      <w:r w:rsidR="00FE6F2D" w:rsidRPr="00FE6F2D">
        <w:rPr>
          <w:rFonts w:eastAsia="Batang"/>
          <w:lang w:val="en-GB"/>
        </w:rPr>
        <w:t>Istituto</w:t>
      </w:r>
      <w:proofErr w:type="spellEnd"/>
      <w:r w:rsidR="00FE6F2D" w:rsidRPr="00FE6F2D">
        <w:rPr>
          <w:rFonts w:eastAsia="Batang"/>
          <w:lang w:val="en-GB"/>
        </w:rPr>
        <w:t xml:space="preserve"> </w:t>
      </w:r>
      <w:proofErr w:type="spellStart"/>
      <w:r w:rsidR="00FE6F2D" w:rsidRPr="00FE6F2D">
        <w:rPr>
          <w:rFonts w:eastAsia="Batang"/>
          <w:lang w:val="en-GB"/>
        </w:rPr>
        <w:t>Italiano</w:t>
      </w:r>
      <w:proofErr w:type="spellEnd"/>
      <w:r w:rsidR="00FE6F2D" w:rsidRPr="00FE6F2D">
        <w:rPr>
          <w:rFonts w:eastAsia="Batang"/>
          <w:lang w:val="en-GB"/>
        </w:rPr>
        <w:t xml:space="preserve"> di </w:t>
      </w:r>
      <w:proofErr w:type="spellStart"/>
      <w:r w:rsidR="00FE6F2D" w:rsidRPr="00FE6F2D">
        <w:rPr>
          <w:rFonts w:eastAsia="Batang"/>
          <w:lang w:val="en-GB"/>
        </w:rPr>
        <w:t>Tecnologia</w:t>
      </w:r>
      <w:proofErr w:type="spellEnd"/>
      <w:r w:rsidR="00FE6F2D" w:rsidRPr="00FE6F2D">
        <w:rPr>
          <w:rFonts w:eastAsia="Batang"/>
          <w:lang w:val="en-GB"/>
        </w:rPr>
        <w:t xml:space="preserve">, </w:t>
      </w:r>
      <w:proofErr w:type="spellStart"/>
      <w:r w:rsidR="00FE6F2D" w:rsidRPr="00FE6F2D">
        <w:rPr>
          <w:rFonts w:eastAsia="Batang"/>
          <w:lang w:val="en-GB"/>
        </w:rPr>
        <w:t>Genova</w:t>
      </w:r>
      <w:proofErr w:type="spellEnd"/>
    </w:p>
    <w:p w:rsidR="00FE6F2D" w:rsidRPr="00FE6F2D" w:rsidRDefault="00FE6F2D" w:rsidP="00320E5B">
      <w:pPr>
        <w:rPr>
          <w:rFonts w:eastAsia="Batang"/>
          <w:lang w:val="en-GB"/>
        </w:rPr>
      </w:pPr>
    </w:p>
    <w:p w:rsidR="00FE6F2D" w:rsidRPr="00FE6F2D" w:rsidRDefault="003F663E" w:rsidP="00320E5B">
      <w:pPr>
        <w:rPr>
          <w:rFonts w:eastAsia="Batang"/>
        </w:rPr>
      </w:pPr>
      <w:r>
        <w:rPr>
          <w:rFonts w:eastAsia="Batang"/>
        </w:rPr>
        <w:t>Key</w:t>
      </w:r>
      <w:r w:rsidR="00FE6F2D" w:rsidRPr="00FE6F2D">
        <w:rPr>
          <w:rFonts w:eastAsia="Batang"/>
        </w:rPr>
        <w:t xml:space="preserve">words: </w:t>
      </w:r>
    </w:p>
    <w:p w:rsidR="003F663E" w:rsidRDefault="003F663E" w:rsidP="00320E5B">
      <w:pPr>
        <w:rPr>
          <w:rFonts w:eastAsia="Batang"/>
        </w:rPr>
      </w:pPr>
      <w:r>
        <w:rPr>
          <w:rFonts w:eastAsia="Batang"/>
        </w:rPr>
        <w:br w:type="page"/>
      </w:r>
    </w:p>
    <w:p w:rsidR="00FE6F2D" w:rsidRPr="003F663E" w:rsidRDefault="00FE6F2D" w:rsidP="00320E5B">
      <w:pPr>
        <w:pStyle w:val="Heading1"/>
      </w:pPr>
      <w:r w:rsidRPr="003F663E">
        <w:lastRenderedPageBreak/>
        <w:t xml:space="preserve">Abstract </w:t>
      </w:r>
    </w:p>
    <w:p w:rsidR="00FE6F2D" w:rsidRDefault="00FE6F2D" w:rsidP="00320E5B">
      <w:r>
        <w:br w:type="page"/>
      </w:r>
    </w:p>
    <w:p w:rsidR="003F663E" w:rsidRDefault="003F663E" w:rsidP="00320E5B">
      <w:pPr>
        <w:pStyle w:val="Heading1"/>
      </w:pPr>
      <w:r>
        <w:lastRenderedPageBreak/>
        <w:t>Introduction</w:t>
      </w:r>
    </w:p>
    <w:p w:rsidR="00B24628" w:rsidRDefault="00B24628" w:rsidP="00B24628">
      <w:r>
        <w:t>-Action is not only described as a particular geometry (the body with the limb in a particular posture) to move but also the motion itself (limbs trajectory in the 3D space);</w:t>
      </w:r>
    </w:p>
    <w:p w:rsidR="00B24628" w:rsidRDefault="00B24628" w:rsidP="00B24628">
      <w:r>
        <w:t xml:space="preserve">-the stimuli usually displayed do not correspond to a nominal </w:t>
      </w:r>
      <w:proofErr w:type="spellStart"/>
      <w:r>
        <w:t>locomotor</w:t>
      </w:r>
      <w:proofErr w:type="spellEnd"/>
      <w:r>
        <w:t xml:space="preserve"> pattern as no horizontal translation is present. </w:t>
      </w:r>
    </w:p>
    <w:p w:rsidR="00B24628" w:rsidRDefault="00B24628" w:rsidP="00B24628">
      <w:r>
        <w:t>From a motor point of view there is no optical flow…..</w:t>
      </w:r>
    </w:p>
    <w:p w:rsidR="003F663E" w:rsidRDefault="00B24628" w:rsidP="00B24628">
      <w:r>
        <w:t xml:space="preserve">From a perceptual point of view, this kind of locomotion would correspond to someone walking without goal, in the reverse direction of an airport </w:t>
      </w:r>
      <w:proofErr w:type="gramStart"/>
      <w:r>
        <w:t>treadmill, that</w:t>
      </w:r>
      <w:proofErr w:type="gramEnd"/>
      <w:r>
        <w:t xml:space="preserve"> is rather unusual visual stimulus.   </w:t>
      </w:r>
      <w:r w:rsidR="003F663E">
        <w:br w:type="page"/>
      </w:r>
    </w:p>
    <w:p w:rsidR="00FE6F2D" w:rsidRPr="00F46003" w:rsidRDefault="00FE6F2D" w:rsidP="00320E5B">
      <w:pPr>
        <w:pStyle w:val="Heading1"/>
      </w:pPr>
      <w:r w:rsidRPr="00F46003">
        <w:lastRenderedPageBreak/>
        <w:t>Materials and methods</w:t>
      </w:r>
    </w:p>
    <w:p w:rsidR="00FE6F2D" w:rsidRPr="003F663E" w:rsidRDefault="00FE6F2D" w:rsidP="00320E5B">
      <w:pPr>
        <w:pStyle w:val="Heading2"/>
      </w:pPr>
      <w:r w:rsidRPr="003F663E">
        <w:t>Subjects</w:t>
      </w:r>
    </w:p>
    <w:p w:rsidR="00FE6F2D" w:rsidRPr="00F46003" w:rsidRDefault="00FE6F2D" w:rsidP="00320E5B">
      <w:r w:rsidRPr="00F46003">
        <w:t>13 right-handed volunteers (7 females, 6 males, mean age: 27, standard deviation: 3.5), with normal or corrected to normal vision, took part in this study. All participants provided written informed consent before the experiment began. The experimental protocol was approved by the local ethical committee ASL-3 (“</w:t>
      </w:r>
      <w:proofErr w:type="spellStart"/>
      <w:r w:rsidRPr="00F46003">
        <w:t>Azienda</w:t>
      </w:r>
      <w:proofErr w:type="spellEnd"/>
      <w:r w:rsidRPr="00F46003">
        <w:t xml:space="preserve"> Sanitaria Locale”, local health unit), Genoa.</w:t>
      </w:r>
    </w:p>
    <w:p w:rsidR="00FE6F2D" w:rsidRPr="003F663E" w:rsidRDefault="00FE6F2D" w:rsidP="00320E5B">
      <w:pPr>
        <w:pStyle w:val="Heading2"/>
      </w:pPr>
      <w:r w:rsidRPr="003F663E">
        <w:t>Experimental protocol: Stimuli and task</w:t>
      </w:r>
    </w:p>
    <w:p w:rsidR="00FE6F2D" w:rsidRPr="00F46003" w:rsidRDefault="00FE6F2D" w:rsidP="00320E5B">
      <w:r w:rsidRPr="00F46003">
        <w:t>Participants were presented with point-light animations (PLAs)</w:t>
      </w:r>
      <w:r w:rsidR="00F46003">
        <w:t xml:space="preserve"> obtained by recording (for </w:t>
      </w:r>
      <w:r w:rsidR="00F46003" w:rsidRPr="00F46003">
        <w:t>4.5 seconds)</w:t>
      </w:r>
      <w:r w:rsidR="00F46003">
        <w:t xml:space="preserve"> </w:t>
      </w:r>
      <w:r w:rsidR="00F46003" w:rsidRPr="00F46003">
        <w:t xml:space="preserve">an actor walking naturally </w:t>
      </w:r>
      <w:r w:rsidR="00F46003">
        <w:t xml:space="preserve">with a </w:t>
      </w:r>
      <w:r w:rsidRPr="00F46003">
        <w:t xml:space="preserve">VICON Motion Capture System </w:t>
      </w:r>
      <w:r w:rsidR="00F46003">
        <w:t>(</w:t>
      </w:r>
      <w:r w:rsidRPr="00F46003">
        <w:t>ten cameras at 100 Hz sampling frequency</w:t>
      </w:r>
      <w:r w:rsidR="00F46003">
        <w:t>)</w:t>
      </w:r>
      <w:r w:rsidRPr="00F46003">
        <w:t xml:space="preserve">. The actor had 13 passive infrared reflective markers placed at the main joints and other landmarks. This data was processed through </w:t>
      </w:r>
      <w:proofErr w:type="spellStart"/>
      <w:r w:rsidRPr="00F46003">
        <w:t>Matlab</w:t>
      </w:r>
      <w:proofErr w:type="spellEnd"/>
      <w:r w:rsidRPr="00F46003">
        <w:t xml:space="preserve"> scripts (The </w:t>
      </w:r>
      <w:proofErr w:type="spellStart"/>
      <w:r w:rsidRPr="00F46003">
        <w:t>Mathworks</w:t>
      </w:r>
      <w:proofErr w:type="spellEnd"/>
      <w:r w:rsidRPr="00F46003">
        <w:t>, Inc.) to build the stimuli, which were displayed using the Psychophysics Toolbox (</w:t>
      </w:r>
      <w:proofErr w:type="spellStart"/>
      <w:r w:rsidRPr="00F46003">
        <w:t>Brainard</w:t>
      </w:r>
      <w:proofErr w:type="spellEnd"/>
      <w:r w:rsidRPr="00F46003">
        <w:t xml:space="preserve">, 1997) on an LCD monitor, with a refresh rate of 60 Hz. Point-lights were white against a black background. Four types of stimuli were created: a centered walker, a centered scrambled walker, a translating walker, and a translating scrambled walker (see figure 1), which will be now on referred to as </w:t>
      </w:r>
      <w:proofErr w:type="spellStart"/>
      <w:r w:rsidRPr="00F46003">
        <w:rPr>
          <w:i/>
        </w:rPr>
        <w:t>cwalker</w:t>
      </w:r>
      <w:proofErr w:type="spellEnd"/>
      <w:r w:rsidRPr="00F46003">
        <w:t xml:space="preserve">, </w:t>
      </w:r>
      <w:proofErr w:type="spellStart"/>
      <w:r w:rsidRPr="00F46003">
        <w:rPr>
          <w:i/>
        </w:rPr>
        <w:t>cscramble</w:t>
      </w:r>
      <w:proofErr w:type="spellEnd"/>
      <w:r w:rsidRPr="00F46003">
        <w:t xml:space="preserve">, </w:t>
      </w:r>
      <w:proofErr w:type="spellStart"/>
      <w:r w:rsidRPr="00F46003">
        <w:rPr>
          <w:i/>
        </w:rPr>
        <w:t>twalker</w:t>
      </w:r>
      <w:proofErr w:type="spellEnd"/>
      <w:r w:rsidRPr="00F46003">
        <w:t xml:space="preserve">, and </w:t>
      </w:r>
      <w:proofErr w:type="spellStart"/>
      <w:r w:rsidRPr="00F46003">
        <w:rPr>
          <w:i/>
        </w:rPr>
        <w:t>tscramble</w:t>
      </w:r>
      <w:proofErr w:type="spellEnd"/>
      <w:r w:rsidRPr="00F46003">
        <w:rPr>
          <w:i/>
        </w:rPr>
        <w:t xml:space="preserve">, </w:t>
      </w:r>
      <w:r w:rsidRPr="00F46003">
        <w:t xml:space="preserve">respectively. Each PLA was 1 second long. Following Hirai et al. </w:t>
      </w:r>
      <w:smartTag w:uri="urn:schemas-microsoft-com:office:smarttags" w:element="metricconverter">
        <w:smartTagPr>
          <w:attr w:name="ProductID" w:val="2003, in"/>
        </w:smartTagPr>
        <w:r w:rsidRPr="00F46003">
          <w:t>2003, in</w:t>
        </w:r>
      </w:smartTag>
      <w:r w:rsidRPr="00F46003">
        <w:t xml:space="preserve"> order to avoid a possible bias in the results due to the initial starting positions of the point-lights, each PLA had 10 different starting positions obtained by shifting the animation by steps of 6 frames. The </w:t>
      </w:r>
      <w:proofErr w:type="spellStart"/>
      <w:r w:rsidRPr="00F46003">
        <w:rPr>
          <w:i/>
        </w:rPr>
        <w:t>cwalker</w:t>
      </w:r>
      <w:proofErr w:type="spellEnd"/>
      <w:r w:rsidRPr="00F46003">
        <w:rPr>
          <w:i/>
        </w:rPr>
        <w:t xml:space="preserve"> </w:t>
      </w:r>
      <w:r w:rsidRPr="00F46003">
        <w:t xml:space="preserve">animation was built by translating all the dots of the </w:t>
      </w:r>
      <w:proofErr w:type="spellStart"/>
      <w:r w:rsidRPr="00F46003">
        <w:rPr>
          <w:i/>
        </w:rPr>
        <w:t>twalker</w:t>
      </w:r>
      <w:proofErr w:type="spellEnd"/>
      <w:r w:rsidRPr="00F46003">
        <w:rPr>
          <w:i/>
        </w:rPr>
        <w:t xml:space="preserve"> </w:t>
      </w:r>
      <w:r w:rsidRPr="00F46003">
        <w:t xml:space="preserve">animation by the opposite of the vector defining their center of mass with respect to the center of the screen, at each frame: the </w:t>
      </w:r>
      <w:proofErr w:type="spellStart"/>
      <w:r w:rsidRPr="00F46003">
        <w:rPr>
          <w:i/>
        </w:rPr>
        <w:t>cwalker</w:t>
      </w:r>
      <w:proofErr w:type="spellEnd"/>
      <w:r w:rsidRPr="00F46003">
        <w:t xml:space="preserve"> animation looked like a person walking on a treadmill. The </w:t>
      </w:r>
      <w:proofErr w:type="spellStart"/>
      <w:r w:rsidRPr="00F46003">
        <w:rPr>
          <w:i/>
        </w:rPr>
        <w:t>cscramble</w:t>
      </w:r>
      <w:proofErr w:type="spellEnd"/>
      <w:r w:rsidRPr="00F46003">
        <w:rPr>
          <w:i/>
        </w:rPr>
        <w:t xml:space="preserve"> </w:t>
      </w:r>
      <w:r w:rsidRPr="00F46003">
        <w:t xml:space="preserve">animation was built by changing randomly the initial positions of the dots in the </w:t>
      </w:r>
      <w:proofErr w:type="spellStart"/>
      <w:r w:rsidRPr="00F46003">
        <w:rPr>
          <w:i/>
        </w:rPr>
        <w:t>cwalker</w:t>
      </w:r>
      <w:proofErr w:type="spellEnd"/>
      <w:r w:rsidRPr="00F46003">
        <w:rPr>
          <w:i/>
        </w:rPr>
        <w:t xml:space="preserve"> </w:t>
      </w:r>
      <w:r w:rsidRPr="00F46003">
        <w:t xml:space="preserve">animation but keeping their velocity vectors unchanged; the dots’ trajectories were constrained to remain inside the vertically-oriented rectangle in which the </w:t>
      </w:r>
      <w:proofErr w:type="spellStart"/>
      <w:r w:rsidRPr="00F46003">
        <w:rPr>
          <w:i/>
        </w:rPr>
        <w:t>cwalker</w:t>
      </w:r>
      <w:proofErr w:type="spellEnd"/>
      <w:r w:rsidRPr="00F46003">
        <w:t xml:space="preserve"> animation was inscribed. The </w:t>
      </w:r>
      <w:proofErr w:type="spellStart"/>
      <w:r w:rsidRPr="00F46003">
        <w:rPr>
          <w:i/>
        </w:rPr>
        <w:lastRenderedPageBreak/>
        <w:t>tscramble</w:t>
      </w:r>
      <w:proofErr w:type="spellEnd"/>
      <w:r w:rsidRPr="00F46003">
        <w:rPr>
          <w:i/>
        </w:rPr>
        <w:t xml:space="preserve"> </w:t>
      </w:r>
      <w:r w:rsidRPr="00F46003">
        <w:t xml:space="preserve">animation was built by changing randomly the initial positions of the </w:t>
      </w:r>
      <w:proofErr w:type="spellStart"/>
      <w:r w:rsidRPr="00F46003">
        <w:rPr>
          <w:i/>
        </w:rPr>
        <w:t>twalker</w:t>
      </w:r>
      <w:proofErr w:type="spellEnd"/>
      <w:r w:rsidRPr="00F46003">
        <w:rPr>
          <w:i/>
        </w:rPr>
        <w:t xml:space="preserve"> </w:t>
      </w:r>
      <w:r w:rsidRPr="00F46003">
        <w:t xml:space="preserve">animation in an analogous way. During the experiment, participants were sitting comfortably in a darkened room, in front of the monitor where PLAs were displayed, approximately </w:t>
      </w:r>
      <w:smartTag w:uri="urn:schemas-microsoft-com:office:smarttags" w:element="metricconverter">
        <w:smartTagPr>
          <w:attr w:name="ProductID" w:val="60 cm"/>
        </w:smartTagPr>
        <w:r w:rsidRPr="00F46003">
          <w:t>60 cm</w:t>
        </w:r>
      </w:smartTag>
      <w:r w:rsidRPr="00F46003">
        <w:t xml:space="preserve"> apart. The experiment was organized in ten blocks. Each block consisted of 48 PLAs (12 of each of the 4 types) presented in pseudo-random order. In order to avoid possible expectation effects due to extremely regular timing in the presentation of the stimuli (</w:t>
      </w:r>
      <w:proofErr w:type="spellStart"/>
      <w:r w:rsidRPr="00F46003">
        <w:t>Basar</w:t>
      </w:r>
      <w:proofErr w:type="spellEnd"/>
      <w:r w:rsidRPr="00F46003">
        <w:t xml:space="preserve"> et al., 1997), the inter-stimulus interval (ISI) varied randomly in length between 2 and 4 seconds (uniform distribution). </w:t>
      </w:r>
    </w:p>
    <w:p w:rsidR="00FE6F2D" w:rsidRPr="00F46003" w:rsidRDefault="00FE6F2D" w:rsidP="00320E5B">
      <w:r w:rsidRPr="00F46003">
        <w:rPr>
          <w:b/>
          <w:i/>
        </w:rPr>
        <w:t>Attention task.</w:t>
      </w:r>
      <w:r w:rsidRPr="00F46003">
        <w:t xml:space="preserve"> In each block, a random number of animations (between 2 to 4) changed color from white to green during 250 milliseconds. This change of color occurred in a randomly determined period of the animations. Hereafter, these changing-color stimuli will be referred to as</w:t>
      </w:r>
      <w:r w:rsidRPr="00F46003">
        <w:rPr>
          <w:i/>
        </w:rPr>
        <w:t xml:space="preserve"> odd stimuli.</w:t>
      </w:r>
      <w:r w:rsidRPr="00F46003">
        <w:t xml:space="preserve"> Once an odd stimulus was presented, after a random number of stimuli a question was presented in the screen asking the participant which was the last animation among the four types which changed color. Since the question arose randomly, it was possible that between two odd stimuli no question was presented. Therefore, the number of questions was variable across blocks, and was less than or equal to the number of odd stimuli presented in the respective block. EEG traces corresponding to odd stimuli were discarded from analysis. Participants gave their answers through a keyboard, by pressing a key number between 1, 2, 3 and 4, corresponding to </w:t>
      </w:r>
      <w:proofErr w:type="spellStart"/>
      <w:r w:rsidRPr="00F46003">
        <w:rPr>
          <w:i/>
        </w:rPr>
        <w:t>cwalker</w:t>
      </w:r>
      <w:proofErr w:type="spellEnd"/>
      <w:r w:rsidRPr="00F46003">
        <w:t xml:space="preserve">, </w:t>
      </w:r>
      <w:proofErr w:type="spellStart"/>
      <w:r w:rsidRPr="00F46003">
        <w:rPr>
          <w:i/>
        </w:rPr>
        <w:t>twalker</w:t>
      </w:r>
      <w:proofErr w:type="spellEnd"/>
      <w:r w:rsidRPr="00F46003">
        <w:t xml:space="preserve">, </w:t>
      </w:r>
      <w:proofErr w:type="spellStart"/>
      <w:r w:rsidRPr="00F46003">
        <w:rPr>
          <w:i/>
        </w:rPr>
        <w:t>cscramble</w:t>
      </w:r>
      <w:proofErr w:type="spellEnd"/>
      <w:r w:rsidRPr="00F46003">
        <w:t xml:space="preserve"> and </w:t>
      </w:r>
      <w:proofErr w:type="spellStart"/>
      <w:r w:rsidRPr="00F46003">
        <w:rPr>
          <w:i/>
        </w:rPr>
        <w:t>tscramble</w:t>
      </w:r>
      <w:proofErr w:type="spellEnd"/>
      <w:r w:rsidRPr="00F46003">
        <w:t xml:space="preserve">, respectively. The four types of stimuli were clearly identifiable, and the correspondence between key numbers and stimuli was learnt by each participant during a training session before starting the actual experiment. They did not receive feedback on their performance during the actual experiment, while they did during the training session instead. </w:t>
      </w:r>
    </w:p>
    <w:p w:rsidR="00FE6F2D" w:rsidRPr="003F663E" w:rsidRDefault="00FE6F2D" w:rsidP="00320E5B">
      <w:pPr>
        <w:pStyle w:val="Heading2"/>
      </w:pPr>
      <w:r w:rsidRPr="003F663E">
        <w:t xml:space="preserve">Data recording </w:t>
      </w:r>
    </w:p>
    <w:p w:rsidR="00FE6F2D" w:rsidRPr="00F46003" w:rsidRDefault="00FE6F2D" w:rsidP="00320E5B">
      <w:pPr>
        <w:rPr>
          <w:i/>
        </w:rPr>
      </w:pPr>
      <w:r w:rsidRPr="00F46003">
        <w:t>The electroencephalogram (EEG) was recorded from 62 Ag/</w:t>
      </w:r>
      <w:proofErr w:type="spellStart"/>
      <w:r w:rsidRPr="00F46003">
        <w:t>AgCl</w:t>
      </w:r>
      <w:proofErr w:type="spellEnd"/>
      <w:r w:rsidRPr="00F46003">
        <w:t xml:space="preserve"> active electrodes (</w:t>
      </w:r>
      <w:proofErr w:type="spellStart"/>
      <w:r w:rsidRPr="00F46003">
        <w:t>actiCAP</w:t>
      </w:r>
      <w:proofErr w:type="spellEnd"/>
      <w:r w:rsidRPr="00F46003">
        <w:t xml:space="preserve">, Brain Products, </w:t>
      </w:r>
      <w:proofErr w:type="spellStart"/>
      <w:r w:rsidRPr="00F46003">
        <w:t>Munchen</w:t>
      </w:r>
      <w:proofErr w:type="spellEnd"/>
      <w:r w:rsidRPr="00F46003">
        <w:t xml:space="preserve">, Germany) placed on the scalp, mounted on a cap according to the international 10-20 system. Figure 2 displays a scheme of electrodes’ placement. The EEG was amplified with </w:t>
      </w:r>
      <w:r w:rsidRPr="00F46003">
        <w:lastRenderedPageBreak/>
        <w:t xml:space="preserve">two </w:t>
      </w:r>
      <w:proofErr w:type="spellStart"/>
      <w:r w:rsidRPr="00F46003">
        <w:t>BrainAmp</w:t>
      </w:r>
      <w:proofErr w:type="spellEnd"/>
      <w:r w:rsidRPr="00F46003">
        <w:t xml:space="preserve"> MR plus amplifiers (Brain Products), digitized at 1000 Hz. </w:t>
      </w:r>
      <w:r w:rsidR="00F1371E" w:rsidRPr="00F46003">
        <w:t xml:space="preserve">Impedances of all electrodes were kept below 15 </w:t>
      </w:r>
      <w:proofErr w:type="spellStart"/>
      <w:r w:rsidR="00F1371E" w:rsidRPr="00F46003">
        <w:t>kOhms</w:t>
      </w:r>
      <w:proofErr w:type="spellEnd"/>
      <w:r w:rsidR="00F1371E" w:rsidRPr="00F46003">
        <w:t>.</w:t>
      </w:r>
      <w:r w:rsidR="00F1371E">
        <w:t xml:space="preserve"> A common average reference was then calculated</w:t>
      </w:r>
      <w:r w:rsidRPr="00F46003">
        <w:t xml:space="preserve">. </w:t>
      </w:r>
    </w:p>
    <w:p w:rsidR="00FE6F2D" w:rsidRPr="002408C9" w:rsidRDefault="00FE6F2D" w:rsidP="00320E5B">
      <w:pPr>
        <w:pStyle w:val="Heading2"/>
      </w:pPr>
      <w:r w:rsidRPr="002408C9">
        <w:t>Data analysis</w:t>
      </w:r>
    </w:p>
    <w:p w:rsidR="002408C9" w:rsidRDefault="00FE6F2D" w:rsidP="00320E5B">
      <w:r w:rsidRPr="00F46003">
        <w:t xml:space="preserve">Raw EEG signals were band-pass filtered </w:t>
      </w:r>
      <w:r w:rsidRPr="002408C9">
        <w:t xml:space="preserve">between 0.5 and 45 Hz </w:t>
      </w:r>
      <w:r w:rsidRPr="00F46003">
        <w:t>through a Butterworth filter as implemented in Brain Vision Analyzer software (</w:t>
      </w:r>
      <w:proofErr w:type="spellStart"/>
      <w:r w:rsidRPr="00F46003">
        <w:t>Brainproducts</w:t>
      </w:r>
      <w:proofErr w:type="spellEnd"/>
      <w:r w:rsidRPr="00F46003">
        <w:t>)</w:t>
      </w:r>
      <w:r w:rsidR="00F1371E">
        <w:t>. An Ocular ICA (</w:t>
      </w:r>
      <w:r w:rsidR="00E63D47" w:rsidRPr="00E63D47">
        <w:rPr>
          <w:highlight w:val="yellow"/>
        </w:rPr>
        <w:t>XXXXXXXXX</w:t>
      </w:r>
      <w:r w:rsidR="00F1371E">
        <w:t xml:space="preserve">) correction was applied to remove eye-movement related artefacts. </w:t>
      </w:r>
      <w:r w:rsidR="002408C9" w:rsidRPr="002408C9">
        <w:t xml:space="preserve">Data were </w:t>
      </w:r>
      <w:proofErr w:type="spellStart"/>
      <w:r w:rsidR="002408C9" w:rsidRPr="002408C9">
        <w:t>downsampled</w:t>
      </w:r>
      <w:proofErr w:type="spellEnd"/>
      <w:r w:rsidR="002408C9" w:rsidRPr="002408C9">
        <w:t xml:space="preserve"> to 250 Hz and then imported into EEGLAB software for further analyses.</w:t>
      </w:r>
      <w:r w:rsidR="002408C9">
        <w:t xml:space="preserve"> A visually inspected artefact removal was performed based on the topographical and spectral distribution and of the time series of the independent component calculated with the ICA algorithm implemented by </w:t>
      </w:r>
      <w:proofErr w:type="spellStart"/>
      <w:r w:rsidR="002408C9">
        <w:t>EEGLab</w:t>
      </w:r>
      <w:proofErr w:type="spellEnd"/>
      <w:r w:rsidR="002408C9">
        <w:t xml:space="preserve"> (</w:t>
      </w:r>
      <w:r w:rsidR="00E63D47" w:rsidRPr="00E63D47">
        <w:rPr>
          <w:highlight w:val="yellow"/>
        </w:rPr>
        <w:t>XXXXXXXXX</w:t>
      </w:r>
      <w:bookmarkStart w:id="0" w:name="_GoBack"/>
      <w:bookmarkEnd w:id="0"/>
      <w:r w:rsidR="002408C9">
        <w:t>). E</w:t>
      </w:r>
      <w:r w:rsidRPr="00F46003">
        <w:t>pochs</w:t>
      </w:r>
      <w:r w:rsidR="002408C9">
        <w:t>,</w:t>
      </w:r>
      <w:r w:rsidRPr="00F46003">
        <w:t xml:space="preserve"> </w:t>
      </w:r>
      <w:r w:rsidR="002408C9">
        <w:t xml:space="preserve">from -400 to 1000 </w:t>
      </w:r>
      <w:proofErr w:type="spellStart"/>
      <w:r w:rsidR="002408C9">
        <w:t>ms</w:t>
      </w:r>
      <w:proofErr w:type="spellEnd"/>
      <w:r w:rsidR="002408C9">
        <w:t xml:space="preserve"> with respect to </w:t>
      </w:r>
      <w:r w:rsidRPr="00F46003">
        <w:t>stimulus presentation</w:t>
      </w:r>
      <w:r w:rsidR="002408C9">
        <w:t xml:space="preserve">, were then extracted and </w:t>
      </w:r>
      <w:r w:rsidRPr="00F46003">
        <w:t xml:space="preserve">grouped together according </w:t>
      </w:r>
      <w:r w:rsidRPr="002408C9">
        <w:t>to stimulus type</w:t>
      </w:r>
      <w:r w:rsidR="00E42708">
        <w:t xml:space="preserve">, </w:t>
      </w:r>
      <w:r w:rsidRPr="002408C9">
        <w:t>baseline-corrected (</w:t>
      </w:r>
      <w:r w:rsidR="002408C9" w:rsidRPr="002408C9">
        <w:t xml:space="preserve">from -400 </w:t>
      </w:r>
      <w:r w:rsidR="002408C9">
        <w:t>to 0)</w:t>
      </w:r>
      <w:r w:rsidR="00E42708">
        <w:t xml:space="preserve"> and then averaged in order to produce the corresponding ERP</w:t>
      </w:r>
      <w:r w:rsidR="002408C9">
        <w:t xml:space="preserve">. </w:t>
      </w:r>
      <w:r w:rsidR="00E42708">
        <w:t xml:space="preserve">Moreover, electrodes activity was clustered in seven </w:t>
      </w:r>
      <w:r w:rsidR="00511B54">
        <w:t>regions</w:t>
      </w:r>
      <w:r w:rsidR="00AE41F1">
        <w:t xml:space="preserve"> named according to the cortical areas </w:t>
      </w:r>
      <w:r w:rsidR="00511B54">
        <w:t>approximately</w:t>
      </w:r>
      <w:r w:rsidR="00AE41F1">
        <w:t xml:space="preserve"> beneath each of them. Cluster name and composition is</w:t>
      </w:r>
      <w:r w:rsidR="00E42708">
        <w:t xml:space="preserve"> depicted in Figure 2 and summarized in Table 1.</w:t>
      </w:r>
    </w:p>
    <w:tbl>
      <w:tblPr>
        <w:tblStyle w:val="TableGrid"/>
        <w:tblW w:w="5455" w:type="dxa"/>
        <w:jc w:val="center"/>
        <w:tblLook w:val="04A0" w:firstRow="1" w:lastRow="0" w:firstColumn="1" w:lastColumn="0" w:noHBand="0" w:noVBand="1"/>
      </w:tblPr>
      <w:tblGrid>
        <w:gridCol w:w="1610"/>
        <w:gridCol w:w="3845"/>
      </w:tblGrid>
      <w:tr w:rsidR="003D1E28" w:rsidTr="00B24628">
        <w:trPr>
          <w:trHeight w:val="503"/>
          <w:jc w:val="center"/>
        </w:trPr>
        <w:tc>
          <w:tcPr>
            <w:tcW w:w="1610" w:type="dxa"/>
            <w:vAlign w:val="center"/>
          </w:tcPr>
          <w:p w:rsidR="003D1E28" w:rsidRDefault="003D1E28" w:rsidP="00D20D48">
            <w:pPr>
              <w:spacing w:line="240" w:lineRule="auto"/>
              <w:jc w:val="left"/>
            </w:pPr>
            <w:r>
              <w:t>Cluster name</w:t>
            </w:r>
          </w:p>
        </w:tc>
        <w:tc>
          <w:tcPr>
            <w:tcW w:w="3845" w:type="dxa"/>
            <w:vAlign w:val="center"/>
          </w:tcPr>
          <w:p w:rsidR="003D1E28" w:rsidRDefault="003D1E28" w:rsidP="00D20D48">
            <w:pPr>
              <w:spacing w:line="240" w:lineRule="auto"/>
              <w:jc w:val="left"/>
            </w:pPr>
            <w:r>
              <w:t>Electrodes</w:t>
            </w:r>
          </w:p>
        </w:tc>
      </w:tr>
      <w:tr w:rsidR="003D1E28" w:rsidRPr="00233021" w:rsidTr="00B24628">
        <w:trPr>
          <w:trHeight w:val="489"/>
          <w:jc w:val="center"/>
        </w:trPr>
        <w:tc>
          <w:tcPr>
            <w:tcW w:w="1610" w:type="dxa"/>
            <w:vAlign w:val="center"/>
          </w:tcPr>
          <w:p w:rsidR="003D1E28" w:rsidRDefault="00AE41F1" w:rsidP="00D20D48">
            <w:pPr>
              <w:spacing w:line="240" w:lineRule="auto"/>
              <w:jc w:val="left"/>
            </w:pPr>
            <w:r>
              <w:t>VIS</w:t>
            </w:r>
          </w:p>
        </w:tc>
        <w:tc>
          <w:tcPr>
            <w:tcW w:w="3845" w:type="dxa"/>
            <w:vAlign w:val="center"/>
          </w:tcPr>
          <w:p w:rsidR="003D1E28" w:rsidRPr="003D1E28" w:rsidRDefault="003D1E28" w:rsidP="00D20D48">
            <w:pPr>
              <w:spacing w:line="240" w:lineRule="auto"/>
              <w:jc w:val="left"/>
              <w:rPr>
                <w:lang w:val="it-IT"/>
              </w:rPr>
            </w:pPr>
            <w:r w:rsidRPr="003D1E28">
              <w:rPr>
                <w:lang w:val="it-IT"/>
              </w:rPr>
              <w:t>O1, O</w:t>
            </w:r>
            <w:r>
              <w:rPr>
                <w:lang w:val="it-IT"/>
              </w:rPr>
              <w:t>z</w:t>
            </w:r>
            <w:r w:rsidRPr="003D1E28">
              <w:rPr>
                <w:lang w:val="it-IT"/>
              </w:rPr>
              <w:t>, O</w:t>
            </w:r>
            <w:r>
              <w:rPr>
                <w:lang w:val="it-IT"/>
              </w:rPr>
              <w:t>2</w:t>
            </w:r>
            <w:r w:rsidRPr="003D1E28">
              <w:rPr>
                <w:lang w:val="it-IT"/>
              </w:rPr>
              <w:t>, PO3, POz, PO4</w:t>
            </w:r>
          </w:p>
        </w:tc>
      </w:tr>
      <w:tr w:rsidR="003D1E28" w:rsidRPr="00233021" w:rsidTr="00B24628">
        <w:trPr>
          <w:trHeight w:val="503"/>
          <w:jc w:val="center"/>
        </w:trPr>
        <w:tc>
          <w:tcPr>
            <w:tcW w:w="1610" w:type="dxa"/>
            <w:vAlign w:val="center"/>
          </w:tcPr>
          <w:p w:rsidR="003D1E28" w:rsidRDefault="003D1E28" w:rsidP="00D20D48">
            <w:pPr>
              <w:spacing w:line="240" w:lineRule="auto"/>
              <w:jc w:val="left"/>
            </w:pPr>
            <w:r>
              <w:t>EBA</w:t>
            </w:r>
          </w:p>
        </w:tc>
        <w:tc>
          <w:tcPr>
            <w:tcW w:w="3845" w:type="dxa"/>
            <w:vAlign w:val="center"/>
          </w:tcPr>
          <w:p w:rsidR="003D1E28" w:rsidRPr="003D1E28" w:rsidRDefault="003D1E28" w:rsidP="00D20D48">
            <w:pPr>
              <w:spacing w:line="240" w:lineRule="auto"/>
              <w:jc w:val="left"/>
              <w:rPr>
                <w:lang w:val="it-IT"/>
              </w:rPr>
            </w:pPr>
            <w:r w:rsidRPr="003D1E28">
              <w:rPr>
                <w:lang w:val="it-IT"/>
              </w:rPr>
              <w:t xml:space="preserve">PO7, P7, </w:t>
            </w:r>
            <w:r>
              <w:rPr>
                <w:lang w:val="it-IT"/>
              </w:rPr>
              <w:t xml:space="preserve">TP7, </w:t>
            </w:r>
            <w:r w:rsidRPr="003D1E28">
              <w:rPr>
                <w:lang w:val="it-IT"/>
              </w:rPr>
              <w:t xml:space="preserve">P5, PO8, P8, </w:t>
            </w:r>
            <w:r>
              <w:rPr>
                <w:lang w:val="it-IT"/>
              </w:rPr>
              <w:t xml:space="preserve">TP8, </w:t>
            </w:r>
            <w:r w:rsidRPr="003D1E28">
              <w:rPr>
                <w:lang w:val="it-IT"/>
              </w:rPr>
              <w:t>P6</w:t>
            </w:r>
          </w:p>
        </w:tc>
      </w:tr>
      <w:tr w:rsidR="003D1E28" w:rsidTr="00B24628">
        <w:trPr>
          <w:trHeight w:val="489"/>
          <w:jc w:val="center"/>
        </w:trPr>
        <w:tc>
          <w:tcPr>
            <w:tcW w:w="1610" w:type="dxa"/>
            <w:vAlign w:val="center"/>
          </w:tcPr>
          <w:p w:rsidR="003D1E28" w:rsidRDefault="003D1E28" w:rsidP="00D20D48">
            <w:pPr>
              <w:spacing w:line="240" w:lineRule="auto"/>
              <w:jc w:val="left"/>
            </w:pPr>
            <w:proofErr w:type="spellStart"/>
            <w:r>
              <w:t>pSTS</w:t>
            </w:r>
            <w:proofErr w:type="spellEnd"/>
          </w:p>
        </w:tc>
        <w:tc>
          <w:tcPr>
            <w:tcW w:w="3845" w:type="dxa"/>
            <w:vAlign w:val="center"/>
          </w:tcPr>
          <w:p w:rsidR="003D1E28" w:rsidRDefault="003D1E28" w:rsidP="00D20D48">
            <w:pPr>
              <w:spacing w:line="240" w:lineRule="auto"/>
              <w:jc w:val="left"/>
            </w:pPr>
            <w:r>
              <w:t>P5, TP7, CP5, T7, P6, TP8, CP6, T8</w:t>
            </w:r>
          </w:p>
        </w:tc>
      </w:tr>
      <w:tr w:rsidR="003D1E28" w:rsidTr="00B24628">
        <w:trPr>
          <w:trHeight w:val="503"/>
          <w:jc w:val="center"/>
        </w:trPr>
        <w:tc>
          <w:tcPr>
            <w:tcW w:w="1610" w:type="dxa"/>
            <w:vAlign w:val="center"/>
          </w:tcPr>
          <w:p w:rsidR="003D1E28" w:rsidRDefault="003D1E28" w:rsidP="00D20D48">
            <w:pPr>
              <w:spacing w:line="240" w:lineRule="auto"/>
              <w:jc w:val="left"/>
            </w:pPr>
            <w:r>
              <w:t>IPL</w:t>
            </w:r>
          </w:p>
        </w:tc>
        <w:tc>
          <w:tcPr>
            <w:tcW w:w="3845" w:type="dxa"/>
            <w:vAlign w:val="center"/>
          </w:tcPr>
          <w:p w:rsidR="003D1E28" w:rsidRDefault="003D1E28" w:rsidP="00D20D48">
            <w:pPr>
              <w:spacing w:line="240" w:lineRule="auto"/>
              <w:jc w:val="left"/>
            </w:pPr>
            <w:r>
              <w:t>P5, P3, CP5, CP3, P6, P4, CP6, CP4</w:t>
            </w:r>
          </w:p>
        </w:tc>
      </w:tr>
      <w:tr w:rsidR="003D1E28" w:rsidTr="00B24628">
        <w:trPr>
          <w:trHeight w:val="489"/>
          <w:jc w:val="center"/>
        </w:trPr>
        <w:tc>
          <w:tcPr>
            <w:tcW w:w="1610" w:type="dxa"/>
            <w:vAlign w:val="center"/>
          </w:tcPr>
          <w:p w:rsidR="003D1E28" w:rsidRDefault="003D1E28" w:rsidP="00D20D48">
            <w:pPr>
              <w:spacing w:line="240" w:lineRule="auto"/>
              <w:jc w:val="left"/>
            </w:pPr>
            <w:r>
              <w:t>SPL</w:t>
            </w:r>
          </w:p>
        </w:tc>
        <w:tc>
          <w:tcPr>
            <w:tcW w:w="3845" w:type="dxa"/>
            <w:vAlign w:val="center"/>
          </w:tcPr>
          <w:p w:rsidR="003D1E28" w:rsidRDefault="003D1E28" w:rsidP="00D20D48">
            <w:pPr>
              <w:spacing w:line="240" w:lineRule="auto"/>
              <w:jc w:val="left"/>
            </w:pPr>
            <w:r>
              <w:t>P3, P1, CP3, CP1, P4, P2, CP4, CP2</w:t>
            </w:r>
          </w:p>
        </w:tc>
      </w:tr>
      <w:tr w:rsidR="003D1E28" w:rsidTr="00B24628">
        <w:trPr>
          <w:trHeight w:val="503"/>
          <w:jc w:val="center"/>
        </w:trPr>
        <w:tc>
          <w:tcPr>
            <w:tcW w:w="1610" w:type="dxa"/>
            <w:vAlign w:val="center"/>
          </w:tcPr>
          <w:p w:rsidR="003D1E28" w:rsidRDefault="003D1E28" w:rsidP="00D20D48">
            <w:pPr>
              <w:spacing w:line="240" w:lineRule="auto"/>
              <w:jc w:val="left"/>
            </w:pPr>
            <w:r>
              <w:t>PM</w:t>
            </w:r>
            <w:r w:rsidR="00AE41F1">
              <w:t>C</w:t>
            </w:r>
          </w:p>
        </w:tc>
        <w:tc>
          <w:tcPr>
            <w:tcW w:w="3845" w:type="dxa"/>
            <w:vAlign w:val="center"/>
          </w:tcPr>
          <w:p w:rsidR="003D1E28" w:rsidRDefault="003D1E28" w:rsidP="00D20D48">
            <w:pPr>
              <w:spacing w:line="240" w:lineRule="auto"/>
              <w:jc w:val="left"/>
            </w:pPr>
            <w:r>
              <w:t>FC5, FC3, FC6, FC4</w:t>
            </w:r>
          </w:p>
        </w:tc>
      </w:tr>
      <w:tr w:rsidR="003D1E28" w:rsidTr="00B24628">
        <w:trPr>
          <w:trHeight w:val="503"/>
          <w:jc w:val="center"/>
        </w:trPr>
        <w:tc>
          <w:tcPr>
            <w:tcW w:w="1610" w:type="dxa"/>
            <w:vAlign w:val="center"/>
          </w:tcPr>
          <w:p w:rsidR="003D1E28" w:rsidRDefault="003D1E28" w:rsidP="00D20D48">
            <w:pPr>
              <w:spacing w:line="240" w:lineRule="auto"/>
              <w:jc w:val="left"/>
            </w:pPr>
            <w:r>
              <w:t>IFG</w:t>
            </w:r>
          </w:p>
        </w:tc>
        <w:tc>
          <w:tcPr>
            <w:tcW w:w="3845" w:type="dxa"/>
            <w:vAlign w:val="center"/>
          </w:tcPr>
          <w:p w:rsidR="003D1E28" w:rsidRDefault="003D1E28" w:rsidP="00D20D48">
            <w:pPr>
              <w:spacing w:line="240" w:lineRule="auto"/>
              <w:jc w:val="left"/>
            </w:pPr>
            <w:r>
              <w:t>FT7, F7, F5, AF7, FT8, F8, F6, AF8</w:t>
            </w:r>
          </w:p>
        </w:tc>
      </w:tr>
    </w:tbl>
    <w:p w:rsidR="002408C9" w:rsidRDefault="00AE41F1" w:rsidP="00320E5B">
      <w:proofErr w:type="spellStart"/>
      <w:r>
        <w:t>Legenda</w:t>
      </w:r>
      <w:proofErr w:type="spellEnd"/>
      <w:r>
        <w:t xml:space="preserve">: VIS: </w:t>
      </w:r>
      <w:r w:rsidR="004A0FD5">
        <w:t xml:space="preserve">primary </w:t>
      </w:r>
      <w:r>
        <w:t xml:space="preserve">visual areas EBA: </w:t>
      </w:r>
      <w:proofErr w:type="spellStart"/>
      <w:r>
        <w:t>extrastriate</w:t>
      </w:r>
      <w:proofErr w:type="spellEnd"/>
      <w:r>
        <w:t xml:space="preserve"> body areas, </w:t>
      </w:r>
      <w:proofErr w:type="spellStart"/>
      <w:r>
        <w:t>pSTS</w:t>
      </w:r>
      <w:proofErr w:type="spellEnd"/>
      <w:r>
        <w:t xml:space="preserve">: posterior Superior Temporal Sulcus, IPL: inferior parietal lobe, SPL: superior </w:t>
      </w:r>
      <w:proofErr w:type="spellStart"/>
      <w:r>
        <w:t>patietal</w:t>
      </w:r>
      <w:proofErr w:type="spellEnd"/>
      <w:r>
        <w:t xml:space="preserve"> lobe, PMC: premotor cortex, IFG: inferior frontal </w:t>
      </w:r>
      <w:proofErr w:type="spellStart"/>
      <w:r>
        <w:t>gyrus</w:t>
      </w:r>
      <w:proofErr w:type="spellEnd"/>
      <w:r>
        <w:t>.</w:t>
      </w:r>
    </w:p>
    <w:p w:rsidR="008F2957" w:rsidRPr="006E00EE" w:rsidRDefault="008F2957" w:rsidP="00320E5B">
      <w:pPr>
        <w:pStyle w:val="Heading2"/>
      </w:pPr>
      <w:r w:rsidRPr="006E00EE">
        <w:lastRenderedPageBreak/>
        <w:t xml:space="preserve">Statistical analysis </w:t>
      </w:r>
    </w:p>
    <w:p w:rsidR="009F1DE5" w:rsidRDefault="008F2957" w:rsidP="00320E5B">
      <w:r>
        <w:t>A 2x</w:t>
      </w:r>
      <w:r w:rsidRPr="00F605AD">
        <w:t>2</w:t>
      </w:r>
      <w:r>
        <w:t xml:space="preserve"> design, investigating the effect of the</w:t>
      </w:r>
      <w:r w:rsidR="004A0FD5">
        <w:t xml:space="preserve"> within subjects </w:t>
      </w:r>
      <w:r>
        <w:t xml:space="preserve">MOTION </w:t>
      </w:r>
      <w:r w:rsidR="004A0FD5">
        <w:t xml:space="preserve">(centered, translating) </w:t>
      </w:r>
      <w:r>
        <w:t xml:space="preserve">and SHAPE </w:t>
      </w:r>
      <w:r w:rsidR="004A0FD5">
        <w:t xml:space="preserve">(walker, scrambled) </w:t>
      </w:r>
      <w:r>
        <w:t>factors</w:t>
      </w:r>
      <w:r w:rsidR="006E00EE">
        <w:t xml:space="preserve"> and their interactions</w:t>
      </w:r>
      <w:r>
        <w:t xml:space="preserve">, was created in </w:t>
      </w:r>
      <w:proofErr w:type="spellStart"/>
      <w:r>
        <w:t>EEGLab</w:t>
      </w:r>
      <w:proofErr w:type="spellEnd"/>
      <w:r w:rsidR="004A0FD5">
        <w:t xml:space="preserve"> and analyzed through a</w:t>
      </w:r>
      <w:r w:rsidR="006E00EE">
        <w:t xml:space="preserve"> bootstrap analysis employing 5000 permutations. </w:t>
      </w:r>
      <w:r w:rsidR="009F1DE5">
        <w:t xml:space="preserve">This design was first tested in </w:t>
      </w:r>
      <w:r w:rsidR="004A0FD5">
        <w:t xml:space="preserve">preliminary analysis over all the </w:t>
      </w:r>
      <w:proofErr w:type="spellStart"/>
      <w:r w:rsidR="004A0FD5">
        <w:t>timepoints</w:t>
      </w:r>
      <w:proofErr w:type="spellEnd"/>
      <w:r w:rsidR="004A0FD5">
        <w:t xml:space="preserve"> within the </w:t>
      </w:r>
      <w:r w:rsidR="00511B54">
        <w:t>whole exported time window (-400</w:t>
      </w:r>
      <w:r w:rsidR="004A0FD5">
        <w:t>-</w:t>
      </w:r>
      <w:r w:rsidR="00511B54">
        <w:t>1000</w:t>
      </w:r>
      <w:r w:rsidR="004A0FD5">
        <w:t xml:space="preserve"> </w:t>
      </w:r>
      <w:proofErr w:type="spellStart"/>
      <w:r w:rsidR="004A0FD5">
        <w:t>ms</w:t>
      </w:r>
      <w:proofErr w:type="spellEnd"/>
      <w:r w:rsidR="00511B54">
        <w:t>)</w:t>
      </w:r>
      <w:r w:rsidR="004A0FD5">
        <w:t>.</w:t>
      </w:r>
      <w:r w:rsidR="00F605AD">
        <w:t xml:space="preserve"> This analysis allowed refining the time intervals of the ERP components previously described in the literature. </w:t>
      </w:r>
      <w:r w:rsidR="009F1DE5">
        <w:t>Second</w:t>
      </w:r>
      <w:r w:rsidR="00F605AD">
        <w:t xml:space="preserve">, </w:t>
      </w:r>
      <w:r w:rsidR="009F1DE5">
        <w:t xml:space="preserve">the same design was tested with the mean </w:t>
      </w:r>
      <w:r w:rsidR="00F605AD">
        <w:t xml:space="preserve">activity </w:t>
      </w:r>
      <w:r w:rsidR="009F1DE5">
        <w:t xml:space="preserve">of each cluster </w:t>
      </w:r>
      <w:r w:rsidR="00F605AD">
        <w:t>within each</w:t>
      </w:r>
      <w:r w:rsidR="009F1DE5">
        <w:t xml:space="preserve"> time interval previously selected. </w:t>
      </w:r>
      <w:r w:rsidR="004A0FD5">
        <w:t>In both the analyses, t</w:t>
      </w:r>
      <w:r w:rsidR="006E00EE">
        <w:t xml:space="preserve">he </w:t>
      </w:r>
      <w:r w:rsidR="009F1DE5">
        <w:t>original</w:t>
      </w:r>
      <w:r w:rsidR="006E00EE">
        <w:t xml:space="preserve"> statistic threshold (p&lt;0.05) </w:t>
      </w:r>
      <w:r w:rsidR="004A0FD5">
        <w:t xml:space="preserve">was </w:t>
      </w:r>
      <w:r>
        <w:t xml:space="preserve">corrected for </w:t>
      </w:r>
      <w:r w:rsidR="004A0FD5">
        <w:t>the number of</w:t>
      </w:r>
      <w:r w:rsidR="009F1DE5">
        <w:t xml:space="preserve"> multiple comparisons employed. In the preliminary analysis, a more conservative version (</w:t>
      </w:r>
      <w:proofErr w:type="spellStart"/>
      <w:r w:rsidR="009F1DE5">
        <w:t>Benjamini</w:t>
      </w:r>
      <w:proofErr w:type="spellEnd"/>
      <w:r w:rsidR="009F1DE5">
        <w:t xml:space="preserve"> &amp; </w:t>
      </w:r>
      <w:proofErr w:type="spellStart"/>
      <w:r w:rsidR="009F1DE5">
        <w:t>Yekutieli</w:t>
      </w:r>
      <w:proofErr w:type="spellEnd"/>
      <w:r w:rsidR="009F1DE5">
        <w:t xml:space="preserve">, 2001) of the classical false discovery approach was used for both the number of </w:t>
      </w:r>
      <w:proofErr w:type="spellStart"/>
      <w:r w:rsidR="009F1DE5">
        <w:t>timepoints</w:t>
      </w:r>
      <w:proofErr w:type="spellEnd"/>
      <w:r w:rsidR="009F1DE5">
        <w:t xml:space="preserve"> and cluster investigated. In the second analysis a </w:t>
      </w:r>
      <w:proofErr w:type="spellStart"/>
      <w:r w:rsidR="009F1DE5">
        <w:t>Bonferroni</w:t>
      </w:r>
      <w:proofErr w:type="spellEnd"/>
      <w:r w:rsidR="009F1DE5">
        <w:t xml:space="preserve"> approach was used for both the domains.</w:t>
      </w:r>
    </w:p>
    <w:p w:rsidR="009F1DE5" w:rsidRDefault="009F1DE5" w:rsidP="00320E5B"/>
    <w:p w:rsidR="003D1E28" w:rsidRDefault="003D1E28" w:rsidP="00320E5B"/>
    <w:p w:rsidR="003F663E" w:rsidRPr="003F663E" w:rsidRDefault="003F663E" w:rsidP="00320E5B">
      <w:pPr>
        <w:pStyle w:val="Heading1"/>
      </w:pPr>
      <w:r w:rsidRPr="003F663E">
        <w:t>Results</w:t>
      </w:r>
    </w:p>
    <w:p w:rsidR="003F663E" w:rsidRDefault="003F663E" w:rsidP="00320E5B">
      <w:pPr>
        <w:pStyle w:val="Heading2"/>
      </w:pPr>
      <w:r>
        <w:t>Behavioral results</w:t>
      </w:r>
    </w:p>
    <w:p w:rsidR="00370010" w:rsidRPr="00370010" w:rsidRDefault="00370010" w:rsidP="00320E5B"/>
    <w:p w:rsidR="003F663E" w:rsidRDefault="003F663E" w:rsidP="00320E5B">
      <w:pPr>
        <w:pStyle w:val="Heading2"/>
      </w:pPr>
      <w:r>
        <w:t>ERP results</w:t>
      </w:r>
    </w:p>
    <w:p w:rsidR="00320E5B" w:rsidRDefault="00320E5B" w:rsidP="00320E5B">
      <w:r>
        <w:t xml:space="preserve">The preliminary analysis did not reveal any significant differences in any clusters among our conditions before the 200 </w:t>
      </w:r>
      <w:proofErr w:type="spellStart"/>
      <w:proofErr w:type="gramStart"/>
      <w:r>
        <w:t>ms</w:t>
      </w:r>
      <w:proofErr w:type="gramEnd"/>
      <w:r>
        <w:t>.</w:t>
      </w:r>
      <w:proofErr w:type="spellEnd"/>
      <w:r>
        <w:t xml:space="preserve"> </w:t>
      </w:r>
      <w:r w:rsidR="00AE3CFB">
        <w:t xml:space="preserve">Differences concentrated around 200, 330, 410 and 600 </w:t>
      </w:r>
      <w:proofErr w:type="spellStart"/>
      <w:r w:rsidR="00AE3CFB">
        <w:t>ms</w:t>
      </w:r>
      <w:proofErr w:type="spellEnd"/>
      <w:r w:rsidR="00AE3CFB">
        <w:t xml:space="preserve"> in the proximity of </w:t>
      </w:r>
      <w:r w:rsidR="008B72C6">
        <w:t xml:space="preserve">corresponding main </w:t>
      </w:r>
      <w:r w:rsidR="00AE3CFB">
        <w:t xml:space="preserve">deflections. </w:t>
      </w:r>
      <w:r w:rsidR="00AD0FB1">
        <w:t xml:space="preserve">The components will be named using the polarity showed in </w:t>
      </w:r>
      <w:proofErr w:type="spellStart"/>
      <w:r w:rsidR="00AD0FB1">
        <w:t>temporo</w:t>
      </w:r>
      <w:proofErr w:type="spellEnd"/>
      <w:r w:rsidR="00AD0FB1">
        <w:t>-</w:t>
      </w:r>
      <w:proofErr w:type="spellStart"/>
      <w:r w:rsidR="00AD0FB1">
        <w:t>parieto</w:t>
      </w:r>
      <w:proofErr w:type="spellEnd"/>
      <w:r w:rsidR="00AD0FB1">
        <w:t xml:space="preserve">-occipital electrodes and with a number representing the approximate </w:t>
      </w:r>
      <w:r w:rsidR="00AD0FB1">
        <w:lastRenderedPageBreak/>
        <w:t>latency of their peak.</w:t>
      </w:r>
      <w:r w:rsidR="008B72C6">
        <w:t xml:space="preserve"> Investigated components and their latency of interest are summarized in Table 2.</w:t>
      </w:r>
    </w:p>
    <w:tbl>
      <w:tblPr>
        <w:tblStyle w:val="TableGrid"/>
        <w:tblW w:w="0" w:type="auto"/>
        <w:jc w:val="center"/>
        <w:tblLook w:val="04A0" w:firstRow="1" w:lastRow="0" w:firstColumn="1" w:lastColumn="0" w:noHBand="0" w:noVBand="1"/>
      </w:tblPr>
      <w:tblGrid>
        <w:gridCol w:w="910"/>
        <w:gridCol w:w="1636"/>
      </w:tblGrid>
      <w:tr w:rsidR="00320E5B" w:rsidTr="00D20D48">
        <w:trPr>
          <w:jc w:val="center"/>
        </w:trPr>
        <w:tc>
          <w:tcPr>
            <w:tcW w:w="910" w:type="dxa"/>
            <w:vAlign w:val="center"/>
          </w:tcPr>
          <w:p w:rsidR="00320E5B" w:rsidRDefault="00320E5B" w:rsidP="00D20D48">
            <w:pPr>
              <w:spacing w:line="240" w:lineRule="auto"/>
              <w:jc w:val="center"/>
            </w:pPr>
            <w:r>
              <w:t>Name</w:t>
            </w:r>
          </w:p>
        </w:tc>
        <w:tc>
          <w:tcPr>
            <w:tcW w:w="1636" w:type="dxa"/>
            <w:vAlign w:val="center"/>
          </w:tcPr>
          <w:p w:rsidR="00320E5B" w:rsidRDefault="00320E5B" w:rsidP="00D20D48">
            <w:pPr>
              <w:spacing w:line="240" w:lineRule="auto"/>
              <w:jc w:val="center"/>
            </w:pPr>
            <w:r>
              <w:t>Time interval</w:t>
            </w:r>
          </w:p>
        </w:tc>
      </w:tr>
      <w:tr w:rsidR="00320E5B" w:rsidTr="00D20D48">
        <w:trPr>
          <w:jc w:val="center"/>
        </w:trPr>
        <w:tc>
          <w:tcPr>
            <w:tcW w:w="910" w:type="dxa"/>
            <w:vAlign w:val="center"/>
          </w:tcPr>
          <w:p w:rsidR="00320E5B" w:rsidRDefault="00320E5B" w:rsidP="00D20D48">
            <w:pPr>
              <w:spacing w:line="240" w:lineRule="auto"/>
              <w:jc w:val="center"/>
            </w:pPr>
            <w:r>
              <w:t>N200</w:t>
            </w:r>
          </w:p>
        </w:tc>
        <w:tc>
          <w:tcPr>
            <w:tcW w:w="1636" w:type="dxa"/>
            <w:vAlign w:val="center"/>
          </w:tcPr>
          <w:p w:rsidR="00320E5B" w:rsidRDefault="00320E5B" w:rsidP="00D20D48">
            <w:pPr>
              <w:spacing w:line="240" w:lineRule="auto"/>
              <w:jc w:val="center"/>
            </w:pPr>
            <w:r>
              <w:t>200-230</w:t>
            </w:r>
          </w:p>
        </w:tc>
      </w:tr>
      <w:tr w:rsidR="00320E5B" w:rsidTr="00D20D48">
        <w:trPr>
          <w:jc w:val="center"/>
        </w:trPr>
        <w:tc>
          <w:tcPr>
            <w:tcW w:w="910" w:type="dxa"/>
            <w:vAlign w:val="center"/>
          </w:tcPr>
          <w:p w:rsidR="00320E5B" w:rsidRDefault="00320E5B" w:rsidP="00D20D48">
            <w:pPr>
              <w:spacing w:line="240" w:lineRule="auto"/>
              <w:jc w:val="center"/>
            </w:pPr>
            <w:r>
              <w:t>P330</w:t>
            </w:r>
          </w:p>
        </w:tc>
        <w:tc>
          <w:tcPr>
            <w:tcW w:w="1636" w:type="dxa"/>
            <w:vAlign w:val="center"/>
          </w:tcPr>
          <w:p w:rsidR="00320E5B" w:rsidRDefault="00320E5B" w:rsidP="00D20D48">
            <w:pPr>
              <w:spacing w:line="240" w:lineRule="auto"/>
              <w:jc w:val="center"/>
            </w:pPr>
            <w:r>
              <w:t>300-360</w:t>
            </w:r>
          </w:p>
        </w:tc>
      </w:tr>
      <w:tr w:rsidR="00320E5B" w:rsidTr="00D20D48">
        <w:trPr>
          <w:jc w:val="center"/>
        </w:trPr>
        <w:tc>
          <w:tcPr>
            <w:tcW w:w="910" w:type="dxa"/>
            <w:vAlign w:val="center"/>
          </w:tcPr>
          <w:p w:rsidR="00320E5B" w:rsidRDefault="00320E5B" w:rsidP="00D20D48">
            <w:pPr>
              <w:spacing w:line="240" w:lineRule="auto"/>
              <w:jc w:val="center"/>
            </w:pPr>
            <w:r>
              <w:t>N400</w:t>
            </w:r>
          </w:p>
        </w:tc>
        <w:tc>
          <w:tcPr>
            <w:tcW w:w="1636" w:type="dxa"/>
            <w:vAlign w:val="center"/>
          </w:tcPr>
          <w:p w:rsidR="00320E5B" w:rsidRDefault="00320E5B" w:rsidP="00D20D48">
            <w:pPr>
              <w:spacing w:line="240" w:lineRule="auto"/>
              <w:jc w:val="center"/>
            </w:pPr>
            <w:r>
              <w:t>390-450</w:t>
            </w:r>
          </w:p>
        </w:tc>
      </w:tr>
      <w:tr w:rsidR="00320E5B" w:rsidTr="00D20D48">
        <w:trPr>
          <w:jc w:val="center"/>
        </w:trPr>
        <w:tc>
          <w:tcPr>
            <w:tcW w:w="910" w:type="dxa"/>
            <w:vAlign w:val="center"/>
          </w:tcPr>
          <w:p w:rsidR="00320E5B" w:rsidRDefault="00320E5B" w:rsidP="00D20D48">
            <w:pPr>
              <w:spacing w:line="240" w:lineRule="auto"/>
              <w:jc w:val="center"/>
            </w:pPr>
            <w:r>
              <w:t>N600</w:t>
            </w:r>
          </w:p>
        </w:tc>
        <w:tc>
          <w:tcPr>
            <w:tcW w:w="1636" w:type="dxa"/>
            <w:vAlign w:val="center"/>
          </w:tcPr>
          <w:p w:rsidR="00320E5B" w:rsidRDefault="00320E5B" w:rsidP="00D20D48">
            <w:pPr>
              <w:spacing w:line="240" w:lineRule="auto"/>
              <w:jc w:val="center"/>
            </w:pPr>
            <w:r>
              <w:t>550-800</w:t>
            </w:r>
          </w:p>
        </w:tc>
      </w:tr>
    </w:tbl>
    <w:p w:rsidR="00320E5B" w:rsidRPr="00320E5B" w:rsidRDefault="00D20D48" w:rsidP="00D20D48">
      <w:pPr>
        <w:jc w:val="center"/>
      </w:pPr>
      <w:r>
        <w:t>Table 2. Windows of interest</w:t>
      </w:r>
    </w:p>
    <w:p w:rsidR="003F663E" w:rsidRPr="00320E5B" w:rsidRDefault="00E93146" w:rsidP="00320E5B">
      <w:pPr>
        <w:pStyle w:val="Heading3"/>
      </w:pPr>
      <w:r>
        <w:t>The Shape effect</w:t>
      </w:r>
    </w:p>
    <w:p w:rsidR="003F663E" w:rsidRDefault="00320E5B" w:rsidP="00320E5B">
      <w:r w:rsidRPr="00D20D48">
        <w:t xml:space="preserve">A significant effect of Shape was observed in both </w:t>
      </w:r>
      <w:proofErr w:type="spellStart"/>
      <w:r w:rsidRPr="00D20D48">
        <w:t>pSTS</w:t>
      </w:r>
      <w:proofErr w:type="spellEnd"/>
      <w:r w:rsidRPr="00D20D48">
        <w:t xml:space="preserve"> (p&lt;0.001) and EBA (p&lt;0.001) during the N200 component, with the walker condition</w:t>
      </w:r>
      <w:r w:rsidR="00D20D48" w:rsidRPr="00D20D48">
        <w:t>s</w:t>
      </w:r>
      <w:r w:rsidRPr="00D20D48">
        <w:t xml:space="preserve"> showing a more negative deflection compared to </w:t>
      </w:r>
      <w:r w:rsidR="008B72C6" w:rsidRPr="00D20D48">
        <w:t>the scrambled one</w:t>
      </w:r>
      <w:r w:rsidR="00284ADD">
        <w:t xml:space="preserve"> (W&gt;S)</w:t>
      </w:r>
      <w:r w:rsidRPr="00D20D48">
        <w:t>.</w:t>
      </w:r>
      <w:r w:rsidR="008B72C6" w:rsidRPr="00D20D48">
        <w:t xml:space="preserve"> </w:t>
      </w:r>
      <w:proofErr w:type="spellStart"/>
      <w:r w:rsidR="008B72C6" w:rsidRPr="00D20D48">
        <w:t>Posthoc</w:t>
      </w:r>
      <w:proofErr w:type="spellEnd"/>
      <w:r w:rsidR="008B72C6" w:rsidRPr="00D20D48">
        <w:t xml:space="preserve"> analysis of the interaction between shape and motion revealed that</w:t>
      </w:r>
      <w:r w:rsidR="00284ADD">
        <w:t xml:space="preserve"> such effect was observed</w:t>
      </w:r>
      <w:r w:rsidR="008B72C6" w:rsidRPr="00D20D48">
        <w:t xml:space="preserve"> only in the centered condition</w:t>
      </w:r>
      <w:r w:rsidR="00D20D48" w:rsidRPr="00D20D48">
        <w:t xml:space="preserve"> (p&lt;0.001)</w:t>
      </w:r>
      <w:r w:rsidR="008B72C6" w:rsidRPr="00D20D48">
        <w:t xml:space="preserve">. </w:t>
      </w:r>
      <w:r w:rsidR="00D20D48" w:rsidRPr="00D20D48">
        <w:t>In EBA cluster only, the same difference emerged also during the N400. In the same period (</w:t>
      </w:r>
      <w:r w:rsidR="008B72C6" w:rsidRPr="00D20D48">
        <w:t>N400</w:t>
      </w:r>
      <w:r w:rsidR="00D20D48" w:rsidRPr="00D20D48">
        <w:t xml:space="preserve">), a </w:t>
      </w:r>
      <w:r w:rsidR="00284ADD">
        <w:t xml:space="preserve">similar </w:t>
      </w:r>
      <w:r w:rsidR="00D20D48" w:rsidRPr="00D20D48">
        <w:t xml:space="preserve">shape effect </w:t>
      </w:r>
      <w:r w:rsidR="00284ADD">
        <w:t xml:space="preserve">(W&gt;S) </w:t>
      </w:r>
      <w:r w:rsidR="00D20D48" w:rsidRPr="00D20D48">
        <w:t xml:space="preserve">was evident also in </w:t>
      </w:r>
      <w:r w:rsidR="00836A87" w:rsidRPr="00D20D48">
        <w:t xml:space="preserve">IFG </w:t>
      </w:r>
      <w:r w:rsidR="00D20D48" w:rsidRPr="00D20D48">
        <w:t xml:space="preserve">and </w:t>
      </w:r>
      <w:r w:rsidR="00836A87" w:rsidRPr="00D20D48">
        <w:t xml:space="preserve">SPL </w:t>
      </w:r>
      <w:r w:rsidR="00D20D48" w:rsidRPr="00D20D48">
        <w:t>clusters</w:t>
      </w:r>
      <w:r w:rsidR="00D20D48">
        <w:t xml:space="preserve">. In the </w:t>
      </w:r>
      <w:r w:rsidR="00836A87">
        <w:t xml:space="preserve">latter cluster, interaction analysis restricted such effect to the translating condition only. IFG </w:t>
      </w:r>
      <w:r w:rsidR="00D20D48">
        <w:t>cluster,</w:t>
      </w:r>
      <w:r w:rsidR="00284ADD">
        <w:t xml:space="preserve"> also during the N600 walker induced higher negative deflections compared to scrambled conditions.</w:t>
      </w:r>
    </w:p>
    <w:p w:rsidR="00836A87" w:rsidRDefault="00836A87" w:rsidP="00320E5B"/>
    <w:tbl>
      <w:tblPr>
        <w:tblStyle w:val="TableGrid"/>
        <w:tblW w:w="0" w:type="auto"/>
        <w:jc w:val="center"/>
        <w:tblLook w:val="04A0" w:firstRow="1" w:lastRow="0" w:firstColumn="1" w:lastColumn="0" w:noHBand="0" w:noVBand="1"/>
      </w:tblPr>
      <w:tblGrid>
        <w:gridCol w:w="910"/>
        <w:gridCol w:w="1636"/>
        <w:gridCol w:w="1923"/>
        <w:gridCol w:w="2076"/>
      </w:tblGrid>
      <w:tr w:rsidR="00836A87" w:rsidTr="00A43345">
        <w:trPr>
          <w:jc w:val="center"/>
        </w:trPr>
        <w:tc>
          <w:tcPr>
            <w:tcW w:w="910" w:type="dxa"/>
            <w:vAlign w:val="center"/>
          </w:tcPr>
          <w:p w:rsidR="00836A87" w:rsidRDefault="00836A87" w:rsidP="00BC36BA">
            <w:pPr>
              <w:spacing w:line="240" w:lineRule="auto"/>
              <w:jc w:val="center"/>
            </w:pPr>
            <w:r>
              <w:t>Name</w:t>
            </w:r>
          </w:p>
        </w:tc>
        <w:tc>
          <w:tcPr>
            <w:tcW w:w="1636" w:type="dxa"/>
            <w:vAlign w:val="center"/>
          </w:tcPr>
          <w:p w:rsidR="00836A87" w:rsidRDefault="00836A87" w:rsidP="00BC36BA">
            <w:pPr>
              <w:spacing w:line="240" w:lineRule="auto"/>
              <w:jc w:val="center"/>
            </w:pPr>
            <w:r>
              <w:t>W&gt;S</w:t>
            </w:r>
          </w:p>
        </w:tc>
        <w:tc>
          <w:tcPr>
            <w:tcW w:w="1923" w:type="dxa"/>
          </w:tcPr>
          <w:p w:rsidR="00836A87" w:rsidRDefault="00836A87" w:rsidP="00BC36BA">
            <w:pPr>
              <w:spacing w:line="240" w:lineRule="auto"/>
              <w:jc w:val="center"/>
            </w:pPr>
            <w:r>
              <w:t>Within centered</w:t>
            </w:r>
          </w:p>
        </w:tc>
        <w:tc>
          <w:tcPr>
            <w:tcW w:w="2076" w:type="dxa"/>
          </w:tcPr>
          <w:p w:rsidR="00836A87" w:rsidRDefault="00836A87" w:rsidP="00BC36BA">
            <w:pPr>
              <w:spacing w:line="240" w:lineRule="auto"/>
              <w:jc w:val="center"/>
            </w:pPr>
            <w:r>
              <w:t>Within translating</w:t>
            </w:r>
          </w:p>
        </w:tc>
      </w:tr>
      <w:tr w:rsidR="00836A87" w:rsidTr="00A43345">
        <w:trPr>
          <w:jc w:val="center"/>
        </w:trPr>
        <w:tc>
          <w:tcPr>
            <w:tcW w:w="910" w:type="dxa"/>
            <w:vAlign w:val="center"/>
          </w:tcPr>
          <w:p w:rsidR="00836A87" w:rsidRDefault="00836A87" w:rsidP="00BC36BA">
            <w:pPr>
              <w:spacing w:line="240" w:lineRule="auto"/>
              <w:jc w:val="center"/>
            </w:pPr>
            <w:r>
              <w:t>N200</w:t>
            </w:r>
          </w:p>
        </w:tc>
        <w:tc>
          <w:tcPr>
            <w:tcW w:w="1636" w:type="dxa"/>
            <w:vAlign w:val="center"/>
          </w:tcPr>
          <w:p w:rsidR="00836A87" w:rsidRDefault="00836A87" w:rsidP="00BC36BA">
            <w:pPr>
              <w:spacing w:line="240" w:lineRule="auto"/>
              <w:jc w:val="center"/>
            </w:pPr>
            <w:proofErr w:type="spellStart"/>
            <w:r>
              <w:t>pSTS</w:t>
            </w:r>
            <w:proofErr w:type="spellEnd"/>
            <w:r>
              <w:t>, EBA</w:t>
            </w:r>
          </w:p>
        </w:tc>
        <w:tc>
          <w:tcPr>
            <w:tcW w:w="1923" w:type="dxa"/>
          </w:tcPr>
          <w:p w:rsidR="00836A87" w:rsidRDefault="00836A87" w:rsidP="00BC36BA">
            <w:pPr>
              <w:spacing w:line="240" w:lineRule="auto"/>
              <w:jc w:val="center"/>
            </w:pPr>
            <w:proofErr w:type="spellStart"/>
            <w:r>
              <w:t>pSTS</w:t>
            </w:r>
            <w:proofErr w:type="spellEnd"/>
            <w:r>
              <w:t>, EBA</w:t>
            </w:r>
          </w:p>
        </w:tc>
        <w:tc>
          <w:tcPr>
            <w:tcW w:w="2076" w:type="dxa"/>
          </w:tcPr>
          <w:p w:rsidR="00836A87" w:rsidRDefault="00836A87" w:rsidP="00BC36BA">
            <w:pPr>
              <w:spacing w:line="240" w:lineRule="auto"/>
              <w:jc w:val="center"/>
            </w:pPr>
          </w:p>
        </w:tc>
      </w:tr>
      <w:tr w:rsidR="00836A87" w:rsidTr="00A43345">
        <w:trPr>
          <w:jc w:val="center"/>
        </w:trPr>
        <w:tc>
          <w:tcPr>
            <w:tcW w:w="910" w:type="dxa"/>
            <w:vAlign w:val="center"/>
          </w:tcPr>
          <w:p w:rsidR="00836A87" w:rsidRDefault="00836A87" w:rsidP="00BC36BA">
            <w:pPr>
              <w:spacing w:line="240" w:lineRule="auto"/>
              <w:jc w:val="center"/>
            </w:pPr>
            <w:r>
              <w:t>P330</w:t>
            </w:r>
          </w:p>
        </w:tc>
        <w:tc>
          <w:tcPr>
            <w:tcW w:w="1636" w:type="dxa"/>
            <w:vAlign w:val="center"/>
          </w:tcPr>
          <w:p w:rsidR="00836A87" w:rsidRDefault="00836A87" w:rsidP="00BC36BA">
            <w:pPr>
              <w:spacing w:line="240" w:lineRule="auto"/>
              <w:jc w:val="center"/>
            </w:pPr>
          </w:p>
        </w:tc>
        <w:tc>
          <w:tcPr>
            <w:tcW w:w="1923" w:type="dxa"/>
          </w:tcPr>
          <w:p w:rsidR="00836A87" w:rsidRDefault="00836A87" w:rsidP="00BC36BA">
            <w:pPr>
              <w:spacing w:line="240" w:lineRule="auto"/>
              <w:jc w:val="center"/>
            </w:pPr>
          </w:p>
        </w:tc>
        <w:tc>
          <w:tcPr>
            <w:tcW w:w="2076" w:type="dxa"/>
          </w:tcPr>
          <w:p w:rsidR="00836A87" w:rsidRDefault="00836A87" w:rsidP="00BC36BA">
            <w:pPr>
              <w:spacing w:line="240" w:lineRule="auto"/>
              <w:jc w:val="center"/>
            </w:pPr>
          </w:p>
        </w:tc>
      </w:tr>
      <w:tr w:rsidR="00836A87" w:rsidTr="00A43345">
        <w:trPr>
          <w:jc w:val="center"/>
        </w:trPr>
        <w:tc>
          <w:tcPr>
            <w:tcW w:w="910" w:type="dxa"/>
            <w:vAlign w:val="center"/>
          </w:tcPr>
          <w:p w:rsidR="00836A87" w:rsidRDefault="00836A87" w:rsidP="00BC36BA">
            <w:pPr>
              <w:spacing w:line="240" w:lineRule="auto"/>
              <w:jc w:val="center"/>
            </w:pPr>
            <w:r>
              <w:t>N400</w:t>
            </w:r>
          </w:p>
        </w:tc>
        <w:tc>
          <w:tcPr>
            <w:tcW w:w="1636" w:type="dxa"/>
            <w:vAlign w:val="center"/>
          </w:tcPr>
          <w:p w:rsidR="00836A87" w:rsidRDefault="00836A87" w:rsidP="00BC36BA">
            <w:pPr>
              <w:spacing w:line="240" w:lineRule="auto"/>
              <w:jc w:val="center"/>
            </w:pPr>
            <w:r>
              <w:t>SPL, IFG</w:t>
            </w:r>
          </w:p>
        </w:tc>
        <w:tc>
          <w:tcPr>
            <w:tcW w:w="1923" w:type="dxa"/>
          </w:tcPr>
          <w:p w:rsidR="00836A87" w:rsidRDefault="00836A87" w:rsidP="00BC36BA">
            <w:pPr>
              <w:spacing w:line="240" w:lineRule="auto"/>
              <w:jc w:val="center"/>
            </w:pPr>
            <w:r>
              <w:t>EBA</w:t>
            </w:r>
          </w:p>
        </w:tc>
        <w:tc>
          <w:tcPr>
            <w:tcW w:w="2076" w:type="dxa"/>
          </w:tcPr>
          <w:p w:rsidR="00836A87" w:rsidRDefault="00836A87" w:rsidP="00BC36BA">
            <w:pPr>
              <w:spacing w:line="240" w:lineRule="auto"/>
              <w:jc w:val="center"/>
            </w:pPr>
            <w:r>
              <w:t>SPL</w:t>
            </w:r>
          </w:p>
        </w:tc>
      </w:tr>
      <w:tr w:rsidR="00836A87" w:rsidTr="00A43345">
        <w:trPr>
          <w:jc w:val="center"/>
        </w:trPr>
        <w:tc>
          <w:tcPr>
            <w:tcW w:w="910" w:type="dxa"/>
            <w:vAlign w:val="center"/>
          </w:tcPr>
          <w:p w:rsidR="00836A87" w:rsidRDefault="00836A87" w:rsidP="00BC36BA">
            <w:pPr>
              <w:spacing w:line="240" w:lineRule="auto"/>
              <w:jc w:val="center"/>
            </w:pPr>
            <w:r>
              <w:t>N600</w:t>
            </w:r>
          </w:p>
        </w:tc>
        <w:tc>
          <w:tcPr>
            <w:tcW w:w="1636" w:type="dxa"/>
            <w:vAlign w:val="center"/>
          </w:tcPr>
          <w:p w:rsidR="00836A87" w:rsidRDefault="00836A87" w:rsidP="00BC36BA">
            <w:pPr>
              <w:spacing w:line="240" w:lineRule="auto"/>
              <w:jc w:val="center"/>
            </w:pPr>
            <w:r>
              <w:t>IFG</w:t>
            </w:r>
          </w:p>
        </w:tc>
        <w:tc>
          <w:tcPr>
            <w:tcW w:w="1923" w:type="dxa"/>
          </w:tcPr>
          <w:p w:rsidR="00836A87" w:rsidRDefault="00836A87" w:rsidP="00BC36BA">
            <w:pPr>
              <w:spacing w:line="240" w:lineRule="auto"/>
              <w:jc w:val="center"/>
            </w:pPr>
          </w:p>
        </w:tc>
        <w:tc>
          <w:tcPr>
            <w:tcW w:w="2076" w:type="dxa"/>
          </w:tcPr>
          <w:p w:rsidR="00836A87" w:rsidRDefault="00836A87" w:rsidP="00BC36BA">
            <w:pPr>
              <w:spacing w:line="240" w:lineRule="auto"/>
              <w:jc w:val="center"/>
            </w:pPr>
          </w:p>
        </w:tc>
      </w:tr>
    </w:tbl>
    <w:p w:rsidR="00233021" w:rsidRPr="00320E5B" w:rsidRDefault="00233021" w:rsidP="00233021">
      <w:pPr>
        <w:jc w:val="center"/>
      </w:pPr>
      <w:proofErr w:type="gramStart"/>
      <w:r>
        <w:t xml:space="preserve">Table </w:t>
      </w:r>
      <w:r>
        <w:t>3</w:t>
      </w:r>
      <w:r>
        <w:t>.</w:t>
      </w:r>
      <w:proofErr w:type="gramEnd"/>
      <w:r>
        <w:t xml:space="preserve"> </w:t>
      </w:r>
      <w:r>
        <w:t>Summary of Shape effect</w:t>
      </w:r>
    </w:p>
    <w:p w:rsidR="00836A87" w:rsidRDefault="00836A87" w:rsidP="00320E5B"/>
    <w:p w:rsidR="00836A87" w:rsidRPr="00320E5B" w:rsidRDefault="00E93146" w:rsidP="00836A87">
      <w:pPr>
        <w:pStyle w:val="Heading3"/>
      </w:pPr>
      <w:r>
        <w:t>The motion effect</w:t>
      </w:r>
    </w:p>
    <w:p w:rsidR="00284ADD" w:rsidRPr="00D20D48" w:rsidRDefault="00E93146" w:rsidP="00320E5B">
      <w:r>
        <w:t xml:space="preserve">Around 200ms, translating stimuli evoked </w:t>
      </w:r>
      <w:proofErr w:type="gramStart"/>
      <w:r>
        <w:t>an</w:t>
      </w:r>
      <w:proofErr w:type="gramEnd"/>
      <w:r>
        <w:t xml:space="preserve"> higher deflection compared to centered one in </w:t>
      </w:r>
      <w:proofErr w:type="spellStart"/>
      <w:r>
        <w:t>pSTS</w:t>
      </w:r>
      <w:proofErr w:type="spellEnd"/>
      <w:r>
        <w:t xml:space="preserve">, and the parietal lobule. </w:t>
      </w:r>
      <w:proofErr w:type="spellStart"/>
      <w:r>
        <w:t>Posthoc</w:t>
      </w:r>
      <w:proofErr w:type="spellEnd"/>
      <w:r>
        <w:t xml:space="preserve"> </w:t>
      </w:r>
      <w:proofErr w:type="gramStart"/>
      <w:r>
        <w:t>analysis .</w:t>
      </w:r>
      <w:proofErr w:type="gramEnd"/>
      <w:r>
        <w:t xml:space="preserve"> At a later stage, around 300 </w:t>
      </w:r>
      <w:proofErr w:type="spellStart"/>
      <w:r>
        <w:t>ms</w:t>
      </w:r>
      <w:proofErr w:type="spellEnd"/>
      <w:r>
        <w:t xml:space="preserve">, the parietal lobule and the ventral PMC showed higher deflection during </w:t>
      </w:r>
      <w:proofErr w:type="spellStart"/>
      <w:r>
        <w:t>translaction</w:t>
      </w:r>
      <w:proofErr w:type="spellEnd"/>
      <w:r>
        <w:t xml:space="preserve"> that postdoc analyses restricted to the </w:t>
      </w:r>
      <w:r>
        <w:lastRenderedPageBreak/>
        <w:t xml:space="preserve">walker condition. Only when the shape was scrambled, besides IPL, also </w:t>
      </w:r>
      <w:proofErr w:type="spellStart"/>
      <w:r>
        <w:t>pSTS</w:t>
      </w:r>
      <w:proofErr w:type="spellEnd"/>
      <w:r>
        <w:t xml:space="preserve"> resulted more involved in translating compared to </w:t>
      </w:r>
      <w:proofErr w:type="gramStart"/>
      <w:r>
        <w:t>centered</w:t>
      </w:r>
      <w:proofErr w:type="gramEnd"/>
      <w:r>
        <w:t xml:space="preserve">. At around 400 </w:t>
      </w:r>
      <w:proofErr w:type="spellStart"/>
      <w:r>
        <w:t>ms</w:t>
      </w:r>
      <w:proofErr w:type="spellEnd"/>
      <w:r>
        <w:t>, PMC sensitivity to translation persisted in all the two conditions (within walker and within scrambled), while SPL ones was present only within the walker stimuli.</w:t>
      </w:r>
    </w:p>
    <w:tbl>
      <w:tblPr>
        <w:tblStyle w:val="TableGrid"/>
        <w:tblW w:w="0" w:type="auto"/>
        <w:jc w:val="center"/>
        <w:tblLook w:val="04A0" w:firstRow="1" w:lastRow="0" w:firstColumn="1" w:lastColumn="0" w:noHBand="0" w:noVBand="1"/>
      </w:tblPr>
      <w:tblGrid>
        <w:gridCol w:w="1152"/>
        <w:gridCol w:w="2676"/>
        <w:gridCol w:w="1842"/>
        <w:gridCol w:w="2049"/>
      </w:tblGrid>
      <w:tr w:rsidR="00836A87" w:rsidTr="00B24628">
        <w:trPr>
          <w:trHeight w:val="411"/>
          <w:jc w:val="center"/>
        </w:trPr>
        <w:tc>
          <w:tcPr>
            <w:tcW w:w="1152" w:type="dxa"/>
            <w:vAlign w:val="center"/>
          </w:tcPr>
          <w:p w:rsidR="00836A87" w:rsidRDefault="003F663E" w:rsidP="002C6926">
            <w:pPr>
              <w:spacing w:line="240" w:lineRule="auto"/>
              <w:jc w:val="left"/>
            </w:pPr>
            <w:r>
              <w:br w:type="page"/>
            </w:r>
            <w:r w:rsidR="00836A87">
              <w:t>Name</w:t>
            </w:r>
          </w:p>
        </w:tc>
        <w:tc>
          <w:tcPr>
            <w:tcW w:w="2676" w:type="dxa"/>
            <w:vAlign w:val="center"/>
          </w:tcPr>
          <w:p w:rsidR="00836A87" w:rsidRDefault="00836A87" w:rsidP="002C6926">
            <w:pPr>
              <w:spacing w:line="240" w:lineRule="auto"/>
              <w:jc w:val="left"/>
            </w:pPr>
            <w:r>
              <w:t>T&gt;C</w:t>
            </w:r>
            <w:r w:rsidR="002C6926">
              <w:t xml:space="preserve">, </w:t>
            </w:r>
            <w:r w:rsidR="002C6926" w:rsidRPr="002C6926">
              <w:rPr>
                <w:b/>
              </w:rPr>
              <w:t>C&gt;T</w:t>
            </w:r>
          </w:p>
        </w:tc>
        <w:tc>
          <w:tcPr>
            <w:tcW w:w="1842" w:type="dxa"/>
            <w:vAlign w:val="center"/>
          </w:tcPr>
          <w:p w:rsidR="00836A87" w:rsidRDefault="00836A87" w:rsidP="00B24628">
            <w:pPr>
              <w:spacing w:line="240" w:lineRule="auto"/>
              <w:jc w:val="left"/>
            </w:pPr>
            <w:r>
              <w:t>Within walker</w:t>
            </w:r>
          </w:p>
        </w:tc>
        <w:tc>
          <w:tcPr>
            <w:tcW w:w="2049" w:type="dxa"/>
            <w:vAlign w:val="center"/>
          </w:tcPr>
          <w:p w:rsidR="00836A87" w:rsidRDefault="00836A87" w:rsidP="002C6926">
            <w:pPr>
              <w:spacing w:line="240" w:lineRule="auto"/>
              <w:jc w:val="left"/>
            </w:pPr>
            <w:r>
              <w:t>Within scrambled</w:t>
            </w:r>
          </w:p>
        </w:tc>
      </w:tr>
      <w:tr w:rsidR="00836A87" w:rsidTr="00B24628">
        <w:trPr>
          <w:trHeight w:val="422"/>
          <w:jc w:val="center"/>
        </w:trPr>
        <w:tc>
          <w:tcPr>
            <w:tcW w:w="1152" w:type="dxa"/>
            <w:vAlign w:val="center"/>
          </w:tcPr>
          <w:p w:rsidR="00836A87" w:rsidRDefault="00836A87" w:rsidP="002C6926">
            <w:pPr>
              <w:spacing w:line="240" w:lineRule="auto"/>
              <w:jc w:val="left"/>
            </w:pPr>
            <w:r>
              <w:t>N200</w:t>
            </w:r>
          </w:p>
        </w:tc>
        <w:tc>
          <w:tcPr>
            <w:tcW w:w="2676" w:type="dxa"/>
            <w:vAlign w:val="center"/>
          </w:tcPr>
          <w:p w:rsidR="00836A87" w:rsidRDefault="00E93146" w:rsidP="002C6926">
            <w:pPr>
              <w:spacing w:line="240" w:lineRule="auto"/>
              <w:jc w:val="left"/>
            </w:pPr>
            <w:proofErr w:type="spellStart"/>
            <w:r>
              <w:t>p</w:t>
            </w:r>
            <w:r w:rsidR="002C6926">
              <w:t>STS</w:t>
            </w:r>
            <w:proofErr w:type="spellEnd"/>
            <w:r w:rsidR="002C6926">
              <w:t>, IPL, SPL</w:t>
            </w:r>
          </w:p>
        </w:tc>
        <w:tc>
          <w:tcPr>
            <w:tcW w:w="1842" w:type="dxa"/>
            <w:vAlign w:val="center"/>
          </w:tcPr>
          <w:p w:rsidR="00836A87" w:rsidRDefault="002C6926" w:rsidP="002C6926">
            <w:pPr>
              <w:spacing w:line="240" w:lineRule="auto"/>
              <w:jc w:val="left"/>
            </w:pPr>
            <w:r>
              <w:t>IPL</w:t>
            </w:r>
          </w:p>
        </w:tc>
        <w:tc>
          <w:tcPr>
            <w:tcW w:w="2049" w:type="dxa"/>
            <w:vAlign w:val="center"/>
          </w:tcPr>
          <w:p w:rsidR="00836A87" w:rsidRDefault="00836A87" w:rsidP="002C6926">
            <w:pPr>
              <w:spacing w:line="240" w:lineRule="auto"/>
              <w:jc w:val="left"/>
            </w:pPr>
          </w:p>
        </w:tc>
      </w:tr>
      <w:tr w:rsidR="00836A87" w:rsidTr="00B24628">
        <w:trPr>
          <w:trHeight w:val="297"/>
          <w:jc w:val="center"/>
        </w:trPr>
        <w:tc>
          <w:tcPr>
            <w:tcW w:w="1152" w:type="dxa"/>
            <w:vAlign w:val="center"/>
          </w:tcPr>
          <w:p w:rsidR="00836A87" w:rsidRDefault="00836A87" w:rsidP="002C6926">
            <w:pPr>
              <w:spacing w:line="240" w:lineRule="auto"/>
              <w:jc w:val="left"/>
            </w:pPr>
            <w:r>
              <w:t>P330</w:t>
            </w:r>
          </w:p>
        </w:tc>
        <w:tc>
          <w:tcPr>
            <w:tcW w:w="2676" w:type="dxa"/>
            <w:vAlign w:val="center"/>
          </w:tcPr>
          <w:p w:rsidR="00836A87" w:rsidRDefault="002C6926" w:rsidP="002C6926">
            <w:pPr>
              <w:spacing w:line="240" w:lineRule="auto"/>
              <w:jc w:val="left"/>
            </w:pPr>
            <w:r>
              <w:t>PMC, IFG, IPL, SPL</w:t>
            </w:r>
          </w:p>
        </w:tc>
        <w:tc>
          <w:tcPr>
            <w:tcW w:w="1842" w:type="dxa"/>
            <w:vAlign w:val="center"/>
          </w:tcPr>
          <w:p w:rsidR="00836A87" w:rsidRDefault="002C6926" w:rsidP="002C6926">
            <w:pPr>
              <w:spacing w:line="240" w:lineRule="auto"/>
              <w:jc w:val="left"/>
            </w:pPr>
            <w:r>
              <w:t>PMC, IPL, SPL</w:t>
            </w:r>
          </w:p>
        </w:tc>
        <w:tc>
          <w:tcPr>
            <w:tcW w:w="2049" w:type="dxa"/>
            <w:vAlign w:val="center"/>
          </w:tcPr>
          <w:p w:rsidR="00836A87" w:rsidRDefault="002C6926" w:rsidP="002C6926">
            <w:pPr>
              <w:spacing w:line="240" w:lineRule="auto"/>
              <w:jc w:val="left"/>
            </w:pPr>
            <w:r>
              <w:t>IPL</w:t>
            </w:r>
            <w:r w:rsidR="00B24628">
              <w:t xml:space="preserve">, </w:t>
            </w:r>
            <w:proofErr w:type="spellStart"/>
            <w:r w:rsidR="00B24628">
              <w:t>pSTS</w:t>
            </w:r>
            <w:proofErr w:type="spellEnd"/>
          </w:p>
        </w:tc>
      </w:tr>
      <w:tr w:rsidR="00836A87" w:rsidTr="00B24628">
        <w:trPr>
          <w:trHeight w:val="297"/>
          <w:jc w:val="center"/>
        </w:trPr>
        <w:tc>
          <w:tcPr>
            <w:tcW w:w="1152" w:type="dxa"/>
            <w:vAlign w:val="center"/>
          </w:tcPr>
          <w:p w:rsidR="00836A87" w:rsidRDefault="00836A87" w:rsidP="002C6926">
            <w:pPr>
              <w:spacing w:line="240" w:lineRule="auto"/>
              <w:jc w:val="left"/>
            </w:pPr>
            <w:r>
              <w:t>N400</w:t>
            </w:r>
          </w:p>
        </w:tc>
        <w:tc>
          <w:tcPr>
            <w:tcW w:w="2676" w:type="dxa"/>
            <w:vAlign w:val="center"/>
          </w:tcPr>
          <w:p w:rsidR="00836A87" w:rsidRDefault="002C6926" w:rsidP="002C6926">
            <w:pPr>
              <w:spacing w:line="240" w:lineRule="auto"/>
              <w:jc w:val="left"/>
            </w:pPr>
            <w:r>
              <w:t>PMC, VIS, SPL</w:t>
            </w:r>
          </w:p>
        </w:tc>
        <w:tc>
          <w:tcPr>
            <w:tcW w:w="1842" w:type="dxa"/>
            <w:vAlign w:val="center"/>
          </w:tcPr>
          <w:p w:rsidR="00836A87" w:rsidRDefault="002C6926" w:rsidP="002C6926">
            <w:pPr>
              <w:spacing w:line="240" w:lineRule="auto"/>
              <w:jc w:val="left"/>
            </w:pPr>
            <w:r>
              <w:t>PMC, SPL</w:t>
            </w:r>
          </w:p>
        </w:tc>
        <w:tc>
          <w:tcPr>
            <w:tcW w:w="2049" w:type="dxa"/>
            <w:vAlign w:val="center"/>
          </w:tcPr>
          <w:p w:rsidR="00836A87" w:rsidRDefault="002C6926" w:rsidP="002C6926">
            <w:pPr>
              <w:spacing w:line="240" w:lineRule="auto"/>
              <w:jc w:val="left"/>
            </w:pPr>
            <w:r>
              <w:t>PMC</w:t>
            </w:r>
          </w:p>
        </w:tc>
      </w:tr>
      <w:tr w:rsidR="00836A87" w:rsidTr="00B24628">
        <w:trPr>
          <w:trHeight w:val="316"/>
          <w:jc w:val="center"/>
        </w:trPr>
        <w:tc>
          <w:tcPr>
            <w:tcW w:w="1152" w:type="dxa"/>
            <w:vAlign w:val="center"/>
          </w:tcPr>
          <w:p w:rsidR="00836A87" w:rsidRDefault="00836A87" w:rsidP="002C6926">
            <w:pPr>
              <w:spacing w:line="240" w:lineRule="auto"/>
              <w:jc w:val="left"/>
            </w:pPr>
            <w:r>
              <w:t>N600</w:t>
            </w:r>
          </w:p>
        </w:tc>
        <w:tc>
          <w:tcPr>
            <w:tcW w:w="2676" w:type="dxa"/>
            <w:vAlign w:val="center"/>
          </w:tcPr>
          <w:p w:rsidR="00836A87" w:rsidRDefault="002C6926" w:rsidP="002C6926">
            <w:pPr>
              <w:spacing w:line="240" w:lineRule="auto"/>
              <w:jc w:val="left"/>
            </w:pPr>
            <w:r>
              <w:t>PMC, VIS</w:t>
            </w:r>
          </w:p>
        </w:tc>
        <w:tc>
          <w:tcPr>
            <w:tcW w:w="1842" w:type="dxa"/>
            <w:vAlign w:val="center"/>
          </w:tcPr>
          <w:p w:rsidR="00836A87" w:rsidRDefault="002C6926" w:rsidP="002C6926">
            <w:pPr>
              <w:spacing w:line="240" w:lineRule="auto"/>
              <w:jc w:val="left"/>
            </w:pPr>
            <w:r>
              <w:t>PMC</w:t>
            </w:r>
            <w:r w:rsidR="00BE0B33">
              <w:t>, VIS</w:t>
            </w:r>
          </w:p>
        </w:tc>
        <w:tc>
          <w:tcPr>
            <w:tcW w:w="2049" w:type="dxa"/>
            <w:vAlign w:val="center"/>
          </w:tcPr>
          <w:p w:rsidR="00836A87" w:rsidRDefault="002C6926" w:rsidP="002C6926">
            <w:pPr>
              <w:spacing w:line="240" w:lineRule="auto"/>
              <w:jc w:val="left"/>
            </w:pPr>
            <w:r>
              <w:t>PMC</w:t>
            </w:r>
            <w:r w:rsidR="00BE0B33">
              <w:t>, VIS</w:t>
            </w:r>
            <w:r w:rsidR="00B24628">
              <w:t>, EBA</w:t>
            </w:r>
          </w:p>
        </w:tc>
      </w:tr>
    </w:tbl>
    <w:p w:rsidR="00233021" w:rsidRPr="00320E5B" w:rsidRDefault="00233021" w:rsidP="00233021">
      <w:pPr>
        <w:jc w:val="center"/>
      </w:pPr>
      <w:proofErr w:type="gramStart"/>
      <w:r>
        <w:t xml:space="preserve">Table </w:t>
      </w:r>
      <w:r>
        <w:t>4</w:t>
      </w:r>
      <w:r>
        <w:t>.</w:t>
      </w:r>
      <w:proofErr w:type="gramEnd"/>
      <w:r>
        <w:t xml:space="preserve"> Summary of </w:t>
      </w:r>
      <w:r>
        <w:t>Motion effect</w:t>
      </w:r>
    </w:p>
    <w:p w:rsidR="003F663E" w:rsidRDefault="003F663E" w:rsidP="00320E5B">
      <w:pPr>
        <w:rPr>
          <w:rFonts w:eastAsia="Batang"/>
          <w:lang w:val="en-GB"/>
        </w:rPr>
      </w:pPr>
    </w:p>
    <w:p w:rsidR="00E93146" w:rsidRDefault="00E93146">
      <w:pPr>
        <w:spacing w:line="276" w:lineRule="auto"/>
        <w:contextualSpacing w:val="0"/>
        <w:jc w:val="left"/>
      </w:pPr>
      <w:r>
        <w:br w:type="page"/>
      </w:r>
    </w:p>
    <w:p w:rsidR="00E93146" w:rsidRPr="003F663E" w:rsidRDefault="00E93146" w:rsidP="00E93146">
      <w:pPr>
        <w:pStyle w:val="Heading1"/>
      </w:pPr>
      <w:r>
        <w:lastRenderedPageBreak/>
        <w:t>Discussion</w:t>
      </w:r>
    </w:p>
    <w:p w:rsidR="00BE0B33" w:rsidRDefault="00BE0B33">
      <w:pPr>
        <w:spacing w:line="276" w:lineRule="auto"/>
        <w:contextualSpacing w:val="0"/>
        <w:jc w:val="left"/>
        <w:rPr>
          <w:rFonts w:eastAsia="Batang"/>
          <w:b/>
          <w:bCs/>
          <w:lang w:val="en-GB"/>
        </w:rPr>
      </w:pPr>
      <w:r>
        <w:br w:type="page"/>
      </w:r>
    </w:p>
    <w:p w:rsidR="003D1E28" w:rsidRPr="003F663E" w:rsidRDefault="003F663E" w:rsidP="00320E5B">
      <w:pPr>
        <w:pStyle w:val="Heading1"/>
      </w:pPr>
      <w:r w:rsidRPr="003F663E">
        <w:lastRenderedPageBreak/>
        <w:t>Supplementary materials</w:t>
      </w:r>
    </w:p>
    <w:p w:rsidR="003F663E" w:rsidRDefault="00FE6F2D" w:rsidP="00320E5B">
      <w:pPr>
        <w:pStyle w:val="Heading2"/>
      </w:pPr>
      <w:proofErr w:type="gramStart"/>
      <w:r w:rsidRPr="00F46003">
        <w:t>Eye movement analysis.</w:t>
      </w:r>
      <w:proofErr w:type="gramEnd"/>
      <w:r w:rsidRPr="00F46003">
        <w:t xml:space="preserve"> </w:t>
      </w:r>
    </w:p>
    <w:p w:rsidR="00FE6F2D" w:rsidRPr="00F46003" w:rsidRDefault="00FE6F2D" w:rsidP="00320E5B">
      <w:r w:rsidRPr="00F46003">
        <w:t xml:space="preserve">Since half of the PLAs translated along the screen, some subjects tended to follow the point-lights with their eyes as these translated. In order to rule out an effect of a different eye movement behavior correlating with one of the two experimental variables manipulated in the present study (namely, factor Translation), we elaborated an index with the purpose of measuring, for each subject, the magnitude of this difference of eye movements during the centered and the translating conditions.  Therefore, we proceeded as follows. First, for each subject, we gathered EEG trials from the centered conditions on one side, and EEG trials from the translating conditions on the other, in order to build two EEG data sets. For convenience of notation, we will denote these two data sets, or experimental conditions, as C* and T*, respectively. Then, we computed for each trial the time course of the electric potential at electrode AF7 referenced to AF8. Due to the positions of electrodes AF7 and AF8 on the scalp (near the left and right eye, respectively; see figure 2), it is not difficult to realize that this time course correlates strongly with the time course of an ordinary horizontal </w:t>
      </w:r>
      <w:proofErr w:type="spellStart"/>
      <w:r w:rsidRPr="00F46003">
        <w:t>electrooculogram</w:t>
      </w:r>
      <w:proofErr w:type="spellEnd"/>
      <w:r w:rsidRPr="00F46003">
        <w:t xml:space="preserve"> (HEOG), obtained by computing the difference between electric potentials recorded at two electrodes on the outer canthi of the eyes. Thus, we computed the mean, across trials, of the time course of AF7-AF8. </w:t>
      </w:r>
    </w:p>
    <w:p w:rsidR="00FE6F2D" w:rsidRPr="00F46003" w:rsidRDefault="00FE6F2D" w:rsidP="00320E5B">
      <w:r w:rsidRPr="00F46003">
        <w:t xml:space="preserve">Since stimuli in the T* condition were moving always towards the right, the eye movements made by subjects who did not follow strictly the instruction about fixating the red cross at the center of the screen (figure 1) moved their sight towards the right. Therefore, in single trials from the translating conditions, it is expected to see the time course of AF7-AF8 deflecting coherently with the direction of movement: in this case, a horizontal eye movement towards the right would provoke </w:t>
      </w:r>
      <w:proofErr w:type="spellStart"/>
      <w:r w:rsidRPr="00F46003">
        <w:t>a</w:t>
      </w:r>
      <w:proofErr w:type="spellEnd"/>
      <w:r w:rsidRPr="00F46003">
        <w:t xml:space="preserve"> increase of voltage near AF8 and a decrease of voltage near AF7, due to the pointing direction of the </w:t>
      </w:r>
      <w:proofErr w:type="spellStart"/>
      <w:r w:rsidRPr="00F46003">
        <w:t>corneo</w:t>
      </w:r>
      <w:proofErr w:type="spellEnd"/>
      <w:r w:rsidRPr="00F46003">
        <w:t xml:space="preserve">-retinal dipoles in the eyes (see Croft and Barry, 2000), and consequently the voltage at AF7 with respect to AF8 (i.e., AF7-AF8) would be negative. </w:t>
      </w:r>
    </w:p>
    <w:p w:rsidR="00FE6F2D" w:rsidRPr="00F46003" w:rsidRDefault="00FE6F2D" w:rsidP="00320E5B">
      <w:r w:rsidRPr="00F46003">
        <w:lastRenderedPageBreak/>
        <w:t xml:space="preserve">After computing the mean time courses of AF7-AF8 across trials for the C* and the T* conditions separately, we defined the sought index as the sum, in the 300 </w:t>
      </w:r>
      <w:proofErr w:type="spellStart"/>
      <w:r w:rsidRPr="00F46003">
        <w:t>ms</w:t>
      </w:r>
      <w:proofErr w:type="spellEnd"/>
      <w:r w:rsidRPr="00F46003">
        <w:t xml:space="preserve"> – 1000 </w:t>
      </w:r>
      <w:proofErr w:type="spellStart"/>
      <w:r w:rsidRPr="00F46003">
        <w:t>ms</w:t>
      </w:r>
      <w:proofErr w:type="spellEnd"/>
      <w:r w:rsidRPr="00F46003">
        <w:t xml:space="preserve"> time window, of the absolute values of the difference between these two mean time courses. In other words, this index is proportional to the area between the two mean time courses. The larger this index, the more different were the eye movements between the C* and the T* conditions. </w:t>
      </w:r>
      <w:commentRangeStart w:id="1"/>
      <w:r w:rsidRPr="00F46003">
        <w:t xml:space="preserve">Figure 6 displays, for each subject, the mean of AF7-AF8 across trials, for the T* and the C* conditions separately. </w:t>
      </w:r>
      <w:proofErr w:type="spellStart"/>
      <w:r w:rsidRPr="00F46003">
        <w:t>Subjects’results</w:t>
      </w:r>
      <w:proofErr w:type="spellEnd"/>
      <w:r w:rsidRPr="00F46003">
        <w:t xml:space="preserve"> </w:t>
      </w:r>
      <w:proofErr w:type="gramStart"/>
      <w:r w:rsidRPr="00F46003">
        <w:t>are</w:t>
      </w:r>
      <w:proofErr w:type="gramEnd"/>
      <w:r w:rsidRPr="00F46003">
        <w:t xml:space="preserve"> ordered according to increasing value of the index described in this section.  </w:t>
      </w:r>
      <w:commentRangeEnd w:id="1"/>
      <w:r w:rsidRPr="00F46003">
        <w:rPr>
          <w:rStyle w:val="CommentReference"/>
          <w:sz w:val="24"/>
          <w:szCs w:val="24"/>
        </w:rPr>
        <w:commentReference w:id="1"/>
      </w:r>
      <w:r w:rsidRPr="00F46003">
        <w:t xml:space="preserve"> </w:t>
      </w:r>
    </w:p>
    <w:p w:rsidR="0093378D" w:rsidRPr="00F46003" w:rsidRDefault="00935EEC" w:rsidP="00320E5B"/>
    <w:sectPr w:rsidR="0093378D" w:rsidRPr="00F4600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dio" w:date="2013-12-23T15:17:00Z" w:initials="C">
    <w:p w:rsidR="00FE6F2D" w:rsidRPr="006F38A4" w:rsidRDefault="00FE6F2D" w:rsidP="00320E5B">
      <w:pPr>
        <w:pStyle w:val="CommentText"/>
        <w:rPr>
          <w:lang w:val="it-IT"/>
        </w:rPr>
      </w:pPr>
      <w:r>
        <w:rPr>
          <w:rStyle w:val="CommentReference"/>
        </w:rPr>
        <w:annotationRef/>
      </w:r>
      <w:r w:rsidRPr="006F38A4">
        <w:rPr>
          <w:lang w:val="it-IT"/>
        </w:rPr>
        <w:t>Proverei a disaccoppiare il movimento ocular dal processing motorio con le croci ferme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00855"/>
    <w:multiLevelType w:val="hybridMultilevel"/>
    <w:tmpl w:val="D40C59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6C"/>
    <w:rsid w:val="0009316C"/>
    <w:rsid w:val="000E06CE"/>
    <w:rsid w:val="00105CE6"/>
    <w:rsid w:val="00233021"/>
    <w:rsid w:val="002408C9"/>
    <w:rsid w:val="00284ADD"/>
    <w:rsid w:val="002C6926"/>
    <w:rsid w:val="00320E5B"/>
    <w:rsid w:val="00370010"/>
    <w:rsid w:val="003D1E28"/>
    <w:rsid w:val="003F663E"/>
    <w:rsid w:val="004A0FD5"/>
    <w:rsid w:val="00511B54"/>
    <w:rsid w:val="005E27ED"/>
    <w:rsid w:val="006E00EE"/>
    <w:rsid w:val="00836A87"/>
    <w:rsid w:val="008B72C6"/>
    <w:rsid w:val="008F2957"/>
    <w:rsid w:val="00935EEC"/>
    <w:rsid w:val="009F1DE5"/>
    <w:rsid w:val="00A36DCD"/>
    <w:rsid w:val="00A43345"/>
    <w:rsid w:val="00AD0FB1"/>
    <w:rsid w:val="00AE3CFB"/>
    <w:rsid w:val="00AE41F1"/>
    <w:rsid w:val="00B0002F"/>
    <w:rsid w:val="00B24628"/>
    <w:rsid w:val="00BE0B33"/>
    <w:rsid w:val="00D20D48"/>
    <w:rsid w:val="00D56862"/>
    <w:rsid w:val="00DF6C0F"/>
    <w:rsid w:val="00E42708"/>
    <w:rsid w:val="00E63D47"/>
    <w:rsid w:val="00E93146"/>
    <w:rsid w:val="00F1371E"/>
    <w:rsid w:val="00F46003"/>
    <w:rsid w:val="00F53EF0"/>
    <w:rsid w:val="00F605AD"/>
    <w:rsid w:val="00FE6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E5B"/>
    <w:pPr>
      <w:spacing w:line="480" w:lineRule="auto"/>
      <w:contextualSpacing/>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F663E"/>
    <w:pPr>
      <w:keepNext/>
      <w:keepLines/>
      <w:spacing w:before="240" w:after="240"/>
      <w:outlineLvl w:val="0"/>
    </w:pPr>
    <w:rPr>
      <w:rFonts w:eastAsia="Batang"/>
      <w:b/>
      <w:bCs/>
      <w:lang w:val="en-GB"/>
    </w:rPr>
  </w:style>
  <w:style w:type="paragraph" w:styleId="Heading2">
    <w:name w:val="heading 2"/>
    <w:basedOn w:val="Normal"/>
    <w:next w:val="Normal"/>
    <w:link w:val="Heading2Char"/>
    <w:uiPriority w:val="9"/>
    <w:unhideWhenUsed/>
    <w:qFormat/>
    <w:rsid w:val="003F663E"/>
    <w:pPr>
      <w:keepNext/>
      <w:keepLines/>
      <w:spacing w:before="200" w:after="240"/>
      <w:outlineLvl w:val="1"/>
    </w:pPr>
    <w:rPr>
      <w:rFonts w:eastAsiaTheme="majorEastAsia"/>
      <w:b/>
      <w:bCs/>
    </w:rPr>
  </w:style>
  <w:style w:type="paragraph" w:styleId="Heading3">
    <w:name w:val="heading 3"/>
    <w:basedOn w:val="Normal"/>
    <w:next w:val="Normal"/>
    <w:link w:val="Heading3Char"/>
    <w:uiPriority w:val="9"/>
    <w:unhideWhenUsed/>
    <w:qFormat/>
    <w:rsid w:val="00320E5B"/>
    <w:pPr>
      <w:keepNext/>
      <w:keepLines/>
      <w:spacing w:before="200" w:after="24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E6F2D"/>
    <w:pPr>
      <w:ind w:left="720"/>
    </w:pPr>
  </w:style>
  <w:style w:type="character" w:styleId="CommentReference">
    <w:name w:val="annotation reference"/>
    <w:uiPriority w:val="99"/>
    <w:semiHidden/>
    <w:unhideWhenUsed/>
    <w:rsid w:val="00FE6F2D"/>
    <w:rPr>
      <w:sz w:val="16"/>
      <w:szCs w:val="16"/>
    </w:rPr>
  </w:style>
  <w:style w:type="paragraph" w:styleId="CommentText">
    <w:name w:val="annotation text"/>
    <w:basedOn w:val="Normal"/>
    <w:link w:val="CommentTextChar"/>
    <w:uiPriority w:val="99"/>
    <w:unhideWhenUsed/>
    <w:rsid w:val="00FE6F2D"/>
    <w:rPr>
      <w:sz w:val="20"/>
      <w:szCs w:val="20"/>
    </w:rPr>
  </w:style>
  <w:style w:type="character" w:customStyle="1" w:styleId="CommentTextChar">
    <w:name w:val="Comment Text Char"/>
    <w:basedOn w:val="DefaultParagraphFont"/>
    <w:link w:val="CommentText"/>
    <w:uiPriority w:val="99"/>
    <w:rsid w:val="00FE6F2D"/>
    <w:rPr>
      <w:rFonts w:ascii="Calibri" w:eastAsia="Times New Roman" w:hAnsi="Calibri" w:cs="Times New Roman"/>
      <w:sz w:val="20"/>
      <w:szCs w:val="20"/>
      <w:lang w:val="en-US"/>
    </w:rPr>
  </w:style>
  <w:style w:type="paragraph" w:styleId="BalloonText">
    <w:name w:val="Balloon Text"/>
    <w:basedOn w:val="Normal"/>
    <w:link w:val="BalloonTextChar"/>
    <w:uiPriority w:val="99"/>
    <w:semiHidden/>
    <w:unhideWhenUsed/>
    <w:rsid w:val="00FE6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F2D"/>
    <w:rPr>
      <w:rFonts w:ascii="Tahoma" w:eastAsia="Times New Roman" w:hAnsi="Tahoma" w:cs="Tahoma"/>
      <w:sz w:val="16"/>
      <w:szCs w:val="16"/>
      <w:lang w:val="en-US"/>
    </w:rPr>
  </w:style>
  <w:style w:type="table" w:styleId="TableGrid">
    <w:name w:val="Table Grid"/>
    <w:basedOn w:val="TableNormal"/>
    <w:uiPriority w:val="59"/>
    <w:rsid w:val="003D1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663E"/>
    <w:rPr>
      <w:rFonts w:ascii="Times New Roman" w:eastAsia="Batang" w:hAnsi="Times New Roman" w:cs="Times New Roman"/>
      <w:b/>
      <w:bCs/>
      <w:sz w:val="24"/>
      <w:szCs w:val="24"/>
      <w:lang w:val="en-GB"/>
    </w:rPr>
  </w:style>
  <w:style w:type="character" w:customStyle="1" w:styleId="Heading2Char">
    <w:name w:val="Heading 2 Char"/>
    <w:basedOn w:val="DefaultParagraphFont"/>
    <w:link w:val="Heading2"/>
    <w:uiPriority w:val="9"/>
    <w:rsid w:val="003F663E"/>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320E5B"/>
    <w:rPr>
      <w:rFonts w:ascii="Times New Roman" w:eastAsiaTheme="majorEastAsia" w:hAnsi="Times New Roman" w:cs="Times New Roman"/>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E5B"/>
    <w:pPr>
      <w:spacing w:line="480" w:lineRule="auto"/>
      <w:contextualSpacing/>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F663E"/>
    <w:pPr>
      <w:keepNext/>
      <w:keepLines/>
      <w:spacing w:before="240" w:after="240"/>
      <w:outlineLvl w:val="0"/>
    </w:pPr>
    <w:rPr>
      <w:rFonts w:eastAsia="Batang"/>
      <w:b/>
      <w:bCs/>
      <w:lang w:val="en-GB"/>
    </w:rPr>
  </w:style>
  <w:style w:type="paragraph" w:styleId="Heading2">
    <w:name w:val="heading 2"/>
    <w:basedOn w:val="Normal"/>
    <w:next w:val="Normal"/>
    <w:link w:val="Heading2Char"/>
    <w:uiPriority w:val="9"/>
    <w:unhideWhenUsed/>
    <w:qFormat/>
    <w:rsid w:val="003F663E"/>
    <w:pPr>
      <w:keepNext/>
      <w:keepLines/>
      <w:spacing w:before="200" w:after="240"/>
      <w:outlineLvl w:val="1"/>
    </w:pPr>
    <w:rPr>
      <w:rFonts w:eastAsiaTheme="majorEastAsia"/>
      <w:b/>
      <w:bCs/>
    </w:rPr>
  </w:style>
  <w:style w:type="paragraph" w:styleId="Heading3">
    <w:name w:val="heading 3"/>
    <w:basedOn w:val="Normal"/>
    <w:next w:val="Normal"/>
    <w:link w:val="Heading3Char"/>
    <w:uiPriority w:val="9"/>
    <w:unhideWhenUsed/>
    <w:qFormat/>
    <w:rsid w:val="00320E5B"/>
    <w:pPr>
      <w:keepNext/>
      <w:keepLines/>
      <w:spacing w:before="200" w:after="24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E6F2D"/>
    <w:pPr>
      <w:ind w:left="720"/>
    </w:pPr>
  </w:style>
  <w:style w:type="character" w:styleId="CommentReference">
    <w:name w:val="annotation reference"/>
    <w:uiPriority w:val="99"/>
    <w:semiHidden/>
    <w:unhideWhenUsed/>
    <w:rsid w:val="00FE6F2D"/>
    <w:rPr>
      <w:sz w:val="16"/>
      <w:szCs w:val="16"/>
    </w:rPr>
  </w:style>
  <w:style w:type="paragraph" w:styleId="CommentText">
    <w:name w:val="annotation text"/>
    <w:basedOn w:val="Normal"/>
    <w:link w:val="CommentTextChar"/>
    <w:uiPriority w:val="99"/>
    <w:unhideWhenUsed/>
    <w:rsid w:val="00FE6F2D"/>
    <w:rPr>
      <w:sz w:val="20"/>
      <w:szCs w:val="20"/>
    </w:rPr>
  </w:style>
  <w:style w:type="character" w:customStyle="1" w:styleId="CommentTextChar">
    <w:name w:val="Comment Text Char"/>
    <w:basedOn w:val="DefaultParagraphFont"/>
    <w:link w:val="CommentText"/>
    <w:uiPriority w:val="99"/>
    <w:rsid w:val="00FE6F2D"/>
    <w:rPr>
      <w:rFonts w:ascii="Calibri" w:eastAsia="Times New Roman" w:hAnsi="Calibri" w:cs="Times New Roman"/>
      <w:sz w:val="20"/>
      <w:szCs w:val="20"/>
      <w:lang w:val="en-US"/>
    </w:rPr>
  </w:style>
  <w:style w:type="paragraph" w:styleId="BalloonText">
    <w:name w:val="Balloon Text"/>
    <w:basedOn w:val="Normal"/>
    <w:link w:val="BalloonTextChar"/>
    <w:uiPriority w:val="99"/>
    <w:semiHidden/>
    <w:unhideWhenUsed/>
    <w:rsid w:val="00FE6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F2D"/>
    <w:rPr>
      <w:rFonts w:ascii="Tahoma" w:eastAsia="Times New Roman" w:hAnsi="Tahoma" w:cs="Tahoma"/>
      <w:sz w:val="16"/>
      <w:szCs w:val="16"/>
      <w:lang w:val="en-US"/>
    </w:rPr>
  </w:style>
  <w:style w:type="table" w:styleId="TableGrid">
    <w:name w:val="Table Grid"/>
    <w:basedOn w:val="TableNormal"/>
    <w:uiPriority w:val="59"/>
    <w:rsid w:val="003D1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663E"/>
    <w:rPr>
      <w:rFonts w:ascii="Times New Roman" w:eastAsia="Batang" w:hAnsi="Times New Roman" w:cs="Times New Roman"/>
      <w:b/>
      <w:bCs/>
      <w:sz w:val="24"/>
      <w:szCs w:val="24"/>
      <w:lang w:val="en-GB"/>
    </w:rPr>
  </w:style>
  <w:style w:type="character" w:customStyle="1" w:styleId="Heading2Char">
    <w:name w:val="Heading 2 Char"/>
    <w:basedOn w:val="DefaultParagraphFont"/>
    <w:link w:val="Heading2"/>
    <w:uiPriority w:val="9"/>
    <w:rsid w:val="003F663E"/>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320E5B"/>
    <w:rPr>
      <w:rFonts w:ascii="Times New Roman" w:eastAsiaTheme="majorEastAsia"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B04DC-0CDB-4AD5-8278-EC737E1D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dc:creator>
  <cp:lastModifiedBy>alba</cp:lastModifiedBy>
  <cp:revision>3</cp:revision>
  <dcterms:created xsi:type="dcterms:W3CDTF">2014-01-21T11:42:00Z</dcterms:created>
  <dcterms:modified xsi:type="dcterms:W3CDTF">2014-01-21T14:19:00Z</dcterms:modified>
</cp:coreProperties>
</file>