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Vessel presence in Two Rocks Marine Park assessed using passive acoustic monitoring</w:t>
      </w:r>
    </w:p>
    <w:p>
      <w:pPr>
        <w:pStyle w:val="Subtitle"/>
      </w:pPr>
      <w:r>
        <w:t xml:space="preserve">Report prepared by NOAA Northeast Fisheries Science Center for Parks Australia</w:t>
      </w:r>
    </w:p>
    <w:p>
      <w:pPr>
        <w:pStyle w:val="Author"/>
      </w:pPr>
      <w:r>
        <w:t xml:space="preserve">Rochelle Gordon</w:t>
      </w:r>
    </w:p>
    <w:p>
      <w:pPr>
        <w:pStyle w:val="Author"/>
      </w:pPr>
      <w:r>
        <w:t xml:space="preserve">Jessica A. McCordic</w:t>
      </w:r>
    </w:p>
    <w:p>
      <w:pPr>
        <w:pStyle w:val="Author"/>
      </w:pPr>
      <w:r>
        <w:t xml:space="preserve">Sofie M. Van Parijs</w:t>
      </w:r>
    </w:p>
    <w:p>
      <w:pPr>
        <w:pStyle w:val="Date"/>
      </w:pPr>
      <w:r>
        <w:t xml:space="preserve">2023-01-01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citation"/>
    <w:p>
      <w:pPr>
        <w:pStyle w:val="Heading1"/>
      </w:pPr>
      <w:r>
        <w:t xml:space="preserve">Citation</w:t>
      </w:r>
    </w:p>
    <w:p>
      <w:pPr>
        <w:pStyle w:val="FirstParagraph"/>
      </w:pPr>
      <w:r>
        <w:t xml:space="preserve">Gordon, R., McCordic, J. A., VanParjis, S. M., year. AMP Report. Northeast Fisheries Science Center.</w:t>
      </w:r>
    </w:p>
    <w:p>
      <w:r>
        <w:br w:type="page"/>
      </w:r>
    </w:p>
    <w:bookmarkEnd w:id="20"/>
    <w:bookmarkStart w:id="21" w:name="site-description-and-recording-effort"/>
    <w:p>
      <w:pPr>
        <w:pStyle w:val="Heading1"/>
      </w:pPr>
      <w:r>
        <w:t xml:space="preserve">1. Site description and recording effort</w:t>
      </w:r>
    </w:p>
    <w:p>
      <w:pPr>
        <w:pStyle w:val="FirstParagraph"/>
      </w:pPr>
      <w:r>
        <w:t xml:space="preserve">Two Rocks Marine Park is part of the South-west Regional Management Network of the</w:t>
      </w:r>
      <w:r>
        <w:t xml:space="preserve"> </w:t>
      </w:r>
      <w:r>
        <w:t xml:space="preserve">Australian Marine Parks system. The selected National Park Zone (NPZ) (swtwonpz02)</w:t>
      </w:r>
      <w:r>
        <w:t xml:space="preserve"> </w:t>
      </w:r>
      <w:r>
        <w:t xml:space="preserve">represents a relatively shallow coastal habitat with a bottom type primarily consisting of</w:t>
      </w:r>
      <w:r>
        <w:t xml:space="preserve"> </w:t>
      </w:r>
      <w:r>
        <w:t xml:space="preserve">calcareous sand and gravel (Lucieer et al. 2017). Recorders were deployed at two sites within the</w:t>
      </w:r>
      <w:r>
        <w:t xml:space="preserve"> </w:t>
      </w:r>
      <w:r>
        <w:t xml:space="preserve">NPZ—Two Rocks East (TRE) and Two Rocks West (TRW)—to maximize coverage of the</w:t>
      </w:r>
      <w:r>
        <w:t xml:space="preserve"> </w:t>
      </w:r>
      <w:r>
        <w:t xml:space="preserve">monitoring area (Table 1, Fig. 1).</w:t>
      </w:r>
    </w:p>
    <w:p>
      <w:r>
        <w:br w:type="page"/>
      </w:r>
    </w:p>
    <w:bookmarkEnd w:id="21"/>
    <w:bookmarkStart w:id="22" w:name="results"/>
    <w:p>
      <w:pPr>
        <w:pStyle w:val="Heading1"/>
      </w:pPr>
      <w:r>
        <w:t xml:space="preserve">2. Results</w:t>
      </w:r>
    </w:p>
    <w:p>
      <w:r>
        <w:br w:type="page"/>
      </w:r>
    </w:p>
    <w:bookmarkEnd w:id="22"/>
    <w:bookmarkStart w:id="24" w:name="references"/>
    <w:p>
      <w:pPr>
        <w:pStyle w:val="Heading1"/>
      </w:pPr>
      <w:r>
        <w:t xml:space="preserve">References</w:t>
      </w:r>
    </w:p>
    <w:bookmarkStart w:id="23" w:name="refs"/>
    <w:bookmarkEnd w:id="23"/>
    <w:bookmarkEnd w:id="24"/>
    <w:sectPr w:rsidR="007F13E6" w:rsidSect="00275A44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A9ECA" w14:textId="77777777" w:rsidR="00275A44" w:rsidRDefault="00275A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89367" w14:textId="77777777" w:rsidR="00275A44" w:rsidRDefault="00275A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C5048" w14:textId="77777777" w:rsidR="00275A44" w:rsidRDefault="00275A4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34BB2" w14:textId="6FDC04A4" w:rsidR="00275A44" w:rsidRDefault="00980117">
    <w:pPr>
      <w:pStyle w:val="Header"/>
    </w:pPr>
    <w:r>
      <w:rPr>
        <w:noProof/>
      </w:rPr>
      <w:pict w14:anchorId="66AB03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1" o:spid="_x0000_s2051" type="#_x0000_t136" alt="" style="position:absolute;margin-left:0;margin-top:0;width:494.9pt;height:164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86067" w14:textId="1C842DAF" w:rsidR="00275A44" w:rsidRDefault="00980117">
    <w:pPr>
      <w:pStyle w:val="Header"/>
    </w:pPr>
    <w:r>
      <w:rPr>
        <w:noProof/>
      </w:rPr>
      <w:pict w14:anchorId="15D949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2" o:spid="_x0000_s2050" type="#_x0000_t136" alt="" style="position:absolute;margin-left:0;margin-top:0;width:494.9pt;height:164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D421A" w14:textId="63347FC0" w:rsidR="00275A44" w:rsidRDefault="00980117">
    <w:pPr>
      <w:pStyle w:val="Header"/>
    </w:pPr>
    <w:r>
      <w:rPr>
        <w:noProof/>
      </w:rPr>
      <w:pict w14:anchorId="7015DD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0" o:spid="_x0000_s2049" type="#_x0000_t136" alt="" style="position:absolute;margin-left:0;margin-top:0;width:494.9pt;height:164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6AE2014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D4E8BB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761C69C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6382EAF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65C6E2F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BE0C511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C588AA8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BAFE589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F9A610D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6E6EE06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C73E373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AAA2B8E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71315DCA"/>
    <w:multiLevelType w:val="multilevel"/>
    <w:tmpl w:val="4920D9C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5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2" v:ext="edit"/>
    <o:shapelayout v:ext="edit">
      <o:idmap data="2" v:ext="edit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75A44"/>
    <w:rsid w:val="00312DF5"/>
    <w:rsid w:val="004E29B3"/>
    <w:rsid w:val="005001AA"/>
    <w:rsid w:val="00590D07"/>
    <w:rsid w:val="005A77D2"/>
    <w:rsid w:val="00784D58"/>
    <w:rsid w:val="007F13E6"/>
    <w:rsid w:val="008D6863"/>
    <w:rsid w:val="00980117"/>
    <w:rsid w:val="00B86B75"/>
    <w:rsid w:val="00BC48D5"/>
    <w:rsid w:val="00C36279"/>
    <w:rsid w:val="00E315A3"/>
    <w:rsid w:val="00FD547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2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0" w:defUnhideWhenUsed="0">
    <w:lsdException w:name="heading 5" w:qFormat="1" w:semiHidden="1" w:unhideWhenUsed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001AA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5001AA"/>
    <w:pPr>
      <w:pBdr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pBdr>
      <w:shd w:color="auto" w:fill="4F81BD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5001AA"/>
    <w:pPr>
      <w:pBdr>
        <w:top w:color="DBE5F1" w:space="0" w:sz="24" w:themeColor="accent1" w:themeTint="33" w:val="single"/>
        <w:left w:color="DBE5F1" w:space="0" w:sz="24" w:themeColor="accent1" w:themeTint="33" w:val="single"/>
        <w:bottom w:color="DBE5F1" w:space="0" w:sz="24" w:themeColor="accent1" w:themeTint="33" w:val="single"/>
        <w:right w:color="DBE5F1" w:space="0" w:sz="24" w:themeColor="accent1" w:themeTint="33" w:val="single"/>
      </w:pBdr>
      <w:shd w:color="auto" w:fill="DBE5F1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001AA"/>
    <w:pPr>
      <w:pBdr>
        <w:top w:color="4F81BD" w:space="2" w:sz="6" w:themeColor="accent1" w:val="single"/>
        <w:left w:color="4F81BD" w:space="2" w:sz="6" w:themeColor="accent1" w:val="single"/>
      </w:pBdr>
      <w:spacing w:after="0" w:before="300"/>
      <w:outlineLvl w:val="2"/>
    </w:pPr>
    <w:rPr>
      <w:caps/>
      <w:color w:themeColor="accent1" w:themeShade="7F" w:val="243F60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5001AA"/>
    <w:pPr>
      <w:pBdr>
        <w:top w:color="4F81BD" w:space="2" w:sz="6" w:themeColor="accent1" w:val="dotted"/>
        <w:left w:color="4F81BD" w:space="2" w:sz="6" w:themeColor="accent1" w:val="dotted"/>
      </w:pBdr>
      <w:spacing w:after="0" w:before="300"/>
      <w:outlineLvl w:val="3"/>
    </w:pPr>
    <w:rPr>
      <w:caps/>
      <w:color w:themeColor="accent1" w:themeShade="BF" w:val="365F91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001AA"/>
    <w:pPr>
      <w:pBdr>
        <w:bottom w:color="4F81BD" w:space="1" w:sz="6" w:themeColor="accent1" w:val="single"/>
      </w:pBdr>
      <w:spacing w:after="0" w:before="300"/>
      <w:outlineLvl w:val="4"/>
    </w:pPr>
    <w:rPr>
      <w:caps/>
      <w:color w:themeColor="accent1" w:themeShade="BF" w:val="365F91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5001AA"/>
    <w:pPr>
      <w:pBdr>
        <w:bottom w:color="4F81BD" w:space="1" w:sz="6" w:themeColor="accent1" w:val="dotted"/>
      </w:pBdr>
      <w:spacing w:after="0" w:before="300"/>
      <w:outlineLvl w:val="5"/>
    </w:pPr>
    <w:rPr>
      <w:caps/>
      <w:color w:themeColor="accent1" w:themeShade="BF" w:val="365F91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001AA"/>
    <w:pPr>
      <w:spacing w:after="0" w:before="300"/>
      <w:outlineLvl w:val="6"/>
    </w:pPr>
    <w:rPr>
      <w:caps/>
      <w:color w:themeColor="accent1" w:themeShade="BF" w:val="365F91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001AA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5001AA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5001AA"/>
    <w:pPr>
      <w:spacing w:before="720"/>
    </w:pPr>
    <w:rPr>
      <w:caps/>
      <w:color w:themeColor="accent1" w:val="4F81BD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5001AA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  <w:spacing w:after="300" w:before="300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5001AA"/>
    <w:rPr>
      <w:b/>
      <w:bCs/>
      <w:color w:themeColor="accent1" w:themeShade="BF" w:val="365F91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FD547C"/>
    <w:pPr>
      <w:jc w:val="center"/>
    </w:pPr>
    <w:rPr>
      <w:sz w:val="24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FD547C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accent1" w:themeShade="BF" w:val="365F91"/>
      <w:sz w:val="16"/>
      <w:szCs w:val="16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b/>
      <w:bCs/>
      <w:color w:themeColor="accent1" w:themeShade="BF" w:val="365F91"/>
      <w:sz w:val="22"/>
      <w:szCs w:val="16"/>
    </w:rPr>
  </w:style>
  <w:style w:customStyle="1" w:styleId="SectionNumber" w:type="character">
    <w:name w:val="Section Number"/>
    <w:basedOn w:val="CaptionChar"/>
    <w:rPr>
      <w:b/>
      <w:bCs/>
      <w:color w:themeColor="accent1" w:themeShade="BF" w:val="365F91"/>
      <w:sz w:val="16"/>
      <w:szCs w:val="16"/>
    </w:rPr>
  </w:style>
  <w:style w:styleId="FootnoteReference" w:type="character">
    <w:name w:val="footnote reference"/>
    <w:basedOn w:val="CaptionChar"/>
    <w:rPr>
      <w:b/>
      <w:bCs/>
      <w:color w:themeColor="accent1" w:themeShade="BF" w:val="365F91"/>
      <w:sz w:val="16"/>
      <w:szCs w:val="16"/>
      <w:vertAlign w:val="superscript"/>
    </w:rPr>
  </w:style>
  <w:style w:styleId="Hyperlink" w:type="character">
    <w:name w:val="Hyperlink"/>
    <w:basedOn w:val="CaptionChar"/>
    <w:rPr>
      <w:b/>
      <w:bCs/>
      <w:color w:themeColor="accent1" w:val="4F81BD"/>
      <w:sz w:val="16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5001AA"/>
    <w:pPr>
      <w:outlineLvl w:val="9"/>
    </w:p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b/>
      <w:bCs/>
      <w:color w:val="204A87"/>
      <w:sz w:val="22"/>
      <w:szCs w:val="16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b/>
      <w:bCs/>
      <w:color w:val="8F5902"/>
      <w:sz w:val="22"/>
      <w:szCs w:val="16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 w:val="0"/>
      <w:bCs/>
      <w:color w:val="CE5C00"/>
      <w:sz w:val="22"/>
      <w:szCs w:val="16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b/>
      <w:bCs/>
      <w:color w:val="C4A000"/>
      <w:sz w:val="22"/>
      <w:szCs w:val="16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b/>
      <w:bCs/>
      <w:color w:val="EF2929"/>
      <w:sz w:val="22"/>
      <w:szCs w:val="16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 w:val="0"/>
      <w:bCs/>
      <w:color w:val="A40000"/>
      <w:sz w:val="22"/>
      <w:szCs w:val="16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Heading1Char" w:type="character">
    <w:name w:val="Heading 1 Char"/>
    <w:basedOn w:val="DefaultParagraphFont"/>
    <w:link w:val="Heading1"/>
    <w:uiPriority w:val="9"/>
    <w:rsid w:val="005001AA"/>
    <w:rPr>
      <w:b/>
      <w:bCs/>
      <w:caps/>
      <w:color w:themeColor="background1" w:val="FFFFFF"/>
      <w:spacing w:val="15"/>
      <w:shd w:color="auto" w:fill="4F81BD" w:themeFill="accent1" w:val="clear"/>
    </w:rPr>
  </w:style>
  <w:style w:customStyle="1" w:styleId="Heading2Char" w:type="character">
    <w:name w:val="Heading 2 Char"/>
    <w:basedOn w:val="DefaultParagraphFont"/>
    <w:link w:val="Heading2"/>
    <w:uiPriority w:val="9"/>
    <w:rsid w:val="005001AA"/>
    <w:rPr>
      <w:caps/>
      <w:spacing w:val="15"/>
      <w:shd w:color="auto" w:fill="DBE5F1" w:themeFill="accent1" w:themeFillTint="33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5001AA"/>
    <w:rPr>
      <w:caps/>
      <w:color w:themeColor="accent1" w:themeShade="7F" w:val="243F60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rsid w:val="005001AA"/>
    <w:rPr>
      <w:caps/>
      <w:color w:themeColor="accent1" w:themeShade="BF" w:val="365F91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5001AA"/>
    <w:rPr>
      <w:caps/>
      <w:color w:themeColor="accent1" w:themeShade="BF" w:val="365F91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rsid w:val="005001AA"/>
    <w:rPr>
      <w:caps/>
      <w:color w:themeColor="accent1" w:themeShade="BF" w:val="365F91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rsid w:val="005001AA"/>
    <w:rPr>
      <w:caps/>
      <w:color w:themeColor="accent1" w:themeShade="BF" w:val="365F91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rsid w:val="005001AA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rsid w:val="005001AA"/>
    <w:rPr>
      <w:i/>
      <w:caps/>
      <w:spacing w:val="10"/>
      <w:sz w:val="18"/>
      <w:szCs w:val="18"/>
    </w:rPr>
  </w:style>
  <w:style w:customStyle="1" w:styleId="TitleChar" w:type="character">
    <w:name w:val="Title Char"/>
    <w:basedOn w:val="DefaultParagraphFont"/>
    <w:link w:val="Title"/>
    <w:uiPriority w:val="10"/>
    <w:rsid w:val="005001AA"/>
    <w:rPr>
      <w:caps/>
      <w:color w:themeColor="accent1" w:val="4F81BD"/>
      <w:spacing w:val="10"/>
      <w:kern w:val="28"/>
      <w:sz w:val="52"/>
      <w:szCs w:val="52"/>
    </w:rPr>
  </w:style>
  <w:style w:customStyle="1" w:styleId="SubtitleChar" w:type="character">
    <w:name w:val="Subtitle Char"/>
    <w:basedOn w:val="DefaultParagraphFont"/>
    <w:link w:val="Subtitle"/>
    <w:uiPriority w:val="11"/>
    <w:rsid w:val="005001AA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5001AA"/>
    <w:rPr>
      <w:b/>
      <w:bCs/>
    </w:rPr>
  </w:style>
  <w:style w:styleId="Emphasis" w:type="character">
    <w:name w:val="Emphasis"/>
    <w:uiPriority w:val="20"/>
    <w:qFormat/>
    <w:rsid w:val="005001AA"/>
    <w:rPr>
      <w:caps/>
      <w:color w:themeColor="accent1" w:themeShade="7F" w:val="243F60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5001AA"/>
    <w:pPr>
      <w:spacing w:after="0" w:before="0" w:line="240" w:lineRule="auto"/>
    </w:pPr>
  </w:style>
  <w:style w:customStyle="1" w:styleId="NoSpacingChar" w:type="character">
    <w:name w:val="No Spacing Char"/>
    <w:basedOn w:val="DefaultParagraphFont"/>
    <w:link w:val="NoSpacing"/>
    <w:uiPriority w:val="1"/>
    <w:rsid w:val="005001AA"/>
    <w:rPr>
      <w:sz w:val="20"/>
      <w:szCs w:val="20"/>
    </w:rPr>
  </w:style>
  <w:style w:styleId="ListParagraph" w:type="paragraph">
    <w:name w:val="List Paragraph"/>
    <w:basedOn w:val="Normal"/>
    <w:uiPriority w:val="34"/>
    <w:qFormat/>
    <w:rsid w:val="005001AA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5001AA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5001AA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001AA"/>
    <w:pPr>
      <w:pBdr>
        <w:top w:color="4F81BD" w:space="10" w:sz="4" w:themeColor="accent1" w:val="single"/>
        <w:left w:color="4F81BD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001AA"/>
    <w:rPr>
      <w:i/>
      <w:iCs/>
      <w:color w:themeColor="accent1" w:val="4F81BD"/>
      <w:sz w:val="20"/>
      <w:szCs w:val="20"/>
    </w:rPr>
  </w:style>
  <w:style w:styleId="SubtleEmphasis" w:type="character">
    <w:name w:val="Subtle Emphasis"/>
    <w:uiPriority w:val="19"/>
    <w:qFormat/>
    <w:rsid w:val="005001AA"/>
    <w:rPr>
      <w:i/>
      <w:iCs/>
      <w:color w:themeColor="accent1" w:themeShade="7F" w:val="243F60"/>
    </w:rPr>
  </w:style>
  <w:style w:styleId="IntenseEmphasis" w:type="character">
    <w:name w:val="Intense Emphasis"/>
    <w:uiPriority w:val="21"/>
    <w:qFormat/>
    <w:rsid w:val="005001AA"/>
    <w:rPr>
      <w:b/>
      <w:bCs/>
      <w:caps/>
      <w:color w:themeColor="accent1" w:themeShade="7F" w:val="243F60"/>
      <w:spacing w:val="10"/>
    </w:rPr>
  </w:style>
  <w:style w:styleId="SubtleReference" w:type="character">
    <w:name w:val="Subtle Reference"/>
    <w:uiPriority w:val="31"/>
    <w:qFormat/>
    <w:rsid w:val="005001AA"/>
    <w:rPr>
      <w:b/>
      <w:bCs/>
      <w:color w:themeColor="accent1" w:val="4F81BD"/>
    </w:rPr>
  </w:style>
  <w:style w:styleId="IntenseReference" w:type="character">
    <w:name w:val="Intense Reference"/>
    <w:uiPriority w:val="32"/>
    <w:qFormat/>
    <w:rsid w:val="005001AA"/>
    <w:rPr>
      <w:b/>
      <w:bCs/>
      <w:i/>
      <w:iCs/>
      <w:caps/>
      <w:color w:themeColor="accent1" w:val="4F81BD"/>
    </w:rPr>
  </w:style>
  <w:style w:styleId="BookTitle" w:type="character">
    <w:name w:val="Book Title"/>
    <w:uiPriority w:val="33"/>
    <w:qFormat/>
    <w:rsid w:val="005001AA"/>
    <w:rPr>
      <w:b/>
      <w:bCs/>
      <w:i/>
      <w:iCs/>
      <w:spacing w:val="9"/>
    </w:rPr>
  </w:style>
  <w:style w:styleId="Header" w:type="paragraph">
    <w:name w:val="header"/>
    <w:basedOn w:val="Normal"/>
    <w:link w:val="Head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FD547C"/>
    <w:rPr>
      <w:sz w:val="20"/>
      <w:szCs w:val="20"/>
    </w:rPr>
  </w:style>
  <w:style w:customStyle="1" w:styleId="HeaderChar" w:type="character">
    <w:name w:val="Header Char"/>
    <w:basedOn w:val="DefaultParagraphFont"/>
    <w:link w:val="Header"/>
    <w:rsid w:val="00275A44"/>
    <w:rPr>
      <w:sz w:val="20"/>
      <w:szCs w:val="20"/>
    </w:rPr>
  </w:style>
  <w:style w:styleId="Footer" w:type="paragraph">
    <w:name w:val="footer"/>
    <w:basedOn w:val="Normal"/>
    <w:link w:val="Foot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275A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9</Pages>
  <Words>1351</Words>
  <Characters>7705</Characters>
  <Application>Microsoft Office Word</Application>
  <DocSecurity>0</DocSecurity>
  <Lines>64</Lines>
  <Paragraphs>18</Paragraphs>
  <ScaleCrop>false</ScaleCrop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Vessel presence in Two Rocks Marine Park assessed using passive acoustic monitoring</dc:title>
  <dc:creator>Rochelle Gordon; Jessica A. McCordic; Sofie M. Van Parijs</dc:creator>
  <cp:keywords/>
  <dcterms:created xsi:type="dcterms:W3CDTF">2025-01-15T02:19:04Z</dcterms:created>
  <dcterms:modified xsi:type="dcterms:W3CDTF">2025-01-15T02:19:04Z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lways_allow_html">
    <vt:lpwstr>True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ook">
    <vt:lpwstr/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rossref">
    <vt:lpwstr/>
  </property>
  <property fmtid="{D5CDD505-2E9C-101B-9397-08002B2CF9AE}" pid="11" name="date">
    <vt:lpwstr>2023-01-01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subtitle">
    <vt:lpwstr>Report prepared by NOAA Northeast Fisheries Science Center for Parks Australia</vt:lpwstr>
  </property>
  <property fmtid="{D5CDD505-2E9C-101B-9397-08002B2CF9AE}" pid="17" name="template-partials">
    <vt:lpwstr/>
  </property>
  <property fmtid="{D5CDD505-2E9C-101B-9397-08002B2CF9AE}" pid="18" name="toc-title">
    <vt:lpwstr>Table of contents</vt:lpwstr>
  </property>
</Properties>
</file>