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C3988" w14:textId="2ADCF265" w:rsidR="00001B0B" w:rsidRDefault="00001B0B" w:rsidP="00001B0B">
      <w:pPr>
        <w:spacing w:before="100" w:beforeAutospacing="1" w:after="100" w:afterAutospacing="1" w:line="480" w:lineRule="auto"/>
        <w:rPr>
          <w:rFonts w:asciiTheme="minorHAnsi" w:eastAsiaTheme="majorEastAsia" w:hAnsiTheme="minorHAnsi"/>
          <w:b/>
          <w:bCs/>
        </w:rPr>
      </w:pPr>
      <w:bookmarkStart w:id="0" w:name="acknowledgements"/>
      <w:r>
        <w:rPr>
          <w:rFonts w:asciiTheme="minorHAnsi" w:eastAsiaTheme="majorEastAsia" w:hAnsiTheme="minorHAnsi"/>
          <w:b/>
          <w:bCs/>
        </w:rPr>
        <w:t>I</w:t>
      </w:r>
      <w:r w:rsidRPr="00440FD0">
        <w:rPr>
          <w:rFonts w:asciiTheme="minorHAnsi" w:eastAsiaTheme="majorEastAsia" w:hAnsiTheme="minorHAnsi"/>
          <w:b/>
          <w:bCs/>
        </w:rPr>
        <w:t>mprov</w:t>
      </w:r>
      <w:r>
        <w:rPr>
          <w:rFonts w:asciiTheme="minorHAnsi" w:eastAsiaTheme="majorEastAsia" w:hAnsiTheme="minorHAnsi"/>
          <w:b/>
          <w:bCs/>
        </w:rPr>
        <w:t xml:space="preserve">ing landings </w:t>
      </w:r>
      <w:r w:rsidR="006F456F">
        <w:rPr>
          <w:rFonts w:asciiTheme="minorHAnsi" w:eastAsiaTheme="majorEastAsia" w:hAnsiTheme="minorHAnsi"/>
          <w:b/>
          <w:bCs/>
        </w:rPr>
        <w:t xml:space="preserve">forecasts </w:t>
      </w:r>
      <w:r>
        <w:rPr>
          <w:rFonts w:asciiTheme="minorHAnsi" w:eastAsiaTheme="majorEastAsia" w:hAnsiTheme="minorHAnsi"/>
          <w:b/>
          <w:bCs/>
        </w:rPr>
        <w:t>using environmental covariates: a</w:t>
      </w:r>
      <w:r w:rsidR="006F456F">
        <w:rPr>
          <w:rFonts w:asciiTheme="minorHAnsi" w:eastAsiaTheme="majorEastAsia" w:hAnsiTheme="minorHAnsi"/>
          <w:b/>
          <w:bCs/>
        </w:rPr>
        <w:t xml:space="preserve"> case study on the </w:t>
      </w:r>
      <w:r w:rsidRPr="00440FD0">
        <w:rPr>
          <w:rFonts w:asciiTheme="minorHAnsi" w:eastAsiaTheme="majorEastAsia" w:hAnsiTheme="minorHAnsi"/>
          <w:b/>
          <w:bCs/>
        </w:rPr>
        <w:t>Indian oil sardine (</w:t>
      </w:r>
      <w:r w:rsidRPr="005F2B05">
        <w:rPr>
          <w:rFonts w:asciiTheme="minorHAnsi" w:eastAsiaTheme="majorEastAsia" w:hAnsiTheme="minorHAnsi"/>
          <w:b/>
          <w:bCs/>
          <w:i/>
          <w:iCs/>
        </w:rPr>
        <w:t xml:space="preserve">Sardinella </w:t>
      </w:r>
      <w:proofErr w:type="spellStart"/>
      <w:r w:rsidRPr="005F2B05">
        <w:rPr>
          <w:rFonts w:asciiTheme="minorHAnsi" w:eastAsiaTheme="majorEastAsia" w:hAnsiTheme="minorHAnsi"/>
          <w:b/>
          <w:bCs/>
          <w:i/>
          <w:iCs/>
        </w:rPr>
        <w:t>longiceps</w:t>
      </w:r>
      <w:proofErr w:type="spellEnd"/>
      <w:r w:rsidRPr="00440FD0">
        <w:rPr>
          <w:rFonts w:asciiTheme="minorHAnsi" w:eastAsiaTheme="majorEastAsia" w:hAnsiTheme="minorHAnsi"/>
          <w:b/>
          <w:bCs/>
        </w:rPr>
        <w:t xml:space="preserve">) </w:t>
      </w:r>
    </w:p>
    <w:p w14:paraId="210EBCCB" w14:textId="6DCAC8AA" w:rsidR="004274D6" w:rsidRPr="00440FD0" w:rsidRDefault="004274D6" w:rsidP="00440FD0">
      <w:pPr>
        <w:spacing w:before="100" w:beforeAutospacing="1" w:after="100" w:afterAutospacing="1" w:line="480" w:lineRule="auto"/>
        <w:rPr>
          <w:rFonts w:asciiTheme="minorHAnsi" w:eastAsiaTheme="majorEastAsia" w:hAnsiTheme="minorHAnsi"/>
          <w:b/>
          <w:bCs/>
        </w:rPr>
      </w:pPr>
      <w:r w:rsidRPr="00A40966">
        <w:rPr>
          <w:rFonts w:ascii="NimbusRomNo9L" w:hAnsi="NimbusRomNo9L"/>
        </w:rPr>
        <w:t>Eli</w:t>
      </w:r>
      <w:r w:rsidR="002851B3">
        <w:rPr>
          <w:rFonts w:ascii="NimbusRomNo9L" w:hAnsi="NimbusRomNo9L"/>
        </w:rPr>
        <w:t>zabeth</w:t>
      </w:r>
      <w:r w:rsidRPr="00A40966">
        <w:rPr>
          <w:rFonts w:ascii="NimbusRomNo9L" w:hAnsi="NimbusRomNo9L"/>
        </w:rPr>
        <w:t xml:space="preserve"> E</w:t>
      </w:r>
      <w:r w:rsidR="00CD29C6">
        <w:rPr>
          <w:rFonts w:ascii="NimbusRomNo9L" w:hAnsi="NimbusRomNo9L"/>
        </w:rPr>
        <w:t>li</w:t>
      </w:r>
      <w:r w:rsidRPr="00A40966">
        <w:rPr>
          <w:rFonts w:ascii="NimbusRomNo9L" w:hAnsi="NimbusRomNo9L"/>
        </w:rPr>
        <w:t xml:space="preserve"> Holmes</w:t>
      </w:r>
      <w:r w:rsidRPr="00A40966">
        <w:rPr>
          <w:rFonts w:ascii="NimbusRomNo9L" w:hAnsi="NimbusRomNo9L"/>
          <w:position w:val="10"/>
        </w:rPr>
        <w:t>1</w:t>
      </w:r>
      <w:r w:rsidRPr="00A40966">
        <w:rPr>
          <w:rFonts w:ascii="NimbusRomNo9L" w:hAnsi="NimbusRomNo9L"/>
        </w:rPr>
        <w:t>, Smitha BR</w:t>
      </w:r>
      <w:r w:rsidRPr="00A40966">
        <w:rPr>
          <w:rFonts w:ascii="NimbusRomNo9L" w:hAnsi="NimbusRomNo9L"/>
          <w:position w:val="10"/>
        </w:rPr>
        <w:t>2</w:t>
      </w:r>
      <w:r w:rsidRPr="00A40966">
        <w:rPr>
          <w:rFonts w:ascii="NimbusRomNo9L" w:hAnsi="NimbusRomNo9L"/>
        </w:rPr>
        <w:t>, Kumar</w:t>
      </w:r>
      <w:r w:rsidR="00D203F4">
        <w:rPr>
          <w:rFonts w:ascii="NimbusRomNo9L" w:hAnsi="NimbusRomNo9L"/>
        </w:rPr>
        <w:t xml:space="preserve"> </w:t>
      </w:r>
      <w:proofErr w:type="spellStart"/>
      <w:r w:rsidR="00D203F4">
        <w:rPr>
          <w:rFonts w:ascii="NimbusRomNo9L" w:hAnsi="NimbusRomNo9L"/>
        </w:rPr>
        <w:t>Nimit</w:t>
      </w:r>
      <w:proofErr w:type="spellEnd"/>
      <w:r w:rsidRPr="00A40966">
        <w:rPr>
          <w:rFonts w:ascii="NimbusRomNo9L" w:hAnsi="NimbusRomNo9L"/>
          <w:position w:val="10"/>
        </w:rPr>
        <w:t>3</w:t>
      </w:r>
      <w:r w:rsidRPr="00A40966">
        <w:rPr>
          <w:rFonts w:ascii="NimbusRomNo9L" w:hAnsi="NimbusRomNo9L"/>
        </w:rPr>
        <w:t xml:space="preserve">, Sourav </w:t>
      </w:r>
      <w:proofErr w:type="spellStart"/>
      <w:r w:rsidRPr="00A40966">
        <w:rPr>
          <w:rFonts w:ascii="NimbusRomNo9L" w:hAnsi="NimbusRomNo9L"/>
        </w:rPr>
        <w:t>Maity</w:t>
      </w:r>
      <w:proofErr w:type="spellEnd"/>
      <w:r w:rsidRPr="00A40966">
        <w:rPr>
          <w:rFonts w:ascii="NimbusRomNo9L" w:hAnsi="NimbusRomNo9L"/>
          <w:position w:val="10"/>
        </w:rPr>
        <w:t>3</w:t>
      </w:r>
      <w:r w:rsidRPr="00A40966">
        <w:rPr>
          <w:rFonts w:ascii="NimbusRomNo9L" w:hAnsi="NimbusRomNo9L"/>
        </w:rPr>
        <w:t>, David M. Checkley, Jr.</w:t>
      </w:r>
      <w:r w:rsidRPr="00A40966">
        <w:rPr>
          <w:rFonts w:ascii="NimbusRomNo9L" w:hAnsi="NimbusRomNo9L"/>
          <w:position w:val="10"/>
        </w:rPr>
        <w:t>4</w:t>
      </w:r>
      <w:r w:rsidRPr="00A40966">
        <w:rPr>
          <w:rFonts w:ascii="NimbusRomNo9L" w:hAnsi="NimbusRomNo9L"/>
        </w:rPr>
        <w:t>, Mark L. Wells</w:t>
      </w:r>
      <w:r w:rsidRPr="00A40966">
        <w:rPr>
          <w:rFonts w:ascii="NimbusRomNo9L" w:hAnsi="NimbusRomNo9L"/>
          <w:position w:val="10"/>
        </w:rPr>
        <w:t>5</w:t>
      </w:r>
      <w:r w:rsidRPr="00A40966">
        <w:rPr>
          <w:rFonts w:ascii="NimbusRomNo9L" w:hAnsi="NimbusRomNo9L"/>
        </w:rPr>
        <w:t>, Vera L. Trainer</w:t>
      </w:r>
      <w:r w:rsidRPr="00A40966">
        <w:rPr>
          <w:rFonts w:ascii="NimbusRomNo9L" w:hAnsi="NimbusRomNo9L"/>
          <w:position w:val="10"/>
        </w:rPr>
        <w:t xml:space="preserve">1 </w:t>
      </w:r>
    </w:p>
    <w:p w14:paraId="7F403A46" w14:textId="052D73F1" w:rsidR="001F42A5" w:rsidRPr="004274D6" w:rsidRDefault="004274D6" w:rsidP="00F669B6">
      <w:pPr>
        <w:spacing w:line="360" w:lineRule="auto"/>
      </w:pPr>
      <w:r w:rsidRPr="004274D6">
        <w:rPr>
          <w:rFonts w:ascii="NimbusRomNo9L" w:hAnsi="NimbusRomNo9L"/>
        </w:rPr>
        <w:t xml:space="preserve">1. Northwest Fisheries Science Center, </w:t>
      </w:r>
      <w:r w:rsidR="00E2762F">
        <w:rPr>
          <w:rFonts w:ascii="NimbusRomNo9L" w:hAnsi="NimbusRomNo9L"/>
        </w:rPr>
        <w:t xml:space="preserve">National Marine Fisheries Service, </w:t>
      </w:r>
      <w:r w:rsidRPr="004274D6">
        <w:rPr>
          <w:rFonts w:ascii="NimbusRomNo9L" w:hAnsi="NimbusRomNo9L"/>
        </w:rPr>
        <w:t>NOAA, Seattle, WA</w:t>
      </w:r>
      <w:r w:rsidR="00477AB5">
        <w:rPr>
          <w:rFonts w:ascii="NimbusRomNo9L" w:hAnsi="NimbusRomNo9L"/>
        </w:rPr>
        <w:t>, USA.</w:t>
      </w:r>
    </w:p>
    <w:p w14:paraId="7A3E554C" w14:textId="1A320BD2" w:rsidR="004274D6" w:rsidRPr="004274D6" w:rsidRDefault="004274D6" w:rsidP="00F669B6">
      <w:pPr>
        <w:spacing w:line="360" w:lineRule="auto"/>
      </w:pPr>
      <w:r w:rsidRPr="004274D6">
        <w:rPr>
          <w:rFonts w:ascii="NimbusRomNo9L" w:hAnsi="NimbusRomNo9L"/>
        </w:rPr>
        <w:t xml:space="preserve">2. Centre for Marine Living Resources and Ecology, </w:t>
      </w:r>
      <w:r w:rsidR="00D203F4" w:rsidRPr="00D203F4">
        <w:rPr>
          <w:rFonts w:ascii="NimbusRomNo9L" w:hAnsi="NimbusRomNo9L"/>
        </w:rPr>
        <w:t>Ministry of Earth Sciences</w:t>
      </w:r>
      <w:r w:rsidRPr="004274D6">
        <w:rPr>
          <w:rFonts w:ascii="NimbusRomNo9L" w:hAnsi="NimbusRomNo9L"/>
        </w:rPr>
        <w:t xml:space="preserve">, Kochi, India. </w:t>
      </w:r>
    </w:p>
    <w:p w14:paraId="445B427D" w14:textId="749111B4" w:rsidR="004274D6" w:rsidRPr="004274D6" w:rsidRDefault="004274D6" w:rsidP="00F669B6">
      <w:pPr>
        <w:spacing w:line="360" w:lineRule="auto"/>
      </w:pPr>
      <w:r w:rsidRPr="004274D6">
        <w:rPr>
          <w:rFonts w:ascii="NimbusRomNo9L" w:hAnsi="NimbusRomNo9L"/>
        </w:rPr>
        <w:t xml:space="preserve">3. Indian National Centre for Ocean Information Services, </w:t>
      </w:r>
      <w:r w:rsidR="00D203F4" w:rsidRPr="00D203F4">
        <w:rPr>
          <w:rFonts w:ascii="NimbusRomNo9L" w:hAnsi="NimbusRomNo9L"/>
        </w:rPr>
        <w:t>Ministry of Earth Sciences</w:t>
      </w:r>
      <w:r w:rsidR="00D203F4">
        <w:rPr>
          <w:rFonts w:ascii="NimbusRomNo9L" w:hAnsi="NimbusRomNo9L"/>
        </w:rPr>
        <w:t xml:space="preserve">, </w:t>
      </w:r>
      <w:r w:rsidRPr="004274D6">
        <w:rPr>
          <w:rFonts w:ascii="NimbusRomNo9L" w:hAnsi="NimbusRomNo9L"/>
        </w:rPr>
        <w:t xml:space="preserve">Hyderabad, India. </w:t>
      </w:r>
    </w:p>
    <w:p w14:paraId="7C12953D" w14:textId="5646EB26" w:rsidR="004274D6" w:rsidRPr="004274D6" w:rsidRDefault="004274D6" w:rsidP="00F669B6">
      <w:pPr>
        <w:spacing w:line="360" w:lineRule="auto"/>
      </w:pPr>
      <w:r w:rsidRPr="004274D6">
        <w:rPr>
          <w:rFonts w:ascii="NimbusRomNo9L" w:hAnsi="NimbusRomNo9L"/>
        </w:rPr>
        <w:t>4. Scripps Institution of Oceanography, U</w:t>
      </w:r>
      <w:r w:rsidR="00D203F4">
        <w:rPr>
          <w:rFonts w:ascii="NimbusRomNo9L" w:hAnsi="NimbusRomNo9L"/>
        </w:rPr>
        <w:t>niversity of California</w:t>
      </w:r>
      <w:r w:rsidRPr="004274D6">
        <w:rPr>
          <w:rFonts w:ascii="NimbusRomNo9L" w:hAnsi="NimbusRomNo9L"/>
        </w:rPr>
        <w:t xml:space="preserve"> San Diego, CA</w:t>
      </w:r>
      <w:r w:rsidR="00477AB5">
        <w:rPr>
          <w:rFonts w:ascii="NimbusRomNo9L" w:hAnsi="NimbusRomNo9L"/>
        </w:rPr>
        <w:t>, USA.</w:t>
      </w:r>
    </w:p>
    <w:p w14:paraId="6FF45193" w14:textId="5F4B225D" w:rsidR="004274D6" w:rsidRPr="004274D6" w:rsidRDefault="004274D6" w:rsidP="00F669B6">
      <w:pPr>
        <w:spacing w:line="360" w:lineRule="auto"/>
      </w:pPr>
      <w:r w:rsidRPr="004274D6">
        <w:rPr>
          <w:rFonts w:ascii="NimbusRomNo9L" w:hAnsi="NimbusRomNo9L"/>
        </w:rPr>
        <w:t>5. School of Marine Sciences, University of Maine, Orono, ME</w:t>
      </w:r>
      <w:r w:rsidR="00477AB5">
        <w:rPr>
          <w:rFonts w:ascii="NimbusRomNo9L" w:hAnsi="NimbusRomNo9L"/>
        </w:rPr>
        <w:t>, USA.</w:t>
      </w:r>
    </w:p>
    <w:p w14:paraId="4D38571F" w14:textId="4F4FB357" w:rsidR="004274D6" w:rsidRDefault="004274D6" w:rsidP="004274D6">
      <w:pPr>
        <w:spacing w:before="100" w:beforeAutospacing="1" w:after="100" w:afterAutospacing="1"/>
        <w:rPr>
          <w:rFonts w:ascii="LMSans8" w:hAnsi="LMSans8"/>
          <w:sz w:val="12"/>
          <w:szCs w:val="12"/>
        </w:rPr>
      </w:pPr>
    </w:p>
    <w:p w14:paraId="3B930BAB" w14:textId="5AA86389" w:rsidR="001F42A5" w:rsidRPr="00CA5105" w:rsidRDefault="00DD79C4" w:rsidP="00F669B6">
      <w:pPr>
        <w:spacing w:line="480" w:lineRule="auto"/>
        <w:contextualSpacing/>
      </w:pPr>
      <w:r>
        <w:rPr>
          <w:rFonts w:ascii="NimbusRomNo9L" w:hAnsi="NimbusRomNo9L"/>
          <w:b/>
        </w:rPr>
        <w:t>Corresponding author</w:t>
      </w:r>
      <w:r w:rsidRPr="004274D6">
        <w:rPr>
          <w:rFonts w:ascii="NimbusRomNo9L" w:hAnsi="NimbusRomNo9L"/>
        </w:rPr>
        <w:t xml:space="preserve">: </w:t>
      </w:r>
      <w:r w:rsidRPr="00CA5105">
        <w:t>Eli</w:t>
      </w:r>
      <w:r w:rsidR="00394202">
        <w:t>zabeth Eli</w:t>
      </w:r>
      <w:r w:rsidRPr="00CA5105">
        <w:t xml:space="preserve"> Holmes, </w:t>
      </w:r>
      <w:r w:rsidR="0090226C">
        <w:t xml:space="preserve">PhD. </w:t>
      </w:r>
      <w:r w:rsidR="00CA5105">
        <w:t xml:space="preserve">Northwest Fisheries Science Center, </w:t>
      </w:r>
      <w:r w:rsidR="00C33E60" w:rsidRPr="00CA5105">
        <w:rPr>
          <w:color w:val="222222"/>
          <w:shd w:val="clear" w:color="auto" w:fill="FFFFFF"/>
        </w:rPr>
        <w:t>2725 Montlake Blvd E, Seattle, WA 98112</w:t>
      </w:r>
      <w:r w:rsidR="00AF0E28" w:rsidRPr="00CA5105">
        <w:rPr>
          <w:color w:val="222222"/>
          <w:shd w:val="clear" w:color="auto" w:fill="FFFFFF"/>
        </w:rPr>
        <w:t xml:space="preserve"> USA, +1-206-419-6164, </w:t>
      </w:r>
      <w:r w:rsidRPr="00CA5105">
        <w:t xml:space="preserve">eli.holmes@noaa.gov </w:t>
      </w:r>
    </w:p>
    <w:p w14:paraId="09088ACE" w14:textId="6F39133F" w:rsidR="001F42A5" w:rsidRPr="004274D6" w:rsidRDefault="004274D6" w:rsidP="00F669B6">
      <w:pPr>
        <w:spacing w:line="480" w:lineRule="auto"/>
        <w:contextualSpacing/>
      </w:pPr>
      <w:r w:rsidRPr="004274D6">
        <w:rPr>
          <w:rFonts w:ascii="NimbusRomNo9L" w:hAnsi="NimbusRomNo9L"/>
          <w:b/>
        </w:rPr>
        <w:t>Running title</w:t>
      </w:r>
      <w:r w:rsidRPr="004274D6">
        <w:rPr>
          <w:rFonts w:ascii="NimbusRomNo9L" w:hAnsi="NimbusRomNo9L"/>
        </w:rPr>
        <w:t xml:space="preserve">: </w:t>
      </w:r>
      <w:r w:rsidR="00E924F3" w:rsidRPr="00E924F3">
        <w:rPr>
          <w:rFonts w:ascii="NimbusRomNo9L" w:hAnsi="NimbusRomNo9L"/>
        </w:rPr>
        <w:t>Improving landings forecasts with covariates</w:t>
      </w:r>
    </w:p>
    <w:p w14:paraId="1C511733" w14:textId="526EAA6A" w:rsidR="001F42A5" w:rsidRDefault="001F42A5" w:rsidP="00F669B6">
      <w:pPr>
        <w:spacing w:line="480" w:lineRule="auto"/>
        <w:contextualSpacing/>
        <w:rPr>
          <w:rFonts w:ascii="NimbusRomNo9L" w:hAnsi="NimbusRomNo9L"/>
        </w:rPr>
      </w:pPr>
      <w:r>
        <w:rPr>
          <w:rFonts w:ascii="NimbusRomNo9L" w:hAnsi="NimbusRomNo9L"/>
          <w:b/>
        </w:rPr>
        <w:t>K</w:t>
      </w:r>
      <w:r w:rsidR="004274D6" w:rsidRPr="004274D6">
        <w:rPr>
          <w:rFonts w:ascii="NimbusRomNo9L" w:hAnsi="NimbusRomNo9L"/>
          <w:b/>
        </w:rPr>
        <w:t>eywords:</w:t>
      </w:r>
      <w:r w:rsidR="004274D6" w:rsidRPr="004274D6">
        <w:rPr>
          <w:rFonts w:ascii="NimbusRomNo9L" w:hAnsi="NimbusRomNo9L"/>
        </w:rPr>
        <w:t xml:space="preserve"> Indian oil sardine, catch prediction, GAM modeling, dynamic linear modeling, climate, sea surface temperature, remote sensing, Southeast Arabian Sea</w:t>
      </w:r>
      <w:r w:rsidR="00FD6CC1">
        <w:rPr>
          <w:rFonts w:ascii="NimbusRomNo9L" w:hAnsi="NimbusRomNo9L"/>
        </w:rPr>
        <w:t xml:space="preserve">, </w:t>
      </w:r>
      <w:r w:rsidR="00FD6CC1">
        <w:t>Multidecadal Oscillation</w:t>
      </w:r>
    </w:p>
    <w:p w14:paraId="2774EBF5" w14:textId="3D2B59D7" w:rsidR="005B529D" w:rsidRDefault="00AF0E28" w:rsidP="00F669B6">
      <w:pPr>
        <w:spacing w:line="480" w:lineRule="auto"/>
        <w:contextualSpacing/>
        <w:sectPr w:rsidR="005B529D">
          <w:pgSz w:w="12240" w:h="15840"/>
          <w:pgMar w:top="1440" w:right="1440" w:bottom="1440" w:left="1440" w:header="720" w:footer="720" w:gutter="0"/>
          <w:cols w:space="720"/>
        </w:sectPr>
      </w:pPr>
      <w:r>
        <w:rPr>
          <w:rFonts w:ascii="NimbusRomNo9L" w:hAnsi="NimbusRomNo9L"/>
          <w:b/>
        </w:rPr>
        <w:t>Author Contributions</w:t>
      </w:r>
      <w:r w:rsidRPr="004274D6">
        <w:rPr>
          <w:rFonts w:ascii="NimbusRomNo9L" w:hAnsi="NimbusRomNo9L"/>
          <w:b/>
        </w:rPr>
        <w:t>:</w:t>
      </w:r>
      <w:r w:rsidRPr="004274D6">
        <w:rPr>
          <w:rFonts w:ascii="NimbusRomNo9L" w:hAnsi="NimbusRomNo9L"/>
        </w:rPr>
        <w:t xml:space="preserve"> </w:t>
      </w:r>
      <w:r w:rsidR="000B1F56">
        <w:rPr>
          <w:rFonts w:ascii="NimbusRomNo9L" w:hAnsi="NimbusRomNo9L"/>
        </w:rPr>
        <w:t xml:space="preserve">All authors were involved in the conceptualization and writing – review and editing. Individual authors had these additional roles. </w:t>
      </w:r>
      <w:r>
        <w:rPr>
          <w:rFonts w:ascii="NimbusRomNo9L" w:hAnsi="NimbusRomNo9L"/>
        </w:rPr>
        <w:t>Eli</w:t>
      </w:r>
      <w:r w:rsidR="00394202">
        <w:rPr>
          <w:rFonts w:ascii="NimbusRomNo9L" w:hAnsi="NimbusRomNo9L"/>
        </w:rPr>
        <w:t>zabeth</w:t>
      </w:r>
      <w:r>
        <w:rPr>
          <w:rFonts w:ascii="NimbusRomNo9L" w:hAnsi="NimbusRomNo9L"/>
        </w:rPr>
        <w:t xml:space="preserve"> Holmes: </w:t>
      </w:r>
      <w:r w:rsidR="000B1F56">
        <w:rPr>
          <w:rFonts w:ascii="NimbusRomNo9L" w:hAnsi="NimbusRomNo9L"/>
        </w:rPr>
        <w:t>D</w:t>
      </w:r>
      <w:r>
        <w:rPr>
          <w:rFonts w:ascii="NimbusRomNo9L" w:hAnsi="NimbusRomNo9L"/>
        </w:rPr>
        <w:t xml:space="preserve">ata curation, methodology, formal analysis, software, </w:t>
      </w:r>
      <w:r w:rsidR="000B1F56">
        <w:rPr>
          <w:rFonts w:ascii="NimbusRomNo9L" w:hAnsi="NimbusRomNo9L"/>
        </w:rPr>
        <w:t xml:space="preserve">and </w:t>
      </w:r>
      <w:r>
        <w:rPr>
          <w:rFonts w:ascii="NimbusRomNo9L" w:hAnsi="NimbusRomNo9L"/>
        </w:rPr>
        <w:t xml:space="preserve">writing – original draft. Smitha BR: </w:t>
      </w:r>
      <w:r w:rsidR="000B1F56">
        <w:rPr>
          <w:rFonts w:ascii="NimbusRomNo9L" w:hAnsi="NimbusRomNo9L"/>
        </w:rPr>
        <w:t>W</w:t>
      </w:r>
      <w:r>
        <w:rPr>
          <w:rFonts w:ascii="NimbusRomNo9L" w:hAnsi="NimbusRomNo9L"/>
        </w:rPr>
        <w:t>riting – original draft. Kumar</w:t>
      </w:r>
      <w:r w:rsidR="00D203F4">
        <w:rPr>
          <w:rFonts w:ascii="NimbusRomNo9L" w:hAnsi="NimbusRomNo9L"/>
        </w:rPr>
        <w:t xml:space="preserve"> </w:t>
      </w:r>
      <w:proofErr w:type="spellStart"/>
      <w:r w:rsidR="00D203F4">
        <w:rPr>
          <w:rFonts w:ascii="NimbusRomNo9L" w:hAnsi="NimbusRomNo9L"/>
        </w:rPr>
        <w:t>Nimit</w:t>
      </w:r>
      <w:proofErr w:type="spellEnd"/>
      <w:r>
        <w:rPr>
          <w:rFonts w:ascii="NimbusRomNo9L" w:hAnsi="NimbusRomNo9L"/>
        </w:rPr>
        <w:t xml:space="preserve">: </w:t>
      </w:r>
      <w:r w:rsidR="000B1F56">
        <w:rPr>
          <w:rFonts w:ascii="NimbusRomNo9L" w:hAnsi="NimbusRomNo9L"/>
        </w:rPr>
        <w:t>D</w:t>
      </w:r>
      <w:r>
        <w:rPr>
          <w:rFonts w:ascii="NimbusRomNo9L" w:hAnsi="NimbusRomNo9L"/>
        </w:rPr>
        <w:t>ata curation</w:t>
      </w:r>
      <w:r w:rsidR="000B1F56">
        <w:rPr>
          <w:rFonts w:ascii="NimbusRomNo9L" w:hAnsi="NimbusRomNo9L"/>
        </w:rPr>
        <w:t xml:space="preserve"> and </w:t>
      </w:r>
      <w:r>
        <w:rPr>
          <w:rFonts w:ascii="NimbusRomNo9L" w:hAnsi="NimbusRomNo9L"/>
        </w:rPr>
        <w:t xml:space="preserve">writing – original draft. Sourav </w:t>
      </w:r>
      <w:proofErr w:type="spellStart"/>
      <w:r>
        <w:rPr>
          <w:rFonts w:ascii="NimbusRomNo9L" w:hAnsi="NimbusRomNo9L"/>
        </w:rPr>
        <w:lastRenderedPageBreak/>
        <w:t>Maity</w:t>
      </w:r>
      <w:proofErr w:type="spellEnd"/>
      <w:r>
        <w:rPr>
          <w:rFonts w:ascii="NimbusRomNo9L" w:hAnsi="NimbusRomNo9L"/>
        </w:rPr>
        <w:t xml:space="preserve">: </w:t>
      </w:r>
      <w:r w:rsidR="000B1F56">
        <w:rPr>
          <w:rFonts w:ascii="NimbusRomNo9L" w:hAnsi="NimbusRomNo9L"/>
        </w:rPr>
        <w:t>V</w:t>
      </w:r>
      <w:r>
        <w:rPr>
          <w:rFonts w:ascii="NimbusRomNo9L" w:hAnsi="NimbusRomNo9L"/>
        </w:rPr>
        <w:t>isualization. David Checkley</w:t>
      </w:r>
      <w:r w:rsidR="000B1F56">
        <w:rPr>
          <w:rFonts w:ascii="NimbusRomNo9L" w:hAnsi="NimbusRomNo9L"/>
        </w:rPr>
        <w:t xml:space="preserve"> and Mark Wells: M</w:t>
      </w:r>
      <w:r>
        <w:rPr>
          <w:rFonts w:ascii="NimbusRomNo9L" w:hAnsi="NimbusRomNo9L"/>
        </w:rPr>
        <w:t>ethodology</w:t>
      </w:r>
      <w:r w:rsidR="00FD6CC1">
        <w:rPr>
          <w:rFonts w:ascii="NimbusRomNo9L" w:hAnsi="NimbusRomNo9L"/>
        </w:rPr>
        <w:t>, writing – revisions and review</w:t>
      </w:r>
      <w:r w:rsidR="000B1F56">
        <w:rPr>
          <w:rFonts w:ascii="NimbusRomNo9L" w:hAnsi="NimbusRomNo9L"/>
        </w:rPr>
        <w:t xml:space="preserve">. </w:t>
      </w:r>
      <w:r>
        <w:rPr>
          <w:rFonts w:ascii="NimbusRomNo9L" w:hAnsi="NimbusRomNo9L"/>
        </w:rPr>
        <w:t xml:space="preserve">Vera Trainer: </w:t>
      </w:r>
      <w:r w:rsidR="000B1F56">
        <w:rPr>
          <w:rFonts w:ascii="NimbusRomNo9L" w:hAnsi="NimbusRomNo9L"/>
        </w:rPr>
        <w:t>F</w:t>
      </w:r>
      <w:r w:rsidR="001F42A5">
        <w:rPr>
          <w:rFonts w:ascii="NimbusRomNo9L" w:hAnsi="NimbusRomNo9L"/>
        </w:rPr>
        <w:t>unding acquisition</w:t>
      </w:r>
      <w:r w:rsidR="000B1F56">
        <w:rPr>
          <w:rFonts w:ascii="NimbusRomNo9L" w:hAnsi="NimbusRomNo9L"/>
        </w:rPr>
        <w:t xml:space="preserve"> and</w:t>
      </w:r>
      <w:r w:rsidR="001F42A5">
        <w:rPr>
          <w:rFonts w:ascii="NimbusRomNo9L" w:hAnsi="NimbusRomNo9L"/>
        </w:rPr>
        <w:t xml:space="preserve"> project supervision</w:t>
      </w:r>
      <w:r>
        <w:rPr>
          <w:rFonts w:ascii="NimbusRomNo9L" w:hAnsi="NimbusRomNo9L"/>
        </w:rPr>
        <w:t>.</w:t>
      </w:r>
    </w:p>
    <w:bookmarkEnd w:id="0"/>
    <w:p w14:paraId="5F3D8BF6" w14:textId="6D1C77E9" w:rsidR="004274D6" w:rsidRPr="004274D6" w:rsidRDefault="004274D6" w:rsidP="004274D6">
      <w:pPr>
        <w:spacing w:before="100" w:beforeAutospacing="1" w:after="100" w:afterAutospacing="1" w:line="480" w:lineRule="auto"/>
        <w:rPr>
          <w:rFonts w:cstheme="majorHAnsi"/>
          <w:b/>
        </w:rPr>
      </w:pPr>
      <w:r>
        <w:rPr>
          <w:rFonts w:cstheme="majorHAnsi"/>
          <w:b/>
        </w:rPr>
        <w:lastRenderedPageBreak/>
        <w:t>ACKNOWLEDGEMENTS</w:t>
      </w:r>
    </w:p>
    <w:p w14:paraId="74F203AC" w14:textId="5927500A" w:rsidR="004274D6" w:rsidRPr="00CA03BD" w:rsidRDefault="004274D6" w:rsidP="00CA03BD">
      <w:pPr>
        <w:spacing w:before="100" w:beforeAutospacing="1" w:after="100" w:afterAutospacing="1" w:line="480" w:lineRule="auto"/>
        <w:rPr>
          <w:rFonts w:ascii="NimbusRomNo9L" w:hAnsi="NimbusRomNo9L"/>
        </w:rPr>
      </w:pPr>
      <w:r w:rsidRPr="004274D6">
        <w:rPr>
          <w:rFonts w:ascii="NimbusRomNo9L" w:hAnsi="NimbusRomNo9L"/>
        </w:rPr>
        <w:t xml:space="preserve">We thank the U.S. National Marine Fisheries Service and the Indian Ministry of Earth Sciences for support of the joint U.S.-Indian research project: “Collaboration on the Development of a Fisheries and Harmful Algal Bloom and Monitoring and Prediction System in Indian Seas” which jointly provided the financial support for the research visits. The visits took place at the Indian National Centre for Ocean Information Services (INCOIS) and Centre for Marine Living Resources and Ecology (CMLRE). We thank these institutes for their support. </w:t>
      </w:r>
      <w:r w:rsidR="00CA03BD" w:rsidRPr="00CA03BD">
        <w:rPr>
          <w:rFonts w:ascii="NimbusRomNo9L" w:hAnsi="NimbusRomNo9L"/>
        </w:rPr>
        <w:t xml:space="preserve">We </w:t>
      </w:r>
      <w:r w:rsidR="00247F1E">
        <w:rPr>
          <w:rFonts w:ascii="NimbusRomNo9L" w:hAnsi="NimbusRomNo9L"/>
        </w:rPr>
        <w:t xml:space="preserve">would </w:t>
      </w:r>
      <w:r w:rsidR="00CA03BD">
        <w:rPr>
          <w:rFonts w:ascii="NimbusRomNo9L" w:hAnsi="NimbusRomNo9L"/>
        </w:rPr>
        <w:t xml:space="preserve">like to specifically </w:t>
      </w:r>
      <w:r w:rsidR="00CA03BD" w:rsidRPr="00CA03BD">
        <w:rPr>
          <w:rFonts w:ascii="NimbusRomNo9L" w:hAnsi="NimbusRomNo9L"/>
        </w:rPr>
        <w:t xml:space="preserve">thank </w:t>
      </w:r>
      <w:r w:rsidR="00D52162" w:rsidRPr="00D52162">
        <w:rPr>
          <w:rFonts w:ascii="NimbusRomNo9L" w:hAnsi="NimbusRomNo9L"/>
        </w:rPr>
        <w:t>Dr. Usha Varanasi (University of Washington) for her vision, knowledge and perseverance in conceptualizing, initiating and sustaining this important fisheries science collaboration between the governments of India and the USA.</w:t>
      </w:r>
      <w:r w:rsidR="00D52162">
        <w:rPr>
          <w:rFonts w:ascii="NimbusRomNo9L" w:hAnsi="NimbusRomNo9L"/>
        </w:rPr>
        <w:t xml:space="preserve"> </w:t>
      </w:r>
      <w:r w:rsidR="00CA03BD" w:rsidRPr="00CA03BD">
        <w:rPr>
          <w:rFonts w:ascii="NimbusRomNo9L" w:hAnsi="NimbusRomNo9L"/>
        </w:rPr>
        <w:t>We would also like to acknowledge the support of Dr. S.S.C</w:t>
      </w:r>
      <w:r w:rsidR="00CA03BD">
        <w:rPr>
          <w:rFonts w:ascii="NimbusRomNo9L" w:hAnsi="NimbusRomNo9L"/>
        </w:rPr>
        <w:t xml:space="preserve"> </w:t>
      </w:r>
      <w:proofErr w:type="spellStart"/>
      <w:r w:rsidR="00CA03BD" w:rsidRPr="00CA03BD">
        <w:rPr>
          <w:rFonts w:ascii="NimbusRomNo9L" w:hAnsi="NimbusRomNo9L"/>
        </w:rPr>
        <w:t>Shenoi</w:t>
      </w:r>
      <w:proofErr w:type="spellEnd"/>
      <w:r w:rsidR="00CA03BD" w:rsidRPr="00CA03BD">
        <w:rPr>
          <w:rFonts w:ascii="NimbusRomNo9L" w:hAnsi="NimbusRomNo9L"/>
        </w:rPr>
        <w:t xml:space="preserve"> (INCOIS), Dr. M. Sudhakar (CMLRE), Dr. N. </w:t>
      </w:r>
      <w:proofErr w:type="spellStart"/>
      <w:r w:rsidR="00CA03BD" w:rsidRPr="00CA03BD">
        <w:rPr>
          <w:rFonts w:ascii="NimbusRomNo9L" w:hAnsi="NimbusRomNo9L"/>
        </w:rPr>
        <w:t>Saravanane</w:t>
      </w:r>
      <w:proofErr w:type="spellEnd"/>
      <w:r w:rsidR="00CA03BD" w:rsidRPr="00CA03BD">
        <w:rPr>
          <w:rFonts w:ascii="NimbusRomNo9L" w:hAnsi="NimbusRomNo9L"/>
        </w:rPr>
        <w:t xml:space="preserve"> (CMRLE), Dr. Ned Cyr, and Ed Gorecki (NOAA). </w:t>
      </w:r>
      <w:r w:rsidRPr="004274D6">
        <w:rPr>
          <w:rFonts w:ascii="NimbusRomNo9L" w:hAnsi="NimbusRomNo9L"/>
        </w:rPr>
        <w:t>The sardine landings data have been collected and analyzed by the Central Marine Fisheries Research Institute (Kochi, India) since</w:t>
      </w:r>
      <w:r>
        <w:rPr>
          <w:rFonts w:ascii="LMSans8" w:hAnsi="LMSans8"/>
          <w:sz w:val="12"/>
          <w:szCs w:val="12"/>
        </w:rPr>
        <w:t xml:space="preserve"> </w:t>
      </w:r>
      <w:r w:rsidRPr="004274D6">
        <w:rPr>
          <w:rFonts w:ascii="NimbusRomNo9L" w:hAnsi="NimbusRomNo9L"/>
        </w:rPr>
        <w:t xml:space="preserve">the 1950s; we acknowledge the many researchers involved in collecting and maintaining this long-term data set. </w:t>
      </w:r>
      <w:r w:rsidR="00653B25">
        <w:rPr>
          <w:rFonts w:ascii="NimbusRomNo9L" w:hAnsi="NimbusRomNo9L"/>
        </w:rPr>
        <w:t xml:space="preserve">We also thank the many INCOIS, CMLRE, and CMFRI scientists who </w:t>
      </w:r>
      <w:r w:rsidR="00614FFF">
        <w:rPr>
          <w:rFonts w:ascii="NimbusRomNo9L" w:hAnsi="NimbusRomNo9L"/>
        </w:rPr>
        <w:t>participated in the research visits and who helped us understand the biology, fishery and fishery data and gave input into the analyses.</w:t>
      </w:r>
    </w:p>
    <w:p w14:paraId="55F5B005" w14:textId="77777777" w:rsidR="004274D6" w:rsidRDefault="004274D6">
      <w:pPr>
        <w:rPr>
          <w:rFonts w:eastAsiaTheme="majorEastAsia" w:cstheme="majorBidi"/>
          <w:b/>
          <w:bCs/>
        </w:rPr>
      </w:pPr>
      <w:r>
        <w:br w:type="page"/>
      </w:r>
    </w:p>
    <w:p w14:paraId="72B8F5FD" w14:textId="77777777" w:rsidR="005B529D" w:rsidRDefault="005B529D" w:rsidP="00354701">
      <w:pPr>
        <w:pStyle w:val="Heading1"/>
        <w:spacing w:before="0" w:line="480" w:lineRule="auto"/>
        <w:rPr>
          <w:rFonts w:asciiTheme="minorHAnsi" w:hAnsiTheme="minorHAnsi"/>
          <w:color w:val="auto"/>
          <w:sz w:val="24"/>
          <w:szCs w:val="24"/>
        </w:rPr>
        <w:sectPr w:rsidR="005B529D">
          <w:pgSz w:w="12240" w:h="15840"/>
          <w:pgMar w:top="1440" w:right="1440" w:bottom="1440" w:left="1440" w:header="720" w:footer="720" w:gutter="0"/>
          <w:cols w:space="720"/>
        </w:sectPr>
      </w:pPr>
    </w:p>
    <w:p w14:paraId="025012B3" w14:textId="4E356D8F" w:rsidR="004C55C2" w:rsidRPr="003E2A48" w:rsidRDefault="004274D6"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lastRenderedPageBreak/>
        <w:t>ABSTRACT</w:t>
      </w:r>
    </w:p>
    <w:p w14:paraId="31010821" w14:textId="47CAAFAF" w:rsidR="00806920" w:rsidRDefault="004C55C2" w:rsidP="00764EDB">
      <w:pPr>
        <w:pStyle w:val="BodyText"/>
        <w:spacing w:before="0" w:after="0" w:line="480" w:lineRule="auto"/>
      </w:pPr>
      <w:r w:rsidRPr="003E2A48">
        <w:t>Commercial landings of sardine</w:t>
      </w:r>
      <w:r w:rsidR="00CE11E9">
        <w:t>s</w:t>
      </w:r>
      <w:r w:rsidRPr="003E2A48">
        <w:t xml:space="preserve"> are known </w:t>
      </w:r>
      <w:r w:rsidR="00CE11E9">
        <w:t xml:space="preserve">to show </w:t>
      </w:r>
      <w:r w:rsidRPr="003E2A48">
        <w:t xml:space="preserve">strong year-to-year fluctuations. A key driver is thought to be environmental variability, to which small forage fish are especially sensitive. We examined </w:t>
      </w:r>
      <w:r w:rsidR="000D5907">
        <w:t xml:space="preserve">the utility of including </w:t>
      </w:r>
      <w:r w:rsidRPr="003E2A48">
        <w:t xml:space="preserve">environmental </w:t>
      </w:r>
      <w:r w:rsidR="000F0D7A">
        <w:t>covariates</w:t>
      </w:r>
      <w:r w:rsidRPr="003E2A48">
        <w:t xml:space="preserve"> </w:t>
      </w:r>
      <w:r w:rsidR="000D5907">
        <w:t xml:space="preserve">in forecasts </w:t>
      </w:r>
      <w:r w:rsidR="00536538">
        <w:t>for landings</w:t>
      </w:r>
      <w:r w:rsidR="00C93CE8">
        <w:t xml:space="preserve"> of</w:t>
      </w:r>
      <w:r w:rsidRPr="003E2A48">
        <w:t xml:space="preserve"> </w:t>
      </w:r>
      <w:r w:rsidR="001233F0">
        <w:t xml:space="preserve">the Indian oil sardine using </w:t>
      </w:r>
      <w:r w:rsidRPr="003E2A48">
        <w:t xml:space="preserve">a </w:t>
      </w:r>
      <w:r w:rsidR="008D7892">
        <w:t>long-term</w:t>
      </w:r>
      <w:r w:rsidRPr="003E2A48">
        <w:t xml:space="preserve"> time series of quarterly catch</w:t>
      </w:r>
      <w:r w:rsidR="00CE11E9">
        <w:t>es</w:t>
      </w:r>
      <w:r w:rsidRPr="003E2A48">
        <w:t xml:space="preserve">. </w:t>
      </w:r>
      <w:r w:rsidR="00CE11E9">
        <w:t>Potentially</w:t>
      </w:r>
      <w:r w:rsidRPr="003E2A48">
        <w:t xml:space="preserve"> influential variables</w:t>
      </w:r>
      <w:r w:rsidR="00CE11E9">
        <w:t xml:space="preserve"> examined included</w:t>
      </w:r>
      <w:r w:rsidRPr="003E2A48">
        <w:t xml:space="preserve"> precipitation, upwelling intensity, </w:t>
      </w:r>
      <w:r w:rsidR="00CE11E9">
        <w:t>sea surface</w:t>
      </w:r>
      <w:r w:rsidR="00CE11E9" w:rsidRPr="003E2A48">
        <w:t xml:space="preserve"> </w:t>
      </w:r>
      <w:r w:rsidRPr="003E2A48">
        <w:t xml:space="preserve">temperature (SST), </w:t>
      </w:r>
      <w:r w:rsidR="00895735">
        <w:t xml:space="preserve">and </w:t>
      </w:r>
      <w:r w:rsidRPr="003E2A48">
        <w:t>chlorophyll</w:t>
      </w:r>
      <w:r w:rsidR="0044025C">
        <w:t>-a</w:t>
      </w:r>
      <w:r w:rsidRPr="003E2A48">
        <w:t xml:space="preserve"> concentration. </w:t>
      </w:r>
      <w:r w:rsidR="000D5907">
        <w:t xml:space="preserve">All of these have been shown to </w:t>
      </w:r>
      <w:r w:rsidR="001233F0">
        <w:t>be</w:t>
      </w:r>
      <w:r w:rsidR="000D5907">
        <w:t xml:space="preserve"> important for oil sardine growth and survival, spawning </w:t>
      </w:r>
      <w:r w:rsidR="001233F0">
        <w:t>and/</w:t>
      </w:r>
      <w:r w:rsidR="000D5907">
        <w:t xml:space="preserve">or movement into the nearshore fishing regions. </w:t>
      </w:r>
      <w:r w:rsidR="00DD5689">
        <w:t>However,</w:t>
      </w:r>
      <w:r w:rsidR="000D5907">
        <w:t xml:space="preserve"> improving out-of-sample </w:t>
      </w:r>
      <w:r w:rsidR="00536538">
        <w:t>landings</w:t>
      </w:r>
      <w:r w:rsidR="000D5907">
        <w:t xml:space="preserve"> forecasts using environmental covariates has often proven elusive. We </w:t>
      </w:r>
      <w:r w:rsidRPr="003E2A48">
        <w:t xml:space="preserve">tested </w:t>
      </w:r>
      <w:r w:rsidR="000D5907">
        <w:t>the inclusi</w:t>
      </w:r>
      <w:r w:rsidR="00B63427">
        <w:t>on</w:t>
      </w:r>
      <w:r w:rsidR="000D5907">
        <w:t xml:space="preserve"> of environmental covariates in forecast models </w:t>
      </w:r>
      <w:r w:rsidRPr="003E2A48">
        <w:t>using generalized additive models</w:t>
      </w:r>
      <w:r w:rsidR="00CE11E9">
        <w:t>,</w:t>
      </w:r>
      <w:r w:rsidRPr="003E2A48">
        <w:t xml:space="preserve"> which allow </w:t>
      </w:r>
      <w:r w:rsidR="00CE11E9">
        <w:t xml:space="preserve">for </w:t>
      </w:r>
      <w:r w:rsidRPr="003E2A48">
        <w:t>non-linear responses</w:t>
      </w:r>
      <w:r w:rsidR="00CE11E9">
        <w:t>,</w:t>
      </w:r>
      <w:r w:rsidRPr="003E2A48">
        <w:t xml:space="preserve"> and dynamic linear models</w:t>
      </w:r>
      <w:r w:rsidR="00CE11E9">
        <w:t>,</w:t>
      </w:r>
      <w:r w:rsidRPr="003E2A48">
        <w:t xml:space="preserve"> which allow </w:t>
      </w:r>
      <w:r w:rsidR="00CE11E9">
        <w:t xml:space="preserve">for </w:t>
      </w:r>
      <w:r w:rsidRPr="003E2A48">
        <w:t xml:space="preserve">time-varying responses. </w:t>
      </w:r>
      <w:r w:rsidR="004A05C8">
        <w:t>Only</w:t>
      </w:r>
      <w:r w:rsidR="00075810">
        <w:t xml:space="preserve"> </w:t>
      </w:r>
      <w:r w:rsidR="000D5907">
        <w:t xml:space="preserve">two </w:t>
      </w:r>
      <w:r w:rsidR="00895735">
        <w:t xml:space="preserve">environmental </w:t>
      </w:r>
      <w:r w:rsidR="004A05C8">
        <w:t>covariates</w:t>
      </w:r>
      <w:r w:rsidR="00075810">
        <w:t xml:space="preserve"> improved out</w:t>
      </w:r>
      <w:r w:rsidR="00CD66B4">
        <w:t>-</w:t>
      </w:r>
      <w:r w:rsidR="00075810">
        <w:t>of</w:t>
      </w:r>
      <w:r w:rsidR="00CD66B4">
        <w:t>-</w:t>
      </w:r>
      <w:r w:rsidR="00075810">
        <w:t xml:space="preserve">sample prediction: </w:t>
      </w:r>
      <w:r w:rsidR="00075810" w:rsidRPr="003E2A48">
        <w:t>the 2.5</w:t>
      </w:r>
      <w:r w:rsidR="00075810">
        <w:t>-</w:t>
      </w:r>
      <w:r w:rsidR="00075810" w:rsidRPr="003E2A48">
        <w:t xml:space="preserve">year average </w:t>
      </w:r>
      <w:r w:rsidR="004E67C5">
        <w:t xml:space="preserve">regional </w:t>
      </w:r>
      <w:r w:rsidR="00075810" w:rsidRPr="003E2A48">
        <w:t>SST</w:t>
      </w:r>
      <w:r w:rsidR="00075810" w:rsidRPr="003E2A48" w:rsidDel="00075810">
        <w:t xml:space="preserve"> </w:t>
      </w:r>
      <w:r w:rsidR="00075810">
        <w:t xml:space="preserve">and precipitation over </w:t>
      </w:r>
      <w:r w:rsidR="001233F0">
        <w:t>land</w:t>
      </w:r>
      <w:r w:rsidR="00075810">
        <w:t xml:space="preserve"> during June-July.</w:t>
      </w:r>
      <w:r w:rsidR="00D8282F">
        <w:t xml:space="preserve"> </w:t>
      </w:r>
      <w:r w:rsidR="00075810">
        <w:t xml:space="preserve">The </w:t>
      </w:r>
      <w:r w:rsidRPr="003E2A48">
        <w:t xml:space="preserve">most </w:t>
      </w:r>
      <w:r w:rsidR="00B26628">
        <w:t xml:space="preserve">significant </w:t>
      </w:r>
      <w:r w:rsidR="000D5907">
        <w:t>improvement was with</w:t>
      </w:r>
      <w:r w:rsidRPr="003E2A48">
        <w:t xml:space="preserve"> the </w:t>
      </w:r>
      <w:r w:rsidR="004E67C5">
        <w:t>SST covariate</w:t>
      </w:r>
      <w:r w:rsidR="00075810">
        <w:t xml:space="preserve"> and </w:t>
      </w:r>
      <w:r w:rsidRPr="003E2A48">
        <w:t>post-monsoon landings</w:t>
      </w:r>
      <w:r w:rsidR="006E568E">
        <w:t xml:space="preserve"> with a 1</w:t>
      </w:r>
      <w:r w:rsidR="004046CA">
        <w:t>9</w:t>
      </w:r>
      <w:r w:rsidR="006E568E">
        <w:t xml:space="preserve">-22% reduction in </w:t>
      </w:r>
      <w:r w:rsidR="00786217">
        <w:t xml:space="preserve">mean-squared </w:t>
      </w:r>
      <w:r w:rsidR="006E568E">
        <w:t>prediction error</w:t>
      </w:r>
      <w:r w:rsidRPr="003E2A48">
        <w:t xml:space="preserve">. </w:t>
      </w:r>
      <w:r w:rsidR="00B26628">
        <w:t xml:space="preserve">Models with the second best covariate, </w:t>
      </w:r>
      <w:r w:rsidR="001233F0">
        <w:t xml:space="preserve">monsoon </w:t>
      </w:r>
      <w:r w:rsidR="00B26628">
        <w:t xml:space="preserve">precipitation over </w:t>
      </w:r>
      <w:r w:rsidR="001233F0">
        <w:t>land</w:t>
      </w:r>
      <w:r w:rsidR="00B26628">
        <w:t xml:space="preserve">, </w:t>
      </w:r>
      <w:r w:rsidR="000D5907">
        <w:t>provided</w:t>
      </w:r>
      <w:r w:rsidR="00B26628">
        <w:t xml:space="preserve"> a </w:t>
      </w:r>
      <w:r w:rsidR="00786217">
        <w:t>4</w:t>
      </w:r>
      <w:r w:rsidR="00B26628">
        <w:t>-</w:t>
      </w:r>
      <w:r w:rsidR="00786217">
        <w:t>8</w:t>
      </w:r>
      <w:r w:rsidR="00B26628">
        <w:t>% reduction in prediction error</w:t>
      </w:r>
      <w:r w:rsidR="00B26628" w:rsidRPr="003E2A48">
        <w:t xml:space="preserve">. </w:t>
      </w:r>
      <w:r w:rsidR="00895735">
        <w:t xml:space="preserve">We also tested </w:t>
      </w:r>
      <w:r w:rsidR="00895735" w:rsidRPr="003E2A48">
        <w:t xml:space="preserve">large-scale </w:t>
      </w:r>
      <w:r w:rsidR="00895735">
        <w:t>ocean climate teleconnection indices. O</w:t>
      </w:r>
      <w:r w:rsidR="005B5ED6">
        <w:rPr>
          <w:rFonts w:ascii="Times New Roman" w:hAnsi="Times New Roman" w:cs="Times New Roman"/>
          <w:color w:val="000000"/>
        </w:rPr>
        <w:t>ne,</w:t>
      </w:r>
      <w:r w:rsidR="000D5907">
        <w:t xml:space="preserve"> </w:t>
      </w:r>
      <w:r w:rsidR="005B5ED6">
        <w:t>an</w:t>
      </w:r>
      <w:r w:rsidR="00B370D3">
        <w:t xml:space="preserve"> </w:t>
      </w:r>
      <w:r w:rsidR="000D5907">
        <w:t>index</w:t>
      </w:r>
      <w:r w:rsidR="005B5ED6">
        <w:t xml:space="preserve"> of</w:t>
      </w:r>
      <w:r w:rsidR="000D5907">
        <w:t xml:space="preserve"> the Atlantic Multidecadal Oscillation, also improved out-of-sample predictions similar</w:t>
      </w:r>
      <w:r w:rsidR="00082226">
        <w:t>ly</w:t>
      </w:r>
      <w:r w:rsidR="000D5907">
        <w:t xml:space="preserve"> to the multiyear average regional SST. </w:t>
      </w:r>
      <w:r w:rsidR="00B26628">
        <w:t xml:space="preserve">The </w:t>
      </w:r>
      <w:r w:rsidR="002A147A">
        <w:t xml:space="preserve">earth’s </w:t>
      </w:r>
      <w:r w:rsidR="00B26628">
        <w:t xml:space="preserve">changing climate is associated with </w:t>
      </w:r>
      <w:r w:rsidR="002A147A">
        <w:t>both rapid warming</w:t>
      </w:r>
      <w:r w:rsidR="00B26628">
        <w:t xml:space="preserve"> </w:t>
      </w:r>
      <w:r w:rsidR="002A147A">
        <w:t xml:space="preserve">in </w:t>
      </w:r>
      <w:r w:rsidR="00B26628">
        <w:t>the</w:t>
      </w:r>
      <w:r w:rsidRPr="003E2A48">
        <w:t xml:space="preserve"> Western Indian Ocean </w:t>
      </w:r>
      <w:r w:rsidR="00B26628">
        <w:t>and changes to monsoon rainfall</w:t>
      </w:r>
      <w:r w:rsidR="002A147A">
        <w:t xml:space="preserve"> patterns</w:t>
      </w:r>
      <w:r w:rsidRPr="003E2A48">
        <w:t xml:space="preserve">. Our work highlights </w:t>
      </w:r>
      <w:r w:rsidR="002A147A">
        <w:t xml:space="preserve">these as </w:t>
      </w:r>
      <w:r w:rsidR="006E1C29">
        <w:t xml:space="preserve">key variables </w:t>
      </w:r>
      <w:r w:rsidR="000F0D7A">
        <w:t>that can improve</w:t>
      </w:r>
      <w:r w:rsidR="006E1C29">
        <w:t xml:space="preserve"> </w:t>
      </w:r>
      <w:r w:rsidR="0042549E">
        <w:t xml:space="preserve">forecasting </w:t>
      </w:r>
      <w:r w:rsidR="00905703">
        <w:t xml:space="preserve">of </w:t>
      </w:r>
      <w:r w:rsidR="001233F0">
        <w:t xml:space="preserve">oil </w:t>
      </w:r>
      <w:r w:rsidR="006E1C29">
        <w:t>sardine landings.</w:t>
      </w:r>
    </w:p>
    <w:p w14:paraId="7B866957" w14:textId="4C8FE6B0" w:rsidR="00B26628" w:rsidRDefault="00B26628" w:rsidP="00764EDB">
      <w:pPr>
        <w:pStyle w:val="BodyText"/>
        <w:spacing w:before="0" w:after="0" w:line="480" w:lineRule="auto"/>
      </w:pPr>
    </w:p>
    <w:p w14:paraId="0FA19509" w14:textId="08B57C27" w:rsidR="008062F9" w:rsidRPr="003E2A48" w:rsidRDefault="00354701" w:rsidP="00354701">
      <w:pPr>
        <w:pStyle w:val="Heading1"/>
        <w:spacing w:before="0" w:line="480" w:lineRule="auto"/>
        <w:rPr>
          <w:rFonts w:asciiTheme="minorHAnsi" w:hAnsiTheme="minorHAnsi"/>
          <w:color w:val="auto"/>
          <w:sz w:val="24"/>
          <w:szCs w:val="24"/>
        </w:rPr>
      </w:pPr>
      <w:bookmarkStart w:id="1" w:name="introduction"/>
      <w:r>
        <w:rPr>
          <w:rFonts w:asciiTheme="minorHAnsi" w:hAnsiTheme="minorHAnsi"/>
          <w:color w:val="auto"/>
          <w:sz w:val="24"/>
          <w:szCs w:val="24"/>
        </w:rPr>
        <w:lastRenderedPageBreak/>
        <w:t xml:space="preserve">1 </w:t>
      </w:r>
      <w:r w:rsidRPr="003E2A48">
        <w:rPr>
          <w:rFonts w:asciiTheme="minorHAnsi" w:hAnsiTheme="minorHAnsi"/>
          <w:color w:val="auto"/>
          <w:sz w:val="24"/>
          <w:szCs w:val="24"/>
        </w:rPr>
        <w:t>INTRODUCTION</w:t>
      </w:r>
      <w:bookmarkEnd w:id="1"/>
    </w:p>
    <w:p w14:paraId="41AE4144" w14:textId="29AB46F4" w:rsidR="008062F9" w:rsidRPr="003E2A48" w:rsidRDefault="00806920" w:rsidP="00CA5105">
      <w:pPr>
        <w:pStyle w:val="FirstParagraph"/>
        <w:spacing w:before="0" w:after="0" w:line="480" w:lineRule="auto"/>
      </w:pPr>
      <w:r w:rsidRPr="003E2A48">
        <w:t xml:space="preserve">Environmental variability is known to be a key driver of population variability </w:t>
      </w:r>
      <w:r w:rsidR="003E2A48">
        <w:t>for</w:t>
      </w:r>
      <w:r w:rsidR="003E2A48" w:rsidRPr="003E2A48">
        <w:t xml:space="preserve"> </w:t>
      </w:r>
      <w:r w:rsidRPr="003E2A48">
        <w:t>small forage fish</w:t>
      </w:r>
      <w:r w:rsidR="003E2A48">
        <w:t>,</w:t>
      </w:r>
      <w:r w:rsidRPr="003E2A48">
        <w:t xml:space="preserve"> such as sardine, anchovy</w:t>
      </w:r>
      <w:r w:rsidR="003E2A48">
        <w:t>,</w:t>
      </w:r>
      <w:r w:rsidRPr="003E2A48">
        <w:t xml:space="preserve"> and herring (</w:t>
      </w:r>
      <w:proofErr w:type="spellStart"/>
      <w:r w:rsidRPr="003E2A48">
        <w:t>Alheit</w:t>
      </w:r>
      <w:proofErr w:type="spellEnd"/>
      <w:r w:rsidRPr="003E2A48">
        <w:t xml:space="preserve"> &amp; Hagen, 1997; Checkley</w:t>
      </w:r>
      <w:r w:rsidR="00DB578C">
        <w:t xml:space="preserve">, Asch, &amp; </w:t>
      </w:r>
      <w:proofErr w:type="spellStart"/>
      <w:r w:rsidR="00DB578C" w:rsidRPr="003E2A48">
        <w:t>Rykaczewski</w:t>
      </w:r>
      <w:proofErr w:type="spellEnd"/>
      <w:r w:rsidRPr="003E2A48">
        <w:t xml:space="preserve">, 2017; </w:t>
      </w:r>
      <w:proofErr w:type="spellStart"/>
      <w:r w:rsidRPr="003E2A48">
        <w:t>Cury</w:t>
      </w:r>
      <w:proofErr w:type="spellEnd"/>
      <w:r w:rsidRPr="003E2A48">
        <w:t xml:space="preserve"> et al., 2000). In particular, ocean temperature and upwelling dynamics</w:t>
      </w:r>
      <w:r w:rsidR="00BF13DF">
        <w:t xml:space="preserve"> have been shown to</w:t>
      </w:r>
      <w:r w:rsidRPr="003E2A48">
        <w:t xml:space="preserve"> </w:t>
      </w:r>
      <w:r w:rsidR="005B3EFF">
        <w:t>substantially</w:t>
      </w:r>
      <w:r w:rsidRPr="003E2A48">
        <w:t xml:space="preserve"> </w:t>
      </w:r>
      <w:r w:rsidR="005B3EFF">
        <w:t>a</w:t>
      </w:r>
      <w:r w:rsidRPr="003E2A48">
        <w:t>ffect</w:t>
      </w:r>
      <w:r w:rsidR="003E2A48">
        <w:t xml:space="preserve"> the</w:t>
      </w:r>
      <w:r w:rsidRPr="003E2A48">
        <w:t xml:space="preserve"> recruitment success and biomass of European and Pacific sardines (</w:t>
      </w:r>
      <w:bookmarkStart w:id="2" w:name="_Hlk34216747"/>
      <w:proofErr w:type="spellStart"/>
      <w:r w:rsidRPr="003E2A48">
        <w:rPr>
          <w:i/>
        </w:rPr>
        <w:t>Sardina</w:t>
      </w:r>
      <w:proofErr w:type="spellEnd"/>
      <w:r w:rsidRPr="003E2A48">
        <w:rPr>
          <w:i/>
        </w:rPr>
        <w:t xml:space="preserve"> pilchardus</w:t>
      </w:r>
      <w:r w:rsidRPr="003E2A48">
        <w:t xml:space="preserve"> and </w:t>
      </w:r>
      <w:proofErr w:type="spellStart"/>
      <w:r w:rsidRPr="003E2A48">
        <w:rPr>
          <w:i/>
        </w:rPr>
        <w:t>Sardinops</w:t>
      </w:r>
      <w:proofErr w:type="spellEnd"/>
      <w:r w:rsidRPr="003E2A48">
        <w:rPr>
          <w:i/>
        </w:rPr>
        <w:t xml:space="preserve"> </w:t>
      </w:r>
      <w:proofErr w:type="spellStart"/>
      <w:r w:rsidRPr="003E2A48">
        <w:rPr>
          <w:i/>
        </w:rPr>
        <w:t>sagax</w:t>
      </w:r>
      <w:bookmarkEnd w:id="2"/>
      <w:proofErr w:type="spellEnd"/>
      <w:r w:rsidR="003E2A48">
        <w:rPr>
          <w:iCs/>
        </w:rPr>
        <w:t>, respectively</w:t>
      </w:r>
      <w:r w:rsidR="00CE477A">
        <w:t xml:space="preserve">; </w:t>
      </w:r>
      <w:proofErr w:type="spellStart"/>
      <w:r w:rsidRPr="003E2A48">
        <w:t>Alheit</w:t>
      </w:r>
      <w:proofErr w:type="spellEnd"/>
      <w:r w:rsidRPr="003E2A48">
        <w:t xml:space="preserve"> et al., 2012; Garza-Gil</w:t>
      </w:r>
      <w:r w:rsidR="00DB578C">
        <w:t>,</w:t>
      </w:r>
      <w:r w:rsidR="00DB578C" w:rsidRPr="00DB578C">
        <w:t xml:space="preserve"> </w:t>
      </w:r>
      <w:r w:rsidR="00DB578C" w:rsidRPr="003E2A48">
        <w:t>Varela-</w:t>
      </w:r>
      <w:proofErr w:type="spellStart"/>
      <w:r w:rsidR="00DB578C" w:rsidRPr="003E2A48">
        <w:t>Lafuente</w:t>
      </w:r>
      <w:proofErr w:type="spellEnd"/>
      <w:r w:rsidR="00DB578C" w:rsidRPr="003E2A48">
        <w:t>, Caballero-</w:t>
      </w:r>
      <w:proofErr w:type="spellStart"/>
      <w:r w:rsidR="00DB578C" w:rsidRPr="003E2A48">
        <w:t>Míguez</w:t>
      </w:r>
      <w:proofErr w:type="spellEnd"/>
      <w:r w:rsidR="00DB578C" w:rsidRPr="003E2A48">
        <w:t>, &amp; Torralba-Cano</w:t>
      </w:r>
      <w:r w:rsidRPr="003E2A48">
        <w:t xml:space="preserve">, 2015; Jacobson &amp; </w:t>
      </w:r>
      <w:proofErr w:type="spellStart"/>
      <w:r w:rsidRPr="003E2A48">
        <w:t>MacCall</w:t>
      </w:r>
      <w:proofErr w:type="spellEnd"/>
      <w:r w:rsidRPr="003E2A48">
        <w:t xml:space="preserve">, 1995; </w:t>
      </w:r>
      <w:proofErr w:type="spellStart"/>
      <w:r w:rsidRPr="003E2A48">
        <w:t>Lindegren</w:t>
      </w:r>
      <w:proofErr w:type="spellEnd"/>
      <w:r w:rsidRPr="003E2A48">
        <w:t xml:space="preserve"> &amp; Checkley, 2012; </w:t>
      </w:r>
      <w:proofErr w:type="spellStart"/>
      <w:r w:rsidRPr="003E2A48">
        <w:t>Lindegren</w:t>
      </w:r>
      <w:proofErr w:type="spellEnd"/>
      <w:r w:rsidR="00DB578C">
        <w:t>,</w:t>
      </w:r>
      <w:r w:rsidR="00DB578C" w:rsidRPr="00DB578C">
        <w:t xml:space="preserve"> </w:t>
      </w:r>
      <w:r w:rsidR="00DB578C" w:rsidRPr="003E2A48">
        <w:t xml:space="preserve">Checkley, </w:t>
      </w:r>
      <w:proofErr w:type="spellStart"/>
      <w:r w:rsidR="00DB578C" w:rsidRPr="003E2A48">
        <w:t>Rouyer</w:t>
      </w:r>
      <w:proofErr w:type="spellEnd"/>
      <w:r w:rsidR="00DB578C" w:rsidRPr="003E2A48">
        <w:t xml:space="preserve">, </w:t>
      </w:r>
      <w:proofErr w:type="spellStart"/>
      <w:r w:rsidR="00DB578C" w:rsidRPr="003E2A48">
        <w:t>MacCall</w:t>
      </w:r>
      <w:proofErr w:type="spellEnd"/>
      <w:r w:rsidR="00DB578C" w:rsidRPr="003E2A48">
        <w:t xml:space="preserve">, &amp; </w:t>
      </w:r>
      <w:proofErr w:type="spellStart"/>
      <w:r w:rsidR="00DB578C" w:rsidRPr="003E2A48">
        <w:t>Stenseth</w:t>
      </w:r>
      <w:proofErr w:type="spellEnd"/>
      <w:r w:rsidRPr="003E2A48">
        <w:t xml:space="preserve">, 2013; </w:t>
      </w:r>
      <w:proofErr w:type="spellStart"/>
      <w:r w:rsidRPr="003E2A48">
        <w:t>Rykaczewski</w:t>
      </w:r>
      <w:proofErr w:type="spellEnd"/>
      <w:r w:rsidRPr="003E2A48">
        <w:t xml:space="preserve"> &amp; Checkley, 2008). </w:t>
      </w:r>
      <w:r w:rsidR="00D71ED5">
        <w:t>The Indian oil sardine</w:t>
      </w:r>
      <w:r w:rsidR="00D71ED5" w:rsidRPr="003E2A48">
        <w:t xml:space="preserve"> (</w:t>
      </w:r>
      <w:r w:rsidR="00D71ED5" w:rsidRPr="003E2A48">
        <w:rPr>
          <w:i/>
        </w:rPr>
        <w:t xml:space="preserve">Sardinella </w:t>
      </w:r>
      <w:proofErr w:type="spellStart"/>
      <w:r w:rsidR="00D71ED5" w:rsidRPr="003E2A48">
        <w:rPr>
          <w:i/>
        </w:rPr>
        <w:t>longiceps</w:t>
      </w:r>
      <w:proofErr w:type="spellEnd"/>
      <w:r w:rsidR="00D71ED5" w:rsidRPr="003E2A48">
        <w:t xml:space="preserve"> Valenciennes, 1847) is </w:t>
      </w:r>
      <w:r w:rsidR="005F08C8">
        <w:t>among</w:t>
      </w:r>
      <w:r w:rsidR="00D71ED5" w:rsidRPr="003E2A48">
        <w:t xml:space="preserve"> the most commercially important fish resources along the southwest</w:t>
      </w:r>
      <w:r w:rsidR="00D71ED5">
        <w:t>ern</w:t>
      </w:r>
      <w:r w:rsidR="00D71ED5" w:rsidRPr="003E2A48">
        <w:t xml:space="preserve"> coast of India</w:t>
      </w:r>
      <w:r w:rsidR="00C369A6">
        <w:rPr>
          <w:color w:val="000000" w:themeColor="text1"/>
        </w:rPr>
        <w:t>—</w:t>
      </w:r>
      <w:r w:rsidR="00C369A6" w:rsidRPr="00732193">
        <w:rPr>
          <w:color w:val="000000" w:themeColor="text1"/>
        </w:rPr>
        <w:t xml:space="preserve">historically comprising up to 20% </w:t>
      </w:r>
      <w:r w:rsidR="00C369A6">
        <w:rPr>
          <w:color w:val="000000" w:themeColor="text1"/>
        </w:rPr>
        <w:t>of</w:t>
      </w:r>
      <w:r w:rsidR="00C369A6" w:rsidRPr="00732193">
        <w:rPr>
          <w:color w:val="000000" w:themeColor="text1"/>
        </w:rPr>
        <w:t xml:space="preserve"> the total marine fish landings in India</w:t>
      </w:r>
      <w:r w:rsidR="00D71ED5" w:rsidRPr="003E2A48">
        <w:t xml:space="preserve"> (</w:t>
      </w:r>
      <w:proofErr w:type="spellStart"/>
      <w:r w:rsidR="00F80512" w:rsidRPr="00CE477A">
        <w:t>Vivekan</w:t>
      </w:r>
      <w:r w:rsidR="00F80512" w:rsidRPr="001A7D4A">
        <w:t>andan</w:t>
      </w:r>
      <w:proofErr w:type="spellEnd"/>
      <w:r w:rsidR="00F80512" w:rsidRPr="001A7D4A">
        <w:t>, Srinath, Pillai</w:t>
      </w:r>
      <w:r w:rsidR="00F80512" w:rsidRPr="00C71234">
        <w:t xml:space="preserve">, Immanuel, &amp; </w:t>
      </w:r>
      <w:proofErr w:type="spellStart"/>
      <w:r w:rsidR="00F80512" w:rsidRPr="00C71234">
        <w:t>Kurup</w:t>
      </w:r>
      <w:proofErr w:type="spellEnd"/>
      <w:r w:rsidR="00D71ED5" w:rsidRPr="003E2A48">
        <w:t>, 2003)</w:t>
      </w:r>
      <w:r w:rsidR="00AE096F">
        <w:t>. S</w:t>
      </w:r>
      <w:r w:rsidR="00BF13DF">
        <w:t>imilar to</w:t>
      </w:r>
      <w:r w:rsidR="00F11068" w:rsidRPr="003E2A48">
        <w:t xml:space="preserve"> </w:t>
      </w:r>
      <w:r w:rsidR="00AE096F">
        <w:t xml:space="preserve">landings of </w:t>
      </w:r>
      <w:r w:rsidR="00F11068" w:rsidRPr="003E2A48">
        <w:t>other sardines,</w:t>
      </w:r>
      <w:r w:rsidR="00AE096F">
        <w:t xml:space="preserve"> oil sardine </w:t>
      </w:r>
      <w:r w:rsidR="00BF13DF">
        <w:t>landings</w:t>
      </w:r>
      <w:r w:rsidR="00F11068" w:rsidRPr="003E2A48">
        <w:t xml:space="preserve"> show strong interannual fluctuations </w:t>
      </w:r>
      <w:r w:rsidR="00BF13DF">
        <w:t>with</w:t>
      </w:r>
      <w:r w:rsidR="00F11068" w:rsidRPr="003E2A48">
        <w:t xml:space="preserve"> larger decadal booms and busts</w:t>
      </w:r>
      <w:r w:rsidR="00AE096F">
        <w:t xml:space="preserve">, but </w:t>
      </w:r>
      <w:r w:rsidR="00CA5105">
        <w:t>Indian oil sardine</w:t>
      </w:r>
      <w:r w:rsidRPr="003E2A48">
        <w:t xml:space="preserve"> </w:t>
      </w:r>
      <w:r w:rsidR="00AE096F">
        <w:t xml:space="preserve">landings also </w:t>
      </w:r>
      <w:r w:rsidR="003E2A48" w:rsidRPr="003E2A48">
        <w:t>ha</w:t>
      </w:r>
      <w:r w:rsidR="0090226C">
        <w:t>ve</w:t>
      </w:r>
      <w:r w:rsidR="003E2A48" w:rsidRPr="003E2A48">
        <w:t xml:space="preserve"> </w:t>
      </w:r>
      <w:r w:rsidRPr="003E2A48">
        <w:t>a</w:t>
      </w:r>
      <w:r w:rsidR="000C303A">
        <w:t>n unusually</w:t>
      </w:r>
      <w:r w:rsidRPr="003E2A48">
        <w:t xml:space="preserve"> strong seasonal cycle driven by the summer monsoon.</w:t>
      </w:r>
      <w:r w:rsidR="00F11068">
        <w:t xml:space="preserve"> </w:t>
      </w:r>
      <w:r w:rsidRPr="003E2A48">
        <w:t>Landings pea</w:t>
      </w:r>
      <w:r w:rsidR="00D71ED5">
        <w:t>k</w:t>
      </w:r>
      <w:r w:rsidRPr="003E2A48">
        <w:t xml:space="preserve"> </w:t>
      </w:r>
      <w:r w:rsidR="003E2A48" w:rsidRPr="003E2A48">
        <w:t>in October</w:t>
      </w:r>
      <w:r w:rsidR="003E2A48">
        <w:t>–</w:t>
      </w:r>
      <w:r w:rsidR="003E2A48" w:rsidRPr="003E2A48">
        <w:t>December</w:t>
      </w:r>
      <w:r w:rsidR="003E2A48">
        <w:t>,</w:t>
      </w:r>
      <w:r w:rsidR="003E2A48" w:rsidRPr="003E2A48">
        <w:t xml:space="preserve"> </w:t>
      </w:r>
      <w:r w:rsidRPr="003E2A48">
        <w:t>after the summer monsoon</w:t>
      </w:r>
      <w:r w:rsidR="00082226">
        <w:t>,</w:t>
      </w:r>
      <w:r w:rsidRPr="003E2A48">
        <w:t xml:space="preserve"> and reach a nadir in </w:t>
      </w:r>
      <w:r w:rsidR="003E2A48" w:rsidRPr="003E2A48">
        <w:t>April</w:t>
      </w:r>
      <w:r w:rsidR="003E2A48">
        <w:t>–</w:t>
      </w:r>
      <w:r w:rsidR="003E2A48" w:rsidRPr="003E2A48">
        <w:t>June</w:t>
      </w:r>
      <w:r w:rsidR="00CA5105">
        <w:t>.</w:t>
      </w:r>
    </w:p>
    <w:p w14:paraId="59C359C5" w14:textId="300EA5FE" w:rsidR="00ED1FAD" w:rsidRDefault="00D96A1A" w:rsidP="00CA5105">
      <w:pPr>
        <w:pStyle w:val="FirstParagraph"/>
        <w:spacing w:before="0" w:after="0" w:line="480" w:lineRule="auto"/>
        <w:ind w:firstLine="360"/>
      </w:pPr>
      <w:r>
        <w:t xml:space="preserve">Two </w:t>
      </w:r>
      <w:r w:rsidR="00806920" w:rsidRPr="003E2A48">
        <w:t>environmental variables</w:t>
      </w:r>
      <w:r>
        <w:t>, precipitation and coastal upwelling</w:t>
      </w:r>
      <w:r w:rsidR="00C369A6">
        <w:t xml:space="preserve"> intensity</w:t>
      </w:r>
      <w:r>
        <w:t>,</w:t>
      </w:r>
      <w:r w:rsidR="00806920" w:rsidRPr="003E2A48">
        <w:t xml:space="preserve"> </w:t>
      </w:r>
      <w:r w:rsidR="00613F6B">
        <w:t xml:space="preserve">have been </w:t>
      </w:r>
      <w:r>
        <w:t>the focus of much research on</w:t>
      </w:r>
      <w:r w:rsidR="00111CAE">
        <w:t xml:space="preserve"> the effect of the ocean environment on Indian oil sardine life history and </w:t>
      </w:r>
      <w:r w:rsidR="00613F6B">
        <w:t>landings</w:t>
      </w:r>
      <w:r w:rsidR="00806920" w:rsidRPr="003E2A48">
        <w:t xml:space="preserve">. Precipitation during the </w:t>
      </w:r>
      <w:r w:rsidR="00111CAE">
        <w:t xml:space="preserve">summer </w:t>
      </w:r>
      <w:r w:rsidR="00806920" w:rsidRPr="003E2A48">
        <w:t>monsoon and the day of monsoon arrival are thought to act as direct or indirect cue</w:t>
      </w:r>
      <w:r w:rsidR="007A6CBA">
        <w:t>s</w:t>
      </w:r>
      <w:r w:rsidR="00806920" w:rsidRPr="003E2A48">
        <w:t xml:space="preserve"> for spawning (Antony Raja, 1969, 1974; Jayaprakash, 2002; </w:t>
      </w:r>
      <w:proofErr w:type="spellStart"/>
      <w:r w:rsidR="00806920" w:rsidRPr="003E2A48">
        <w:t>Murty</w:t>
      </w:r>
      <w:proofErr w:type="spellEnd"/>
      <w:r w:rsidR="00806920" w:rsidRPr="003E2A48">
        <w:t xml:space="preserve"> &amp; Edelman, 1966; </w:t>
      </w:r>
      <w:proofErr w:type="spellStart"/>
      <w:r w:rsidR="00806920" w:rsidRPr="003E2A48">
        <w:t>Pitchaikani</w:t>
      </w:r>
      <w:proofErr w:type="spellEnd"/>
      <w:r w:rsidR="00806920" w:rsidRPr="003E2A48">
        <w:t xml:space="preserve"> &amp; Lipton, 2012; Srinath, 1998; Xu &amp; Boyce, 2009). </w:t>
      </w:r>
      <w:r w:rsidR="009B1F17">
        <w:t xml:space="preserve">At the same time, </w:t>
      </w:r>
      <w:r w:rsidR="003D5509">
        <w:t xml:space="preserve">intense </w:t>
      </w:r>
      <w:r w:rsidR="009B1F17">
        <w:t xml:space="preserve">monsoon rain over land causes high nutrient flux from rivers into the shallow nearshore regions which causes eutrophication and anoxia </w:t>
      </w:r>
      <w:r w:rsidR="009B1F17">
        <w:lastRenderedPageBreak/>
        <w:t>(</w:t>
      </w:r>
      <w:r w:rsidR="009B1F17" w:rsidRPr="003E2A48">
        <w:t>Chauhan et al., 2011</w:t>
      </w:r>
      <w:r w:rsidR="009B1F17">
        <w:t xml:space="preserve">). </w:t>
      </w:r>
      <w:r w:rsidR="003D5509">
        <w:t>The strong s</w:t>
      </w:r>
      <w:r w:rsidR="003331C2">
        <w:t>easonal upwelling</w:t>
      </w:r>
      <w:r w:rsidR="003D5509">
        <w:t xml:space="preserve"> along the southwestern coast of India</w:t>
      </w:r>
      <w:r w:rsidR="003331C2">
        <w:t xml:space="preserve"> is </w:t>
      </w:r>
      <w:r w:rsidR="00C369A6">
        <w:t xml:space="preserve">also </w:t>
      </w:r>
      <w:r w:rsidR="003331C2">
        <w:t xml:space="preserve">thought to be a key driver of </w:t>
      </w:r>
      <w:r w:rsidR="00F80512">
        <w:t xml:space="preserve">variability in </w:t>
      </w:r>
      <w:r w:rsidR="003331C2">
        <w:t>oil sardine abundance</w:t>
      </w:r>
      <w:r w:rsidR="00F80512">
        <w:t xml:space="preserve"> and catches</w:t>
      </w:r>
      <w:r w:rsidR="00756BA5">
        <w:t xml:space="preserve">. </w:t>
      </w:r>
      <w:r w:rsidR="008C33E5">
        <w:t xml:space="preserve">Coastal upwelling </w:t>
      </w:r>
      <w:r w:rsidR="00CE1F6D">
        <w:t xml:space="preserve">during the summer monsoon </w:t>
      </w:r>
      <w:r w:rsidR="008C33E5">
        <w:t xml:space="preserve">has dual effects: it </w:t>
      </w:r>
      <w:r w:rsidR="00F57279">
        <w:t>fuels</w:t>
      </w:r>
      <w:r w:rsidR="008C33E5">
        <w:t xml:space="preserve"> productivity but at high levels brings low oxygen water to the surface which can </w:t>
      </w:r>
      <w:r w:rsidR="008C33E5" w:rsidRPr="003E2A48">
        <w:t>cause fish to move offshore</w:t>
      </w:r>
      <w:r w:rsidR="008C33E5">
        <w:t xml:space="preserve"> where they are inaccessible to the fishery</w:t>
      </w:r>
      <w:r w:rsidR="00CE1F6D">
        <w:t>, while downwelling during spring</w:t>
      </w:r>
      <w:r w:rsidR="00082226">
        <w:t xml:space="preserve"> is</w:t>
      </w:r>
      <w:r w:rsidR="00CE1F6D">
        <w:t xml:space="preserve"> thought to promote the spring migration of adults into the nearshore where they are exposed to the fishery (</w:t>
      </w:r>
      <w:r w:rsidR="00F80512">
        <w:t xml:space="preserve">Hamza, </w:t>
      </w:r>
      <w:proofErr w:type="spellStart"/>
      <w:r w:rsidR="00F80512">
        <w:t>Valsala</w:t>
      </w:r>
      <w:proofErr w:type="spellEnd"/>
      <w:r w:rsidR="00F80512">
        <w:t xml:space="preserve">, </w:t>
      </w:r>
      <w:proofErr w:type="spellStart"/>
      <w:r w:rsidR="00F80512">
        <w:t>Mallissery</w:t>
      </w:r>
      <w:proofErr w:type="spellEnd"/>
      <w:r w:rsidR="00F80512">
        <w:t>, &amp; George</w:t>
      </w:r>
      <w:r w:rsidR="00CE1F6D">
        <w:t>, 2020). Correlations</w:t>
      </w:r>
      <w:r w:rsidR="007A6CBA">
        <w:t xml:space="preserve"> have been identified</w:t>
      </w:r>
      <w:r w:rsidR="00806920" w:rsidRPr="003E2A48">
        <w:t xml:space="preserve"> </w:t>
      </w:r>
      <w:r w:rsidR="00F57279">
        <w:t>between</w:t>
      </w:r>
      <w:r w:rsidR="00806920" w:rsidRPr="003E2A48">
        <w:t xml:space="preserve"> </w:t>
      </w:r>
      <w:r w:rsidR="003331C2">
        <w:t xml:space="preserve">landings and </w:t>
      </w:r>
      <w:r w:rsidR="00806920" w:rsidRPr="003E2A48">
        <w:t xml:space="preserve">various </w:t>
      </w:r>
      <w:r w:rsidR="003D5509">
        <w:t>indices</w:t>
      </w:r>
      <w:r w:rsidR="003D5509" w:rsidRPr="003E2A48">
        <w:t xml:space="preserve"> </w:t>
      </w:r>
      <w:r w:rsidR="00806920" w:rsidRPr="003E2A48">
        <w:t>of upwelling intensity (</w:t>
      </w:r>
      <w:r w:rsidR="00157387">
        <w:t xml:space="preserve">Hamza et al., 2020; </w:t>
      </w:r>
      <w:r w:rsidR="00806920" w:rsidRPr="003E2A48">
        <w:t>Jayaprakash, 2002;</w:t>
      </w:r>
      <w:r w:rsidR="00157387">
        <w:t xml:space="preserve"> Kripa et al., 2015; </w:t>
      </w:r>
      <w:r w:rsidR="00806920" w:rsidRPr="003E2A48">
        <w:t xml:space="preserve">Longhurst &amp; Wooster, 1990; </w:t>
      </w:r>
      <w:proofErr w:type="spellStart"/>
      <w:r w:rsidR="00F80512" w:rsidRPr="001A7D4A">
        <w:t>Mad</w:t>
      </w:r>
      <w:r w:rsidR="00F80512" w:rsidRPr="00C71234">
        <w:t>hupratap</w:t>
      </w:r>
      <w:proofErr w:type="spellEnd"/>
      <w:r w:rsidR="00F80512" w:rsidRPr="00C71234">
        <w:t xml:space="preserve">, </w:t>
      </w:r>
      <w:proofErr w:type="spellStart"/>
      <w:r w:rsidR="00F80512" w:rsidRPr="00C71234">
        <w:t>Shetye</w:t>
      </w:r>
      <w:proofErr w:type="spellEnd"/>
      <w:r w:rsidR="00F80512" w:rsidRPr="00C71234">
        <w:t>, Nair</w:t>
      </w:r>
      <w:r w:rsidR="00F80512" w:rsidRPr="00685AF2">
        <w:t>, &amp; Nair</w:t>
      </w:r>
      <w:r w:rsidR="00806920" w:rsidRPr="003E2A48">
        <w:t xml:space="preserve">, 1994; </w:t>
      </w:r>
      <w:proofErr w:type="spellStart"/>
      <w:r w:rsidR="00806920" w:rsidRPr="003E2A48">
        <w:t>Murty</w:t>
      </w:r>
      <w:proofErr w:type="spellEnd"/>
      <w:r w:rsidR="00806920" w:rsidRPr="003E2A48">
        <w:t xml:space="preserve"> &amp; Edelman, 1966; Srinath, 1998; </w:t>
      </w:r>
      <w:proofErr w:type="spellStart"/>
      <w:r w:rsidR="00806920" w:rsidRPr="003E2A48">
        <w:t>Thara</w:t>
      </w:r>
      <w:proofErr w:type="spellEnd"/>
      <w:r w:rsidR="00806920" w:rsidRPr="003E2A48">
        <w:t>, 2011)</w:t>
      </w:r>
      <w:r w:rsidR="007A6CBA">
        <w:t>;</w:t>
      </w:r>
      <w:r w:rsidR="00806920" w:rsidRPr="003E2A48">
        <w:t xml:space="preserve"> direct measures of </w:t>
      </w:r>
      <w:r w:rsidR="003D5509">
        <w:t>upwelling</w:t>
      </w:r>
      <w:r w:rsidR="00C369A6">
        <w:t>-</w:t>
      </w:r>
      <w:r w:rsidR="003D5509">
        <w:t xml:space="preserve">associated </w:t>
      </w:r>
      <w:r w:rsidR="00806920" w:rsidRPr="003E2A48">
        <w:t xml:space="preserve">productivity (George et al., 2012; </w:t>
      </w:r>
      <w:proofErr w:type="spellStart"/>
      <w:r w:rsidR="00806920" w:rsidRPr="003E2A48">
        <w:t>Madhupratap</w:t>
      </w:r>
      <w:proofErr w:type="spellEnd"/>
      <w:r w:rsidR="00806920" w:rsidRPr="003E2A48">
        <w:t xml:space="preserve"> et al., 1994; </w:t>
      </w:r>
      <w:r w:rsidR="00150976">
        <w:t xml:space="preserve">Manjusha, </w:t>
      </w:r>
      <w:proofErr w:type="spellStart"/>
      <w:r w:rsidR="00150976">
        <w:t>Jayasankar</w:t>
      </w:r>
      <w:proofErr w:type="spellEnd"/>
      <w:r w:rsidR="00150976">
        <w:t xml:space="preserve">, </w:t>
      </w:r>
      <w:proofErr w:type="spellStart"/>
      <w:r w:rsidR="00150976">
        <w:t>Remya</w:t>
      </w:r>
      <w:proofErr w:type="spellEnd"/>
      <w:r w:rsidR="00150976">
        <w:t xml:space="preserve">, Ambrose, &amp; </w:t>
      </w:r>
      <w:proofErr w:type="spellStart"/>
      <w:r w:rsidR="00150976">
        <w:t>Vivekanandan</w:t>
      </w:r>
      <w:proofErr w:type="spellEnd"/>
      <w:r w:rsidR="002C00FE">
        <w:t xml:space="preserve">, 2013; </w:t>
      </w:r>
      <w:r w:rsidR="00806920" w:rsidRPr="003E2A48">
        <w:t xml:space="preserve">Menon et al., 2019; Nair, 1952; Nair &amp; </w:t>
      </w:r>
      <w:proofErr w:type="spellStart"/>
      <w:r w:rsidR="00806920" w:rsidRPr="003E2A48">
        <w:t>Subrahmanyan</w:t>
      </w:r>
      <w:proofErr w:type="spellEnd"/>
      <w:r w:rsidR="00806920" w:rsidRPr="003E2A48">
        <w:t xml:space="preserve">, 1955; </w:t>
      </w:r>
      <w:proofErr w:type="spellStart"/>
      <w:r w:rsidR="00806920" w:rsidRPr="003E2A48">
        <w:t>Piontkovski</w:t>
      </w:r>
      <w:proofErr w:type="spellEnd"/>
      <w:r w:rsidR="00E41E98">
        <w:t>,</w:t>
      </w:r>
      <w:r w:rsidR="00E41E98" w:rsidRPr="00E41E98">
        <w:t xml:space="preserve"> </w:t>
      </w:r>
      <w:r w:rsidR="00E41E98" w:rsidRPr="003E2A48">
        <w:t xml:space="preserve">Al </w:t>
      </w:r>
      <w:proofErr w:type="spellStart"/>
      <w:r w:rsidR="00E41E98" w:rsidRPr="003E2A48">
        <w:t>Oufi</w:t>
      </w:r>
      <w:proofErr w:type="spellEnd"/>
      <w:r w:rsidR="00E41E98" w:rsidRPr="003E2A48">
        <w:t xml:space="preserve">, &amp; Al </w:t>
      </w:r>
      <w:proofErr w:type="spellStart"/>
      <w:r w:rsidR="00E41E98" w:rsidRPr="003E2A48">
        <w:t>Jufaily</w:t>
      </w:r>
      <w:proofErr w:type="spellEnd"/>
      <w:r w:rsidR="00E41E98" w:rsidRPr="003E2A48">
        <w:t>,</w:t>
      </w:r>
      <w:r w:rsidR="00806920" w:rsidRPr="003E2A48">
        <w:t xml:space="preserve"> 2014; </w:t>
      </w:r>
      <w:proofErr w:type="spellStart"/>
      <w:r w:rsidR="00806920" w:rsidRPr="003E2A48">
        <w:t>Pitchaikani</w:t>
      </w:r>
      <w:proofErr w:type="spellEnd"/>
      <w:r w:rsidR="00806920" w:rsidRPr="003E2A48">
        <w:t xml:space="preserve"> &amp; Lipton, 2012)</w:t>
      </w:r>
      <w:r w:rsidR="007A6CBA">
        <w:t>;</w:t>
      </w:r>
      <w:r w:rsidR="00806920" w:rsidRPr="003E2A48">
        <w:t xml:space="preserve"> and </w:t>
      </w:r>
      <w:r w:rsidR="003D5509">
        <w:t xml:space="preserve">the cold </w:t>
      </w:r>
      <w:r w:rsidR="00806920" w:rsidRPr="003E2A48">
        <w:t>nearshore sea surface temperature</w:t>
      </w:r>
      <w:r w:rsidR="003D5509">
        <w:t>s caused by upwelling</w:t>
      </w:r>
      <w:r w:rsidR="003331C2">
        <w:t xml:space="preserve"> (</w:t>
      </w:r>
      <w:proofErr w:type="spellStart"/>
      <w:r w:rsidR="00806920" w:rsidRPr="003E2A48">
        <w:t>Annigeri</w:t>
      </w:r>
      <w:proofErr w:type="spellEnd"/>
      <w:r w:rsidR="00806920" w:rsidRPr="003E2A48">
        <w:t xml:space="preserve">, 1969; Pillai, 1991; Prabhu &amp; </w:t>
      </w:r>
      <w:proofErr w:type="spellStart"/>
      <w:r w:rsidR="00806920" w:rsidRPr="003E2A48">
        <w:t>Dhulkhed</w:t>
      </w:r>
      <w:proofErr w:type="spellEnd"/>
      <w:r w:rsidR="00806920" w:rsidRPr="003E2A48">
        <w:t xml:space="preserve">, 1970; </w:t>
      </w:r>
      <w:proofErr w:type="spellStart"/>
      <w:r w:rsidR="00806920" w:rsidRPr="003E2A48">
        <w:t>Supraba</w:t>
      </w:r>
      <w:proofErr w:type="spellEnd"/>
      <w:r w:rsidR="00806920" w:rsidRPr="003E2A48">
        <w:t xml:space="preserve"> et al., 2016). </w:t>
      </w:r>
    </w:p>
    <w:p w14:paraId="03F160A7" w14:textId="783996EC" w:rsidR="00594885" w:rsidRDefault="003D5509" w:rsidP="00594885">
      <w:pPr>
        <w:pStyle w:val="FirstParagraph"/>
        <w:spacing w:before="0" w:after="0" w:line="480" w:lineRule="auto"/>
        <w:ind w:firstLine="360"/>
      </w:pPr>
      <w:r>
        <w:t xml:space="preserve">In addition, to these regional environmental variables, </w:t>
      </w:r>
      <w:r w:rsidR="00620BF0">
        <w:t xml:space="preserve">climate teleconnection </w:t>
      </w:r>
      <w:r>
        <w:t xml:space="preserve">indices </w:t>
      </w:r>
      <w:r w:rsidR="00620BF0">
        <w:t xml:space="preserve">which capture </w:t>
      </w:r>
      <w:r>
        <w:t xml:space="preserve">large-scale ocean </w:t>
      </w:r>
      <w:r w:rsidR="00620BF0">
        <w:t xml:space="preserve">modes have also been </w:t>
      </w:r>
      <w:r w:rsidR="001C4A92">
        <w:t xml:space="preserve">examined for association with fisheries </w:t>
      </w:r>
      <w:r w:rsidR="00C369A6">
        <w:t>landings.</w:t>
      </w:r>
      <w:r w:rsidR="00620BF0">
        <w:t xml:space="preserve"> </w:t>
      </w:r>
      <w:r w:rsidR="0080508A">
        <w:t>L</w:t>
      </w:r>
      <w:r w:rsidR="0080508A" w:rsidRPr="003E2A48">
        <w:t xml:space="preserve">arge-scale </w:t>
      </w:r>
      <w:r w:rsidR="0080508A">
        <w:t>ocean climate modes</w:t>
      </w:r>
      <w:r w:rsidR="008A6D46">
        <w:t>,</w:t>
      </w:r>
      <w:r w:rsidR="0080508A" w:rsidRPr="003E2A48" w:rsidDel="00DC0216">
        <w:t xml:space="preserve"> </w:t>
      </w:r>
      <w:r w:rsidR="008A6D46" w:rsidRPr="003E2A48">
        <w:t xml:space="preserve">such as </w:t>
      </w:r>
      <w:r w:rsidR="008A6D46">
        <w:t>the</w:t>
      </w:r>
      <w:r w:rsidR="008A6D46" w:rsidRPr="003E2A48">
        <w:t xml:space="preserve"> El Niño</w:t>
      </w:r>
      <w:r w:rsidR="008A6D46">
        <w:t>–</w:t>
      </w:r>
      <w:r w:rsidR="008A6D46" w:rsidRPr="003E2A48">
        <w:t>Southern Oscillation (ENSO)</w:t>
      </w:r>
      <w:r w:rsidR="008B0010">
        <w:t>,</w:t>
      </w:r>
      <w:r w:rsidR="008A6D46">
        <w:t xml:space="preserve"> Indian Ocean Dipole (IOD)</w:t>
      </w:r>
      <w:r w:rsidR="008B0010">
        <w:t xml:space="preserve"> and Atlantic Multidecadal Oscillation (AMO)</w:t>
      </w:r>
      <w:r w:rsidR="008A6D46">
        <w:t xml:space="preserve">, </w:t>
      </w:r>
      <w:r w:rsidR="0080508A">
        <w:t>have</w:t>
      </w:r>
      <w:r w:rsidR="00806920" w:rsidRPr="003E2A48">
        <w:t xml:space="preserve"> cascading effect</w:t>
      </w:r>
      <w:r w:rsidR="0080508A">
        <w:t>s</w:t>
      </w:r>
      <w:r w:rsidR="00806920" w:rsidRPr="003E2A48">
        <w:t xml:space="preserve"> on </w:t>
      </w:r>
      <w:r w:rsidR="008A6D46">
        <w:t xml:space="preserve">a variety of ocean conditions </w:t>
      </w:r>
      <w:r w:rsidR="008C33E5">
        <w:t xml:space="preserve">that </w:t>
      </w:r>
      <w:r w:rsidR="008A6D46">
        <w:t xml:space="preserve">affect small </w:t>
      </w:r>
      <w:proofErr w:type="spellStart"/>
      <w:r w:rsidR="008A6D46">
        <w:t>pelagics</w:t>
      </w:r>
      <w:proofErr w:type="spellEnd"/>
      <w:r w:rsidR="008A6D46">
        <w:t xml:space="preserve"> </w:t>
      </w:r>
      <w:r w:rsidR="008A6D46" w:rsidRPr="003E2A48">
        <w:t>(</w:t>
      </w:r>
      <w:proofErr w:type="spellStart"/>
      <w:r w:rsidR="008A6D46" w:rsidRPr="003E2A48">
        <w:t>Alheit</w:t>
      </w:r>
      <w:proofErr w:type="spellEnd"/>
      <w:r w:rsidR="008A6D46" w:rsidRPr="003E2A48">
        <w:t xml:space="preserve"> &amp; Hagen, 1997; </w:t>
      </w:r>
      <w:proofErr w:type="spellStart"/>
      <w:r w:rsidR="008B0010">
        <w:t>Alheit</w:t>
      </w:r>
      <w:proofErr w:type="spellEnd"/>
      <w:r w:rsidR="008B0010">
        <w:t xml:space="preserve"> et al.</w:t>
      </w:r>
      <w:r w:rsidR="003C71DA">
        <w:t>,</w:t>
      </w:r>
      <w:r w:rsidR="008B0010">
        <w:t xml:space="preserve"> 2019; </w:t>
      </w:r>
      <w:proofErr w:type="spellStart"/>
      <w:r w:rsidR="008A6D46" w:rsidRPr="003E2A48">
        <w:t>Bakun</w:t>
      </w:r>
      <w:proofErr w:type="spellEnd"/>
      <w:r w:rsidR="008A6D46">
        <w:t>,</w:t>
      </w:r>
      <w:r w:rsidR="008A6D46" w:rsidRPr="0065024E">
        <w:t xml:space="preserve"> </w:t>
      </w:r>
      <w:r w:rsidR="008A6D46" w:rsidRPr="003E2A48">
        <w:t xml:space="preserve">Roy, &amp; </w:t>
      </w:r>
      <w:proofErr w:type="spellStart"/>
      <w:r w:rsidR="008A6D46" w:rsidRPr="003E2A48">
        <w:t>Lluch</w:t>
      </w:r>
      <w:proofErr w:type="spellEnd"/>
      <w:r w:rsidR="008A6D46" w:rsidRPr="003E2A48">
        <w:t>-Cota</w:t>
      </w:r>
      <w:r w:rsidR="008A6D46">
        <w:t>,</w:t>
      </w:r>
      <w:r w:rsidR="008A6D46" w:rsidRPr="003E2A48">
        <w:t xml:space="preserve"> 2008</w:t>
      </w:r>
      <w:r w:rsidR="008A6D46">
        <w:t xml:space="preserve">; </w:t>
      </w:r>
      <w:proofErr w:type="spellStart"/>
      <w:r w:rsidR="008A6D46" w:rsidRPr="003E2A48">
        <w:t>Schwartzlose</w:t>
      </w:r>
      <w:proofErr w:type="spellEnd"/>
      <w:r w:rsidR="008A6D46" w:rsidRPr="003E2A48">
        <w:t xml:space="preserve"> et al., 2010)</w:t>
      </w:r>
      <w:r w:rsidR="0080508A">
        <w:t>. C</w:t>
      </w:r>
      <w:r w:rsidR="00806920" w:rsidRPr="003E2A48">
        <w:t xml:space="preserve">orrelations have been found between </w:t>
      </w:r>
      <w:r w:rsidR="00157387">
        <w:t>ocean climate</w:t>
      </w:r>
      <w:r w:rsidR="0080508A">
        <w:t xml:space="preserve"> </w:t>
      </w:r>
      <w:r w:rsidR="00806920" w:rsidRPr="003E2A48">
        <w:t xml:space="preserve">indices and </w:t>
      </w:r>
      <w:r w:rsidR="00DC0216">
        <w:t xml:space="preserve">oil </w:t>
      </w:r>
      <w:r w:rsidR="00806920" w:rsidRPr="003E2A48">
        <w:t>sardine landings (</w:t>
      </w:r>
      <w:r w:rsidR="00157387">
        <w:t xml:space="preserve">Hamza et al., 2020; </w:t>
      </w:r>
      <w:r w:rsidR="00806920" w:rsidRPr="003E2A48">
        <w:t xml:space="preserve">Rohit et al., 2018; </w:t>
      </w:r>
      <w:proofErr w:type="spellStart"/>
      <w:r w:rsidR="00806920" w:rsidRPr="003E2A48">
        <w:t>Supraba</w:t>
      </w:r>
      <w:proofErr w:type="spellEnd"/>
      <w:r w:rsidR="00806920" w:rsidRPr="003E2A48">
        <w:t xml:space="preserve"> et al., 2016)</w:t>
      </w:r>
      <w:r w:rsidR="007A6CBA">
        <w:t>, as well as</w:t>
      </w:r>
      <w:r w:rsidR="00806920" w:rsidRPr="003E2A48">
        <w:t xml:space="preserve"> </w:t>
      </w:r>
      <w:r w:rsidR="00594885">
        <w:t xml:space="preserve">with </w:t>
      </w:r>
      <w:r w:rsidR="00806920" w:rsidRPr="003E2A48">
        <w:t xml:space="preserve">coastal anoxic </w:t>
      </w:r>
      <w:r w:rsidR="00806920" w:rsidRPr="003E2A48">
        <w:lastRenderedPageBreak/>
        <w:t>events (</w:t>
      </w:r>
      <w:proofErr w:type="spellStart"/>
      <w:r w:rsidR="00806920" w:rsidRPr="003E2A48">
        <w:t>Vallivattathillam</w:t>
      </w:r>
      <w:proofErr w:type="spellEnd"/>
      <w:r w:rsidR="00806920" w:rsidRPr="003E2A48">
        <w:t xml:space="preserve"> et al., 2017)</w:t>
      </w:r>
      <w:r w:rsidR="0080508A">
        <w:t xml:space="preserve"> and chlorophyll blooms (Currie et al., 2013) in </w:t>
      </w:r>
      <w:r w:rsidR="00620BF0">
        <w:t>our study region</w:t>
      </w:r>
      <w:r w:rsidR="0080508A">
        <w:t>.</w:t>
      </w:r>
      <w:r w:rsidR="00DC0216">
        <w:t xml:space="preserve"> </w:t>
      </w:r>
    </w:p>
    <w:p w14:paraId="6140DD49" w14:textId="4A5A588D" w:rsidR="00594885" w:rsidRPr="00BA076B" w:rsidRDefault="00B21C41" w:rsidP="003E7D3A">
      <w:pPr>
        <w:pStyle w:val="FirstParagraph"/>
        <w:spacing w:before="0" w:after="0" w:line="480" w:lineRule="auto"/>
        <w:ind w:firstLine="360"/>
        <w:rPr>
          <w:color w:val="000000" w:themeColor="text1"/>
        </w:rPr>
      </w:pPr>
      <w:r w:rsidRPr="00BA076B">
        <w:rPr>
          <w:color w:val="000000" w:themeColor="text1"/>
        </w:rPr>
        <w:t xml:space="preserve">This long and rich history of research on the Indian oil sardine </w:t>
      </w:r>
      <w:r w:rsidR="00C369A6">
        <w:rPr>
          <w:color w:val="000000" w:themeColor="text1"/>
        </w:rPr>
        <w:t>provides</w:t>
      </w:r>
      <w:r w:rsidR="00EB214F" w:rsidRPr="00BA076B">
        <w:rPr>
          <w:color w:val="000000" w:themeColor="text1"/>
        </w:rPr>
        <w:t xml:space="preserve"> </w:t>
      </w:r>
      <w:r w:rsidR="00C369A6">
        <w:rPr>
          <w:color w:val="000000" w:themeColor="text1"/>
        </w:rPr>
        <w:t xml:space="preserve">a strong </w:t>
      </w:r>
      <w:r w:rsidR="00EB214F" w:rsidRPr="00BA076B">
        <w:rPr>
          <w:color w:val="000000" w:themeColor="text1"/>
        </w:rPr>
        <w:t xml:space="preserve">foundation for selecting and specifying </w:t>
      </w:r>
      <w:r w:rsidR="003E7D3A" w:rsidRPr="00BA076B">
        <w:rPr>
          <w:color w:val="000000" w:themeColor="text1"/>
        </w:rPr>
        <w:t>the</w:t>
      </w:r>
      <w:r w:rsidRPr="00BA076B">
        <w:rPr>
          <w:color w:val="000000" w:themeColor="text1"/>
        </w:rPr>
        <w:t xml:space="preserve"> environmental factors</w:t>
      </w:r>
      <w:r w:rsidR="00EB214F" w:rsidRPr="00BA076B">
        <w:rPr>
          <w:color w:val="000000" w:themeColor="text1"/>
        </w:rPr>
        <w:t xml:space="preserve"> </w:t>
      </w:r>
      <w:r w:rsidR="003E7D3A" w:rsidRPr="00BA076B">
        <w:rPr>
          <w:color w:val="000000" w:themeColor="text1"/>
        </w:rPr>
        <w:t xml:space="preserve">that are most likely </w:t>
      </w:r>
      <w:r w:rsidR="00EB214F" w:rsidRPr="00BA076B">
        <w:rPr>
          <w:color w:val="000000" w:themeColor="text1"/>
        </w:rPr>
        <w:t>affecting the</w:t>
      </w:r>
      <w:r w:rsidR="003E7D3A" w:rsidRPr="00BA076B">
        <w:rPr>
          <w:color w:val="000000" w:themeColor="text1"/>
        </w:rPr>
        <w:t xml:space="preserve"> </w:t>
      </w:r>
      <w:r w:rsidR="00EB214F" w:rsidRPr="00BA076B">
        <w:rPr>
          <w:color w:val="000000" w:themeColor="text1"/>
        </w:rPr>
        <w:t>abundance and catchability</w:t>
      </w:r>
      <w:r w:rsidR="003E7D3A" w:rsidRPr="00BA076B">
        <w:rPr>
          <w:color w:val="000000" w:themeColor="text1"/>
        </w:rPr>
        <w:t xml:space="preserve"> of this important commercial species. </w:t>
      </w:r>
      <w:r w:rsidR="00EB214F" w:rsidRPr="00BA076B">
        <w:rPr>
          <w:color w:val="000000" w:themeColor="text1"/>
        </w:rPr>
        <w:t>In this paper, we study the</w:t>
      </w:r>
      <w:r w:rsidR="00594885" w:rsidRPr="00BA076B">
        <w:rPr>
          <w:color w:val="000000" w:themeColor="text1"/>
        </w:rPr>
        <w:t xml:space="preserve"> utility of </w:t>
      </w:r>
      <w:r w:rsidR="00EB214F" w:rsidRPr="00BA076B">
        <w:rPr>
          <w:color w:val="000000" w:themeColor="text1"/>
        </w:rPr>
        <w:t xml:space="preserve">using these </w:t>
      </w:r>
      <w:r w:rsidR="00594885" w:rsidRPr="00BA076B">
        <w:rPr>
          <w:color w:val="000000" w:themeColor="text1"/>
        </w:rPr>
        <w:t xml:space="preserve">environmental covariates </w:t>
      </w:r>
      <w:r w:rsidR="00EB214F" w:rsidRPr="00BA076B">
        <w:rPr>
          <w:color w:val="000000" w:themeColor="text1"/>
        </w:rPr>
        <w:t>to</w:t>
      </w:r>
      <w:r w:rsidR="00594885" w:rsidRPr="00BA076B">
        <w:rPr>
          <w:color w:val="000000" w:themeColor="text1"/>
        </w:rPr>
        <w:t xml:space="preserve"> improv</w:t>
      </w:r>
      <w:r w:rsidR="00EB214F" w:rsidRPr="00BA076B">
        <w:rPr>
          <w:color w:val="000000" w:themeColor="text1"/>
        </w:rPr>
        <w:t xml:space="preserve">e </w:t>
      </w:r>
      <w:r w:rsidRPr="00BA076B">
        <w:rPr>
          <w:color w:val="000000" w:themeColor="text1"/>
        </w:rPr>
        <w:t>out-of-sample landings predictions</w:t>
      </w:r>
      <w:r w:rsidR="00EB214F" w:rsidRPr="00BA076B">
        <w:rPr>
          <w:color w:val="000000" w:themeColor="text1"/>
        </w:rPr>
        <w:t xml:space="preserve"> for the oil sardine, with the ultimate goal of improving short-term operational forecasts.</w:t>
      </w:r>
    </w:p>
    <w:p w14:paraId="174BD2E2" w14:textId="77777777" w:rsidR="00354701" w:rsidRPr="00CA5105" w:rsidRDefault="00354701" w:rsidP="00354701">
      <w:pPr>
        <w:pStyle w:val="Heading2"/>
        <w:spacing w:before="0" w:line="480" w:lineRule="auto"/>
        <w:rPr>
          <w:rFonts w:asciiTheme="minorHAnsi" w:hAnsiTheme="minorHAnsi"/>
          <w:iCs/>
          <w:color w:val="auto"/>
          <w:sz w:val="24"/>
          <w:szCs w:val="24"/>
        </w:rPr>
      </w:pPr>
      <w:bookmarkStart w:id="3" w:name="catch-modeling-versus-biomass-modeling"/>
    </w:p>
    <w:p w14:paraId="6809B5B9" w14:textId="38EB8C2C" w:rsidR="008062F9" w:rsidRPr="00E8348A" w:rsidRDefault="00354701" w:rsidP="00354701">
      <w:pPr>
        <w:pStyle w:val="Heading2"/>
        <w:spacing w:before="0" w:line="480" w:lineRule="auto"/>
        <w:rPr>
          <w:rFonts w:asciiTheme="minorHAnsi" w:hAnsiTheme="minorHAnsi"/>
          <w:iCs/>
          <w:color w:val="auto"/>
          <w:sz w:val="24"/>
          <w:szCs w:val="24"/>
        </w:rPr>
      </w:pPr>
      <w:r w:rsidRPr="00E8348A">
        <w:rPr>
          <w:rFonts w:asciiTheme="minorHAnsi" w:hAnsiTheme="minorHAnsi"/>
          <w:iCs/>
          <w:color w:val="auto"/>
          <w:sz w:val="24"/>
          <w:szCs w:val="24"/>
        </w:rPr>
        <w:t xml:space="preserve">1.1 </w:t>
      </w:r>
      <w:r w:rsidR="00C92E5E">
        <w:rPr>
          <w:rFonts w:asciiTheme="minorHAnsi" w:hAnsiTheme="minorHAnsi"/>
          <w:iCs/>
          <w:color w:val="auto"/>
          <w:sz w:val="24"/>
          <w:szCs w:val="24"/>
        </w:rPr>
        <w:t>M</w:t>
      </w:r>
      <w:r w:rsidR="00806920" w:rsidRPr="00E8348A">
        <w:rPr>
          <w:rFonts w:asciiTheme="minorHAnsi" w:hAnsiTheme="minorHAnsi"/>
          <w:iCs/>
          <w:color w:val="auto"/>
          <w:sz w:val="24"/>
          <w:szCs w:val="24"/>
        </w:rPr>
        <w:t>odeling</w:t>
      </w:r>
      <w:bookmarkEnd w:id="3"/>
      <w:r w:rsidR="00C92E5E">
        <w:rPr>
          <w:rFonts w:asciiTheme="minorHAnsi" w:hAnsiTheme="minorHAnsi"/>
          <w:iCs/>
          <w:color w:val="auto"/>
          <w:sz w:val="24"/>
          <w:szCs w:val="24"/>
        </w:rPr>
        <w:t xml:space="preserve"> </w:t>
      </w:r>
      <w:r w:rsidR="00002086">
        <w:rPr>
          <w:rFonts w:asciiTheme="minorHAnsi" w:hAnsiTheme="minorHAnsi"/>
          <w:iCs/>
          <w:color w:val="auto"/>
          <w:sz w:val="24"/>
          <w:szCs w:val="24"/>
        </w:rPr>
        <w:t xml:space="preserve">and forecasting </w:t>
      </w:r>
      <w:r w:rsidR="00C92E5E">
        <w:rPr>
          <w:rFonts w:asciiTheme="minorHAnsi" w:hAnsiTheme="minorHAnsi"/>
          <w:iCs/>
          <w:color w:val="auto"/>
          <w:sz w:val="24"/>
          <w:szCs w:val="24"/>
        </w:rPr>
        <w:t>fishery landings</w:t>
      </w:r>
    </w:p>
    <w:p w14:paraId="11B5C8EB" w14:textId="5C6E9D9D" w:rsidR="00C92E5E" w:rsidRDefault="00C92E5E" w:rsidP="005D0D40">
      <w:pPr>
        <w:pStyle w:val="FirstParagraph"/>
        <w:spacing w:before="0" w:after="0" w:line="480" w:lineRule="auto"/>
      </w:pPr>
      <w:r>
        <w:t>The m</w:t>
      </w:r>
      <w:r w:rsidRPr="003E2A48">
        <w:t xml:space="preserve">odeling and forecasting </w:t>
      </w:r>
      <w:r>
        <w:t xml:space="preserve">of </w:t>
      </w:r>
      <w:r w:rsidRPr="003E2A48">
        <w:t xml:space="preserve">landings using </w:t>
      </w:r>
      <w:r>
        <w:t>time</w:t>
      </w:r>
      <w:r w:rsidR="00041E4E">
        <w:t>-</w:t>
      </w:r>
      <w:r>
        <w:t xml:space="preserve">series </w:t>
      </w:r>
      <w:r w:rsidRPr="003E2A48">
        <w:t xml:space="preserve">models has </w:t>
      </w:r>
      <w:r>
        <w:t>a long history</w:t>
      </w:r>
      <w:r w:rsidRPr="003E2A48">
        <w:t xml:space="preserve"> in fisheries </w:t>
      </w:r>
      <w:r>
        <w:t xml:space="preserve">research </w:t>
      </w:r>
      <w:r w:rsidRPr="003E2A48">
        <w:t xml:space="preserve">(Cohen &amp; Stone, 1987; Farmer &amp; </w:t>
      </w:r>
      <w:proofErr w:type="spellStart"/>
      <w:r w:rsidRPr="003E2A48">
        <w:t>Froeschke</w:t>
      </w:r>
      <w:proofErr w:type="spellEnd"/>
      <w:r w:rsidRPr="003E2A48">
        <w:t xml:space="preserve">, 2015; </w:t>
      </w:r>
      <w:proofErr w:type="spellStart"/>
      <w:r w:rsidRPr="003E2A48">
        <w:t>Georgakarakos</w:t>
      </w:r>
      <w:proofErr w:type="spellEnd"/>
      <w:r>
        <w:t>,</w:t>
      </w:r>
      <w:r w:rsidRPr="00795B00">
        <w:t xml:space="preserve"> </w:t>
      </w:r>
      <w:proofErr w:type="spellStart"/>
      <w:r w:rsidRPr="003E2A48">
        <w:t>Doutsoubas</w:t>
      </w:r>
      <w:proofErr w:type="spellEnd"/>
      <w:r w:rsidRPr="003E2A48">
        <w:t xml:space="preserve">, &amp; </w:t>
      </w:r>
      <w:proofErr w:type="spellStart"/>
      <w:r w:rsidRPr="003E2A48">
        <w:t>Valavanis</w:t>
      </w:r>
      <w:proofErr w:type="spellEnd"/>
      <w:r w:rsidRPr="003E2A48">
        <w:t>, 2006; Hanson</w:t>
      </w:r>
      <w:r>
        <w:t>,</w:t>
      </w:r>
      <w:r w:rsidRPr="00795B00">
        <w:t xml:space="preserve"> </w:t>
      </w:r>
      <w:r w:rsidRPr="003E2A48">
        <w:t xml:space="preserve">Vaughan, &amp; Narayan, 2006; </w:t>
      </w:r>
      <w:proofErr w:type="spellStart"/>
      <w:r w:rsidRPr="003E2A48">
        <w:t>Lawer</w:t>
      </w:r>
      <w:proofErr w:type="spellEnd"/>
      <w:r w:rsidRPr="003E2A48">
        <w:t xml:space="preserve">, 2016; </w:t>
      </w:r>
      <w:proofErr w:type="spellStart"/>
      <w:r w:rsidRPr="003E2A48">
        <w:t>Lloret</w:t>
      </w:r>
      <w:proofErr w:type="spellEnd"/>
      <w:r>
        <w:t>,</w:t>
      </w:r>
      <w:r w:rsidRPr="00795B00">
        <w:t xml:space="preserve"> </w:t>
      </w:r>
      <w:proofErr w:type="spellStart"/>
      <w:r w:rsidRPr="003E2A48">
        <w:t>Lleonart</w:t>
      </w:r>
      <w:proofErr w:type="spellEnd"/>
      <w:r w:rsidRPr="003E2A48">
        <w:t xml:space="preserve">, &amp; Sole, 2000; Mendelssohn, 1981; Nobel &amp; </w:t>
      </w:r>
      <w:proofErr w:type="spellStart"/>
      <w:r w:rsidRPr="003E2A48">
        <w:t>Sathianandan</w:t>
      </w:r>
      <w:proofErr w:type="spellEnd"/>
      <w:r w:rsidRPr="003E2A48">
        <w:t xml:space="preserve">, 1991; </w:t>
      </w:r>
      <w:proofErr w:type="spellStart"/>
      <w:r w:rsidRPr="003E2A48">
        <w:t>Prista</w:t>
      </w:r>
      <w:proofErr w:type="spellEnd"/>
      <w:r>
        <w:t>,</w:t>
      </w:r>
      <w:r w:rsidRPr="00795B00">
        <w:t xml:space="preserve"> </w:t>
      </w:r>
      <w:r w:rsidRPr="003E2A48">
        <w:t>Diawara, Costa, &amp; Jones,</w:t>
      </w:r>
      <w:r>
        <w:t xml:space="preserve"> </w:t>
      </w:r>
      <w:r w:rsidRPr="003E2A48">
        <w:t xml:space="preserve">2011; Stergiou &amp; Christou, 1996), including </w:t>
      </w:r>
      <w:r>
        <w:t xml:space="preserve">for </w:t>
      </w:r>
      <w:r w:rsidRPr="003E2A48">
        <w:t>oil sardines (</w:t>
      </w:r>
      <w:proofErr w:type="spellStart"/>
      <w:r>
        <w:t>Sa</w:t>
      </w:r>
      <w:r w:rsidR="005F4927">
        <w:t>jn</w:t>
      </w:r>
      <w:r>
        <w:t>a</w:t>
      </w:r>
      <w:proofErr w:type="spellEnd"/>
      <w:r>
        <w:t xml:space="preserve"> et al., 2019; </w:t>
      </w:r>
      <w:r w:rsidRPr="003E2A48">
        <w:t xml:space="preserve">Srinath, 1998; </w:t>
      </w:r>
      <w:proofErr w:type="spellStart"/>
      <w:r w:rsidRPr="003E2A48">
        <w:t>Venugopalan</w:t>
      </w:r>
      <w:proofErr w:type="spellEnd"/>
      <w:r w:rsidRPr="003E2A48">
        <w:t xml:space="preserve"> &amp; Srinath, 1998). These models can be used to identi</w:t>
      </w:r>
      <w:r w:rsidR="00B63427">
        <w:t>f</w:t>
      </w:r>
      <w:r w:rsidRPr="003E2A48">
        <w:t xml:space="preserve">y variables correlated with catch fluctuations and to provide </w:t>
      </w:r>
      <w:r>
        <w:t xml:space="preserve">short-term </w:t>
      </w:r>
      <w:r w:rsidRPr="003E2A48">
        <w:t>landings forecasts</w:t>
      </w:r>
      <w:r>
        <w:t>,</w:t>
      </w:r>
      <w:r w:rsidRPr="003E2A48">
        <w:t xml:space="preserve"> which are useful for fishery managers </w:t>
      </w:r>
      <w:r>
        <w:t>(</w:t>
      </w:r>
      <w:r w:rsidR="00C62033">
        <w:t>e.g.,</w:t>
      </w:r>
      <w:r>
        <w:t xml:space="preserve"> </w:t>
      </w:r>
      <w:r w:rsidRPr="003E2A48">
        <w:t xml:space="preserve">Farmer &amp; </w:t>
      </w:r>
      <w:proofErr w:type="spellStart"/>
      <w:r w:rsidRPr="003E2A48">
        <w:t>Froeschke</w:t>
      </w:r>
      <w:proofErr w:type="spellEnd"/>
      <w:r w:rsidRPr="003E2A48">
        <w:t>, 2015</w:t>
      </w:r>
      <w:r>
        <w:t xml:space="preserve">) </w:t>
      </w:r>
      <w:r w:rsidRPr="003E2A48">
        <w:t>and the fishing industry</w:t>
      </w:r>
      <w:r>
        <w:t xml:space="preserve"> (</w:t>
      </w:r>
      <w:r w:rsidR="00C62033">
        <w:t>e.g.,</w:t>
      </w:r>
      <w:r>
        <w:t xml:space="preserve"> </w:t>
      </w:r>
      <w:r w:rsidRPr="003E2A48">
        <w:t>Hanson et al., 2006</w:t>
      </w:r>
      <w:r>
        <w:t>;</w:t>
      </w:r>
      <w:r w:rsidRPr="00076378">
        <w:t xml:space="preserve"> </w:t>
      </w:r>
      <w:r w:rsidRPr="003E2A48">
        <w:t>Schaaf</w:t>
      </w:r>
      <w:r>
        <w:t>,</w:t>
      </w:r>
      <w:r w:rsidRPr="00795B00">
        <w:t xml:space="preserve"> </w:t>
      </w:r>
      <w:r w:rsidRPr="003E2A48">
        <w:t xml:space="preserve">Sykes, &amp; </w:t>
      </w:r>
      <w:proofErr w:type="spellStart"/>
      <w:r w:rsidRPr="003E2A48">
        <w:t>Chapoton</w:t>
      </w:r>
      <w:proofErr w:type="spellEnd"/>
      <w:r w:rsidRPr="003E2A48">
        <w:t>, 1975).</w:t>
      </w:r>
      <w:r>
        <w:t xml:space="preserve"> </w:t>
      </w:r>
    </w:p>
    <w:p w14:paraId="07BD5597" w14:textId="073F26C0" w:rsidR="00D27829" w:rsidRDefault="00ED6329" w:rsidP="006D57DD">
      <w:pPr>
        <w:pStyle w:val="FirstParagraph"/>
        <w:spacing w:before="0" w:after="0" w:line="480" w:lineRule="auto"/>
        <w:ind w:firstLine="360"/>
      </w:pPr>
      <w:r>
        <w:t>One of the interesting puzzles in research on landings forecasting, and forecasting in general, is that it is often difficult to improve on simple low-dimensional autoregressive forecast models, that is a forecast that is a simple function of past values</w:t>
      </w:r>
      <w:r w:rsidR="00D27829">
        <w:t xml:space="preserve"> (Ward</w:t>
      </w:r>
      <w:r w:rsidR="00954A16">
        <w:t xml:space="preserve">, Holmes, Thorson, &amp; Collen, </w:t>
      </w:r>
      <w:r w:rsidR="00D27829">
        <w:t>2014), and adding environmental covariates often degrade</w:t>
      </w:r>
      <w:r w:rsidR="00954A16">
        <w:t>s</w:t>
      </w:r>
      <w:r w:rsidR="00D27829">
        <w:t xml:space="preserve"> the forecast</w:t>
      </w:r>
      <w:r w:rsidR="00954A16">
        <w:t xml:space="preserve"> </w:t>
      </w:r>
      <w:r w:rsidR="00954A16">
        <w:lastRenderedPageBreak/>
        <w:t>due to the added parameter estimation costs</w:t>
      </w:r>
      <w:r w:rsidR="00D27829">
        <w:t>. The Indian oil sardine offers a unique opportunity to study the utility of environmental covariates for landings forecasts because there is extensive prior research of the environmental variables that influence the oil sardine</w:t>
      </w:r>
      <w:r w:rsidR="00041E4E">
        <w:t>’s</w:t>
      </w:r>
      <w:r w:rsidR="00954A16">
        <w:t xml:space="preserve"> ocean environment</w:t>
      </w:r>
      <w:r w:rsidR="00D27829">
        <w:t xml:space="preserve"> and </w:t>
      </w:r>
      <w:r w:rsidR="00041E4E">
        <w:t>its</w:t>
      </w:r>
      <w:r w:rsidR="00D27829">
        <w:t xml:space="preserve"> exposure to the fishery and there is a long-term quarterly</w:t>
      </w:r>
      <w:r w:rsidR="00D27829" w:rsidRPr="003E2A48">
        <w:t xml:space="preserve"> </w:t>
      </w:r>
      <w:r w:rsidR="00D27829">
        <w:t xml:space="preserve">catch </w:t>
      </w:r>
      <w:r w:rsidR="00D27829" w:rsidRPr="003E2A48">
        <w:t xml:space="preserve">time series derived from </w:t>
      </w:r>
      <w:r w:rsidR="00954A16">
        <w:t xml:space="preserve">a large-scale </w:t>
      </w:r>
      <w:r w:rsidR="00D27829">
        <w:t xml:space="preserve">stratified </w:t>
      </w:r>
      <w:r w:rsidR="00954A16">
        <w:t xml:space="preserve">statistical </w:t>
      </w:r>
      <w:r w:rsidR="00D27829" w:rsidRPr="003E2A48">
        <w:t>survey</w:t>
      </w:r>
      <w:r w:rsidR="00954A16">
        <w:t xml:space="preserve"> </w:t>
      </w:r>
      <w:r w:rsidR="00D27829">
        <w:t>beginning</w:t>
      </w:r>
      <w:r w:rsidR="00D27829" w:rsidRPr="003E2A48">
        <w:t xml:space="preserve"> in the 1950s (Srinath</w:t>
      </w:r>
      <w:r w:rsidR="00D27829">
        <w:t>,</w:t>
      </w:r>
      <w:r w:rsidR="00D27829" w:rsidRPr="00E41E98">
        <w:t xml:space="preserve"> </w:t>
      </w:r>
      <w:r w:rsidR="00D27829" w:rsidRPr="003E2A48">
        <w:t>Kuriakose, &amp; Mini</w:t>
      </w:r>
      <w:r w:rsidR="00D27829">
        <w:t>,</w:t>
      </w:r>
      <w:r w:rsidR="00D27829" w:rsidRPr="003E2A48">
        <w:t xml:space="preserve"> 2005)</w:t>
      </w:r>
      <w:r w:rsidR="00D27829">
        <w:t>.</w:t>
      </w:r>
    </w:p>
    <w:p w14:paraId="0BE7DC6E" w14:textId="5A8690FC" w:rsidR="001B2B7D" w:rsidRPr="003E2A48" w:rsidRDefault="00AB0F6E" w:rsidP="00AB0F6E">
      <w:pPr>
        <w:pStyle w:val="BodyText"/>
        <w:spacing w:before="0" w:after="0" w:line="480" w:lineRule="auto"/>
        <w:ind w:firstLine="720"/>
      </w:pPr>
      <w:r>
        <w:t>We first developed an autoregressive</w:t>
      </w:r>
      <w:r w:rsidRPr="003E2A48">
        <w:t xml:space="preserve"> base catch model</w:t>
      </w:r>
      <w:r>
        <w:t xml:space="preserve"> using only the prior year landings to explain </w:t>
      </w:r>
      <w:r w:rsidR="00BA06F4">
        <w:t xml:space="preserve">the </w:t>
      </w:r>
      <w:r w:rsidR="00344604">
        <w:t>current year</w:t>
      </w:r>
      <w:r w:rsidR="00BA06F4">
        <w:t xml:space="preserve"> </w:t>
      </w:r>
      <w:r w:rsidR="00344604">
        <w:t>landings</w:t>
      </w:r>
      <w:r>
        <w:t>.</w:t>
      </w:r>
      <w:r w:rsidR="00D8282F">
        <w:t xml:space="preserve"> </w:t>
      </w:r>
      <w:r w:rsidR="00041E4E">
        <w:t>E</w:t>
      </w:r>
      <w:r>
        <w:t>nvironmental covariates were then added to the base model</w:t>
      </w:r>
      <w:r w:rsidR="00DC6AF4">
        <w:t xml:space="preserve"> and we examined whether the covariate </w:t>
      </w:r>
      <w:r w:rsidR="00536538">
        <w:t>decreased the</w:t>
      </w:r>
      <w:r w:rsidR="00DC6AF4">
        <w:t xml:space="preserve"> out-of-sample </w:t>
      </w:r>
      <w:r w:rsidR="00536538">
        <w:t>prediction</w:t>
      </w:r>
      <w:r w:rsidR="00DC6AF4">
        <w:t xml:space="preserve"> </w:t>
      </w:r>
      <w:r w:rsidR="00536538">
        <w:t>errors</w:t>
      </w:r>
      <w:r w:rsidR="00DC6AF4">
        <w:t xml:space="preserve"> and</w:t>
      </w:r>
      <w:r>
        <w:t xml:space="preserve"> explain</w:t>
      </w:r>
      <w:r w:rsidR="00DC6AF4">
        <w:t>ed</w:t>
      </w:r>
      <w:r>
        <w:t xml:space="preserve"> catch variability beyond that explained by the base model. </w:t>
      </w:r>
      <w:r w:rsidR="006D57DD">
        <w:t>W</w:t>
      </w:r>
      <w:r w:rsidR="001B2B7D" w:rsidRPr="003E2A48">
        <w:t xml:space="preserve">e </w:t>
      </w:r>
      <w:r>
        <w:t>tested models with</w:t>
      </w:r>
      <w:r w:rsidR="001B2B7D">
        <w:t xml:space="preserve"> </w:t>
      </w:r>
      <w:r>
        <w:t xml:space="preserve">linear, </w:t>
      </w:r>
      <w:r w:rsidR="001B2B7D">
        <w:t xml:space="preserve">non-linear </w:t>
      </w:r>
      <w:r w:rsidR="00F57279">
        <w:t xml:space="preserve">and time-varying </w:t>
      </w:r>
      <w:r>
        <w:t>covariate effects</w:t>
      </w:r>
      <w:r w:rsidR="006D57DD" w:rsidRPr="003E2A48">
        <w:t>.</w:t>
      </w:r>
      <w:r w:rsidR="006D57DD">
        <w:t xml:space="preserve"> </w:t>
      </w:r>
      <w:r w:rsidR="001B2B7D">
        <w:t>We</w:t>
      </w:r>
      <w:r>
        <w:t xml:space="preserve"> </w:t>
      </w:r>
      <w:r w:rsidR="001B2B7D">
        <w:t xml:space="preserve">focused </w:t>
      </w:r>
      <w:r w:rsidR="00DC6AF4">
        <w:t xml:space="preserve">primarily </w:t>
      </w:r>
      <w:r w:rsidR="001B2B7D">
        <w:t>on</w:t>
      </w:r>
      <w:r w:rsidR="00F74F5E">
        <w:t xml:space="preserve"> covariates derived from</w:t>
      </w:r>
      <w:r w:rsidR="001B2B7D" w:rsidRPr="003E2A48">
        <w:t xml:space="preserve"> remote sensing </w:t>
      </w:r>
      <w:r w:rsidR="00F74F5E">
        <w:t>products</w:t>
      </w:r>
      <w:r w:rsidR="001B2B7D">
        <w:t xml:space="preserve"> due to their broad</w:t>
      </w:r>
      <w:r w:rsidR="001B2B7D" w:rsidRPr="003E2A48">
        <w:t xml:space="preserve"> spatial </w:t>
      </w:r>
      <w:r w:rsidR="00F74F5E">
        <w:t>availability</w:t>
      </w:r>
      <w:r w:rsidR="00F74F5E" w:rsidRPr="003E2A48">
        <w:t xml:space="preserve"> </w:t>
      </w:r>
      <w:r w:rsidR="001B2B7D" w:rsidRPr="003E2A48">
        <w:t>a</w:t>
      </w:r>
      <w:r w:rsidR="001B2B7D">
        <w:t>nd</w:t>
      </w:r>
      <w:r w:rsidR="001B2B7D" w:rsidRPr="003E2A48">
        <w:t xml:space="preserve"> </w:t>
      </w:r>
      <w:r w:rsidR="00F57279">
        <w:t>temporal</w:t>
      </w:r>
      <w:r w:rsidR="001B2B7D" w:rsidRPr="003E2A48">
        <w:t xml:space="preserve"> resolution</w:t>
      </w:r>
      <w:r w:rsidR="001B2B7D">
        <w:t>,</w:t>
      </w:r>
      <w:r w:rsidR="001B2B7D" w:rsidRPr="003E2A48">
        <w:t xml:space="preserve"> </w:t>
      </w:r>
      <w:r w:rsidR="001B2B7D">
        <w:t xml:space="preserve">which make them </w:t>
      </w:r>
      <w:r w:rsidR="001B2B7D" w:rsidRPr="003E2A48">
        <w:t xml:space="preserve">practical for </w:t>
      </w:r>
      <w:r w:rsidR="00D27829">
        <w:t xml:space="preserve">future </w:t>
      </w:r>
      <w:r w:rsidR="001B2B7D" w:rsidRPr="003E2A48">
        <w:t>operational forecast</w:t>
      </w:r>
      <w:r w:rsidR="001B2B7D">
        <w:t>ing</w:t>
      </w:r>
      <w:r>
        <w:t xml:space="preserve"> efforts</w:t>
      </w:r>
      <w:r w:rsidR="001B2B7D" w:rsidRPr="003E2A48">
        <w:t xml:space="preserve">. The covariates </w:t>
      </w:r>
      <w:r w:rsidR="001A2F31">
        <w:t>were selected</w:t>
      </w:r>
      <w:r w:rsidR="001B2B7D">
        <w:t xml:space="preserve"> based on </w:t>
      </w:r>
      <w:r>
        <w:t xml:space="preserve">prior research supporting </w:t>
      </w:r>
      <w:r w:rsidR="00CC35A8">
        <w:t xml:space="preserve">their </w:t>
      </w:r>
      <w:r>
        <w:t xml:space="preserve">correlation with </w:t>
      </w:r>
      <w:r w:rsidR="00D27829">
        <w:t>nearshore productivity,</w:t>
      </w:r>
      <w:r w:rsidR="00B55B3E">
        <w:t xml:space="preserve"> juvenile growth and survival, and </w:t>
      </w:r>
      <w:r w:rsidR="00CC35A8">
        <w:t xml:space="preserve">movement into or out of the </w:t>
      </w:r>
      <w:r w:rsidR="00467186">
        <w:t>nearshore (</w:t>
      </w:r>
      <w:r w:rsidR="00CC35A8">
        <w:t>where they are exposed to the</w:t>
      </w:r>
      <w:r w:rsidR="003F5B3F">
        <w:t xml:space="preserve"> </w:t>
      </w:r>
      <w:r w:rsidR="00467186">
        <w:t xml:space="preserve">fishery); </w:t>
      </w:r>
      <w:r w:rsidR="000D41D4">
        <w:t>s</w:t>
      </w:r>
      <w:r w:rsidR="00467186">
        <w:t xml:space="preserve">ee </w:t>
      </w:r>
      <w:r w:rsidR="001B2B7D">
        <w:t xml:space="preserve">Table </w:t>
      </w:r>
      <w:r w:rsidR="00467186">
        <w:t>1</w:t>
      </w:r>
      <w:r w:rsidR="001B2B7D" w:rsidRPr="003E2A48">
        <w:t>.</w:t>
      </w:r>
      <w:r w:rsidR="00467186">
        <w:t xml:space="preserve"> </w:t>
      </w:r>
    </w:p>
    <w:p w14:paraId="7853A6B4" w14:textId="77777777" w:rsidR="00354701" w:rsidRDefault="00354701" w:rsidP="00354701">
      <w:pPr>
        <w:pStyle w:val="Heading3"/>
        <w:spacing w:before="0" w:line="480" w:lineRule="auto"/>
        <w:rPr>
          <w:rFonts w:asciiTheme="minorHAnsi" w:hAnsiTheme="minorHAnsi"/>
          <w:i/>
          <w:color w:val="auto"/>
          <w:sz w:val="24"/>
          <w:szCs w:val="24"/>
        </w:rPr>
      </w:pPr>
      <w:bookmarkStart w:id="4" w:name="study-area"/>
    </w:p>
    <w:p w14:paraId="0E13BBCD" w14:textId="503D70D8"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1.2 </w:t>
      </w:r>
      <w:r w:rsidR="00806920" w:rsidRPr="00F950DA">
        <w:rPr>
          <w:rFonts w:asciiTheme="minorHAnsi" w:hAnsiTheme="minorHAnsi"/>
          <w:iCs/>
          <w:color w:val="auto"/>
          <w:sz w:val="24"/>
          <w:szCs w:val="24"/>
        </w:rPr>
        <w:t xml:space="preserve">Study </w:t>
      </w:r>
      <w:r w:rsidR="00FD7A0B" w:rsidRPr="00F950DA">
        <w:rPr>
          <w:rFonts w:asciiTheme="minorHAnsi" w:hAnsiTheme="minorHAnsi"/>
          <w:iCs/>
          <w:color w:val="auto"/>
          <w:sz w:val="24"/>
          <w:szCs w:val="24"/>
        </w:rPr>
        <w:t>a</w:t>
      </w:r>
      <w:r w:rsidR="00806920" w:rsidRPr="00F950DA">
        <w:rPr>
          <w:rFonts w:asciiTheme="minorHAnsi" w:hAnsiTheme="minorHAnsi"/>
          <w:iCs/>
          <w:color w:val="auto"/>
          <w:sz w:val="24"/>
          <w:szCs w:val="24"/>
        </w:rPr>
        <w:t>rea</w:t>
      </w:r>
      <w:bookmarkEnd w:id="4"/>
    </w:p>
    <w:p w14:paraId="26186344" w14:textId="6F435DE5" w:rsidR="008062F9" w:rsidRPr="003E2A48" w:rsidRDefault="00B801AB" w:rsidP="00354701">
      <w:pPr>
        <w:pStyle w:val="FirstParagraph"/>
        <w:spacing w:before="0" w:after="0" w:line="480" w:lineRule="auto"/>
      </w:pPr>
      <w:r>
        <w:t>The study area is located off</w:t>
      </w:r>
      <w:r w:rsidR="00806920" w:rsidRPr="003E2A48">
        <w:t xml:space="preserve"> the Kerala coast</w:t>
      </w:r>
      <w:r>
        <w:t xml:space="preserve"> of India</w:t>
      </w:r>
      <w:r w:rsidR="00806920" w:rsidRPr="003E2A48">
        <w:t xml:space="preserve"> (Figure 1</w:t>
      </w:r>
      <w:r w:rsidR="00913EF0">
        <w:t xml:space="preserve"> and 2</w:t>
      </w:r>
      <w:r w:rsidR="00806920" w:rsidRPr="003E2A48">
        <w:t xml:space="preserve">), where the majority of Indian oil sardines are landed and where </w:t>
      </w:r>
      <w:r>
        <w:t>this species</w:t>
      </w:r>
      <w:r w:rsidR="00806920" w:rsidRPr="003E2A48">
        <w:t xml:space="preserve"> comprise</w:t>
      </w:r>
      <w:r>
        <w:t>s</w:t>
      </w:r>
      <w:r w:rsidR="00806920" w:rsidRPr="003E2A48">
        <w:t xml:space="preserve"> </w:t>
      </w:r>
      <w:r>
        <w:t>about</w:t>
      </w:r>
      <w:r w:rsidR="00806920" w:rsidRPr="003E2A48">
        <w:t xml:space="preserve"> 40% of the marine fish catch (Srinath, 1998; </w:t>
      </w:r>
      <w:proofErr w:type="spellStart"/>
      <w:r w:rsidR="00806920" w:rsidRPr="003E2A48">
        <w:t>Vivekanandan</w:t>
      </w:r>
      <w:proofErr w:type="spellEnd"/>
      <w:r w:rsidR="00806920" w:rsidRPr="003E2A48">
        <w:t xml:space="preserve"> et al., 2003). </w:t>
      </w:r>
      <w:r w:rsidR="002C77A6">
        <w:t>It</w:t>
      </w:r>
      <w:r w:rsidR="00806920" w:rsidRPr="003E2A48">
        <w:t xml:space="preserve"> is in the Southeast Arabian Sea, one of </w:t>
      </w:r>
      <w:r>
        <w:t xml:space="preserve">the </w:t>
      </w:r>
      <w:r w:rsidR="00806920" w:rsidRPr="003E2A48">
        <w:t xml:space="preserve">world’s </w:t>
      </w:r>
      <w:r w:rsidR="00B61F41">
        <w:t>important</w:t>
      </w:r>
      <w:r w:rsidR="00806920" w:rsidRPr="003E2A48">
        <w:t xml:space="preserve"> </w:t>
      </w:r>
      <w:r w:rsidR="00CC35A8">
        <w:t xml:space="preserve">seasonal </w:t>
      </w:r>
      <w:r w:rsidR="00806920" w:rsidRPr="003E2A48">
        <w:t>upwelling zones (</w:t>
      </w:r>
      <w:proofErr w:type="spellStart"/>
      <w:r w:rsidR="00806920" w:rsidRPr="003E2A48">
        <w:t>Habeebrehman</w:t>
      </w:r>
      <w:proofErr w:type="spellEnd"/>
      <w:r w:rsidR="00806920" w:rsidRPr="003E2A48">
        <w:t xml:space="preserve"> et al., 2008; </w:t>
      </w:r>
      <w:proofErr w:type="spellStart"/>
      <w:r w:rsidR="00806920" w:rsidRPr="003E2A48">
        <w:t>Madhupratap</w:t>
      </w:r>
      <w:proofErr w:type="spellEnd"/>
      <w:r w:rsidR="00795B00">
        <w:t>,</w:t>
      </w:r>
      <w:r w:rsidR="00795B00" w:rsidRPr="00795B00">
        <w:t xml:space="preserve"> </w:t>
      </w:r>
      <w:r w:rsidR="00795B00" w:rsidRPr="003E2A48">
        <w:t xml:space="preserve">Gopalakrishnan, </w:t>
      </w:r>
      <w:proofErr w:type="spellStart"/>
      <w:r w:rsidR="00795B00" w:rsidRPr="003E2A48">
        <w:t>Haridas</w:t>
      </w:r>
      <w:proofErr w:type="spellEnd"/>
      <w:r w:rsidR="00795B00" w:rsidRPr="003E2A48">
        <w:t>, &amp; Nair</w:t>
      </w:r>
      <w:r w:rsidR="00806920" w:rsidRPr="003E2A48">
        <w:t xml:space="preserve">, 2001). </w:t>
      </w:r>
      <w:r>
        <w:t>T</w:t>
      </w:r>
      <w:r w:rsidR="00806920" w:rsidRPr="003E2A48">
        <w:t>he</w:t>
      </w:r>
      <w:r w:rsidR="002C77A6">
        <w:t xml:space="preserve"> port</w:t>
      </w:r>
      <w:r>
        <w:t xml:space="preserve">ion of the </w:t>
      </w:r>
      <w:r w:rsidR="00806920" w:rsidRPr="003E2A48">
        <w:t>study area</w:t>
      </w:r>
      <w:r>
        <w:t xml:space="preserve"> falling</w:t>
      </w:r>
      <w:r w:rsidR="00806920" w:rsidRPr="003E2A48">
        <w:t xml:space="preserve"> </w:t>
      </w:r>
      <w:r w:rsidR="00806920" w:rsidRPr="003E2A48">
        <w:lastRenderedPageBreak/>
        <w:t>between 9</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w:t>
      </w:r>
      <m:oMath>
        <m:r>
          <m:rPr>
            <m:sty m:val="p"/>
          </m:rPr>
          <w:rPr>
            <w:rFonts w:ascii="Cambria Math" w:hAnsi="Cambria Math"/>
          </w:rPr>
          <m:t xml:space="preserve"> and</m:t>
        </m:r>
      </m:oMath>
      <w:r w:rsidR="00806920" w:rsidRPr="003E2A48">
        <w:t xml:space="preserve"> 13</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 xml:space="preserve">N has especially intense upwelling </w:t>
      </w:r>
      <w:r w:rsidR="009F13A6">
        <w:t>in June–September</w:t>
      </w:r>
      <w:r w:rsidR="009F13A6" w:rsidRPr="003E2A48">
        <w:t xml:space="preserve"> </w:t>
      </w:r>
      <w:r w:rsidR="00806920" w:rsidRPr="003E2A48">
        <w:t xml:space="preserve">due to the combined effects of wind stress </w:t>
      </w:r>
      <w:r w:rsidR="00913EF0">
        <w:t xml:space="preserve">(Figure 2) </w:t>
      </w:r>
      <w:r w:rsidR="00806920" w:rsidRPr="003E2A48">
        <w:t>and remote forcing (BR, 2010; BR</w:t>
      </w:r>
      <w:r w:rsidR="00795B00">
        <w:t>,</w:t>
      </w:r>
      <w:r w:rsidR="00795B00" w:rsidRPr="00795B00">
        <w:t xml:space="preserve"> </w:t>
      </w:r>
      <w:proofErr w:type="spellStart"/>
      <w:r w:rsidR="00795B00" w:rsidRPr="003E2A48">
        <w:t>Sanjeevan</w:t>
      </w:r>
      <w:proofErr w:type="spellEnd"/>
      <w:r w:rsidR="00795B00" w:rsidRPr="003E2A48">
        <w:t xml:space="preserve">, </w:t>
      </w:r>
      <w:proofErr w:type="spellStart"/>
      <w:r w:rsidR="00795B00" w:rsidRPr="003E2A48">
        <w:t>Vimalkumar</w:t>
      </w:r>
      <w:proofErr w:type="spellEnd"/>
      <w:r w:rsidR="00795B00" w:rsidRPr="003E2A48">
        <w:t xml:space="preserve">, &amp; </w:t>
      </w:r>
      <w:proofErr w:type="spellStart"/>
      <w:r w:rsidR="00795B00" w:rsidRPr="003E2A48">
        <w:t>Revichandran</w:t>
      </w:r>
      <w:proofErr w:type="spellEnd"/>
      <w:r w:rsidR="00806920" w:rsidRPr="003E2A48">
        <w:t>, 2008</w:t>
      </w:r>
      <w:r w:rsidR="007F09AF">
        <w:t>; Shah et al., 2019</w:t>
      </w:r>
      <w:r w:rsidR="00806920" w:rsidRPr="003E2A48">
        <w:t xml:space="preserve">). </w:t>
      </w:r>
      <w:r w:rsidR="009F13A6">
        <w:t>Upwelling gives rise to</w:t>
      </w:r>
      <w:r w:rsidR="00806920" w:rsidRPr="003E2A48">
        <w:t xml:space="preserve"> a strong temperature differential between the nearshore and offshore</w:t>
      </w:r>
      <w:r w:rsidR="00076B9A">
        <w:t>,</w:t>
      </w:r>
      <w:r w:rsidR="00806920" w:rsidRPr="003E2A48">
        <w:t xml:space="preserve"> and high primary productivity and surface chlorophyll (BR, 2010; Chauhan et al., 2011; </w:t>
      </w:r>
      <w:proofErr w:type="spellStart"/>
      <w:r w:rsidR="00806920" w:rsidRPr="003E2A48">
        <w:t>Habeebrehman</w:t>
      </w:r>
      <w:proofErr w:type="spellEnd"/>
      <w:r w:rsidR="00806920" w:rsidRPr="003E2A48">
        <w:t xml:space="preserve"> et al., 2008</w:t>
      </w:r>
      <w:r w:rsidR="00C77DE7">
        <w:t xml:space="preserve">; </w:t>
      </w:r>
      <w:proofErr w:type="spellStart"/>
      <w:r w:rsidR="00C77DE7">
        <w:t>Shafeeque</w:t>
      </w:r>
      <w:proofErr w:type="spellEnd"/>
      <w:r w:rsidR="00C77DE7">
        <w:t xml:space="preserve"> et al., 2019</w:t>
      </w:r>
      <w:r w:rsidR="00806920" w:rsidRPr="003E2A48">
        <w:t xml:space="preserve">). </w:t>
      </w:r>
      <w:r w:rsidR="00076B9A">
        <w:t>P</w:t>
      </w:r>
      <w:r w:rsidR="00806920" w:rsidRPr="003E2A48">
        <w:t>rimary productivity subside</w:t>
      </w:r>
      <w:r w:rsidR="00076B9A">
        <w:t>s</w:t>
      </w:r>
      <w:r w:rsidR="00806920" w:rsidRPr="003E2A48">
        <w:t xml:space="preserve"> after September</w:t>
      </w:r>
      <w:r w:rsidR="00076B9A">
        <w:t>, whereas</w:t>
      </w:r>
      <w:r w:rsidR="00806920" w:rsidRPr="003E2A48">
        <w:t xml:space="preserve"> </w:t>
      </w:r>
      <w:proofErr w:type="spellStart"/>
      <w:r w:rsidR="00806920" w:rsidRPr="003E2A48">
        <w:t>mesozooplankton</w:t>
      </w:r>
      <w:proofErr w:type="spellEnd"/>
      <w:r w:rsidR="00806920" w:rsidRPr="003E2A48">
        <w:t xml:space="preserve"> abundances increase and remain high in the post-monsoon period (</w:t>
      </w:r>
      <w:proofErr w:type="spellStart"/>
      <w:r w:rsidR="00806920" w:rsidRPr="003E2A48">
        <w:t>Madhupratap</w:t>
      </w:r>
      <w:proofErr w:type="spellEnd"/>
      <w:r w:rsidR="00806920" w:rsidRPr="003E2A48">
        <w:t xml:space="preserve"> et al., 2001).</w:t>
      </w:r>
    </w:p>
    <w:p w14:paraId="1D78083A" w14:textId="77777777" w:rsidR="00354701" w:rsidRDefault="00354701" w:rsidP="00354701">
      <w:pPr>
        <w:pStyle w:val="Heading3"/>
        <w:spacing w:before="0" w:line="480" w:lineRule="auto"/>
        <w:rPr>
          <w:rFonts w:asciiTheme="minorHAnsi" w:hAnsiTheme="minorHAnsi"/>
          <w:i/>
          <w:color w:val="auto"/>
          <w:sz w:val="24"/>
          <w:szCs w:val="24"/>
        </w:rPr>
      </w:pPr>
      <w:bookmarkStart w:id="5" w:name="oil-sardine-life-cycle-and-fishery"/>
    </w:p>
    <w:p w14:paraId="10A4FF99" w14:textId="597AF1A7"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1.3 </w:t>
      </w:r>
      <w:r w:rsidR="00806920" w:rsidRPr="00F950DA">
        <w:rPr>
          <w:rFonts w:asciiTheme="minorHAnsi" w:hAnsiTheme="minorHAnsi"/>
          <w:iCs/>
          <w:color w:val="auto"/>
          <w:sz w:val="24"/>
          <w:szCs w:val="24"/>
        </w:rPr>
        <w:t>Oil sardine life cycle</w:t>
      </w:r>
      <w:bookmarkEnd w:id="5"/>
      <w:r w:rsidR="00261C4C">
        <w:rPr>
          <w:rFonts w:asciiTheme="minorHAnsi" w:hAnsiTheme="minorHAnsi"/>
          <w:iCs/>
          <w:color w:val="auto"/>
          <w:sz w:val="24"/>
          <w:szCs w:val="24"/>
        </w:rPr>
        <w:t xml:space="preserve"> and fishery interaction</w:t>
      </w:r>
    </w:p>
    <w:p w14:paraId="6346C150" w14:textId="1BD6130B" w:rsidR="00261C4C" w:rsidRPr="00261C4C" w:rsidRDefault="00806920" w:rsidP="00F1418F">
      <w:pPr>
        <w:pStyle w:val="FirstParagraph"/>
        <w:spacing w:before="0" w:after="0" w:line="480" w:lineRule="auto"/>
      </w:pPr>
      <w:r w:rsidRPr="003E2A48">
        <w:t>The Indian oil sardine fishery is restricted to the narrow strip of the western India</w:t>
      </w:r>
      <w:r w:rsidR="00D5505A">
        <w:t>n</w:t>
      </w:r>
      <w:r w:rsidRPr="003E2A48">
        <w:t xml:space="preserve"> continental shelf, </w:t>
      </w:r>
      <w:r w:rsidR="00D95A81">
        <w:t>&lt;</w:t>
      </w:r>
      <w:r w:rsidRPr="003E2A48">
        <w:t xml:space="preserve">20 km </w:t>
      </w:r>
      <w:r w:rsidR="00D95A81">
        <w:t>off</w:t>
      </w:r>
      <w:r w:rsidRPr="003E2A48">
        <w:t>shore (Figure 1</w:t>
      </w:r>
      <w:r w:rsidR="005F4927">
        <w:t>; Rohit et al., 2018</w:t>
      </w:r>
      <w:r w:rsidRPr="003E2A48">
        <w:t xml:space="preserve">). </w:t>
      </w:r>
      <w:r w:rsidR="002C77A6">
        <w:t>The</w:t>
      </w:r>
      <w:r w:rsidR="00D95A81" w:rsidRPr="003E2A48">
        <w:t xml:space="preserve"> </w:t>
      </w:r>
      <w:r w:rsidRPr="003E2A48">
        <w:t>yearly cycle</w:t>
      </w:r>
      <w:r w:rsidR="002C77A6">
        <w:t xml:space="preserve"> </w:t>
      </w:r>
      <w:r w:rsidRPr="003E2A48">
        <w:t xml:space="preserve">begins </w:t>
      </w:r>
      <w:r w:rsidR="00D95A81">
        <w:t>with</w:t>
      </w:r>
      <w:r w:rsidRPr="003E2A48">
        <w:t xml:space="preserve"> spawning </w:t>
      </w:r>
      <w:r w:rsidR="00D95A81">
        <w:t>in</w:t>
      </w:r>
      <w:r w:rsidR="00D95A81" w:rsidRPr="003E2A48">
        <w:t xml:space="preserve"> </w:t>
      </w:r>
      <w:r w:rsidRPr="003E2A48">
        <w:t xml:space="preserve">June </w:t>
      </w:r>
      <w:r w:rsidR="00D95A81">
        <w:t>and</w:t>
      </w:r>
      <w:r w:rsidR="00D95A81" w:rsidRPr="003E2A48">
        <w:t xml:space="preserve"> </w:t>
      </w:r>
      <w:r w:rsidRPr="003E2A48">
        <w:t xml:space="preserve">July, corresponding </w:t>
      </w:r>
      <w:r w:rsidR="00D95A81">
        <w:t>to</w:t>
      </w:r>
      <w:r w:rsidR="00D95A81" w:rsidRPr="003E2A48">
        <w:t xml:space="preserve"> </w:t>
      </w:r>
      <w:r w:rsidRPr="003E2A48">
        <w:t xml:space="preserve">the onset of the summer monsoon (Antony Raja, 1969) and </w:t>
      </w:r>
      <w:r w:rsidR="00D95A81">
        <w:t>much lower</w:t>
      </w:r>
      <w:r w:rsidRPr="003E2A48">
        <w:t xml:space="preserve"> nearshore SST</w:t>
      </w:r>
      <w:r w:rsidR="00D95A81">
        <w:t>s</w:t>
      </w:r>
      <w:r w:rsidRPr="003E2A48">
        <w:t xml:space="preserve"> due to upwelling (Figure </w:t>
      </w:r>
      <w:r w:rsidR="00913EF0">
        <w:t>3</w:t>
      </w:r>
      <w:r w:rsidRPr="003E2A48">
        <w:t xml:space="preserve">). </w:t>
      </w:r>
      <w:r w:rsidR="002C77A6">
        <w:t>M</w:t>
      </w:r>
      <w:r w:rsidRPr="003E2A48">
        <w:t>ature fish migrate from offshore to spawning areas</w:t>
      </w:r>
      <w:r w:rsidR="002C77A6" w:rsidRPr="002C77A6">
        <w:t xml:space="preserve"> </w:t>
      </w:r>
      <w:r w:rsidR="002C77A6" w:rsidRPr="003E2A48">
        <w:t>(Antony Raja, 1964)</w:t>
      </w:r>
      <w:r w:rsidRPr="003E2A48">
        <w:t>, and spawning begins when temperature, salinity</w:t>
      </w:r>
      <w:r w:rsidR="00D5505A">
        <w:t>,</w:t>
      </w:r>
      <w:r w:rsidRPr="003E2A48">
        <w:t xml:space="preserve"> and food availability are conducive </w:t>
      </w:r>
      <w:r w:rsidR="00D5505A">
        <w:t>to</w:t>
      </w:r>
      <w:r w:rsidR="00D5505A" w:rsidRPr="003E2A48">
        <w:t xml:space="preserve"> </w:t>
      </w:r>
      <w:r w:rsidRPr="003E2A48">
        <w:t xml:space="preserve">larval survival (Jayaprakash &amp; Pillai, 2000; Krishnakumar et al., 2008; </w:t>
      </w:r>
      <w:proofErr w:type="spellStart"/>
      <w:r w:rsidRPr="003E2A48">
        <w:t>Murty</w:t>
      </w:r>
      <w:proofErr w:type="spellEnd"/>
      <w:r w:rsidRPr="003E2A48">
        <w:t xml:space="preserve"> &amp; Edelman, 1966; Nair</w:t>
      </w:r>
      <w:r w:rsidR="001C0CF0">
        <w:t>,</w:t>
      </w:r>
      <w:r w:rsidR="001C0CF0" w:rsidRPr="001C0CF0">
        <w:t xml:space="preserve"> </w:t>
      </w:r>
      <w:r w:rsidR="001C0CF0" w:rsidRPr="003E2A48">
        <w:t xml:space="preserve">Joseph, Kripa, </w:t>
      </w:r>
      <w:proofErr w:type="spellStart"/>
      <w:r w:rsidR="001C0CF0" w:rsidRPr="003E2A48">
        <w:t>Remya</w:t>
      </w:r>
      <w:proofErr w:type="spellEnd"/>
      <w:r w:rsidR="001C0CF0" w:rsidRPr="003E2A48">
        <w:t>, &amp; Pillai</w:t>
      </w:r>
      <w:r w:rsidR="001C0CF0">
        <w:t>,</w:t>
      </w:r>
      <w:r w:rsidRPr="003E2A48">
        <w:t xml:space="preserve"> 2016). </w:t>
      </w:r>
      <w:r w:rsidR="002C77A6">
        <w:t>After an initial peak, s</w:t>
      </w:r>
      <w:r w:rsidR="00D5505A">
        <w:t xml:space="preserve">pawning </w:t>
      </w:r>
      <w:r w:rsidRPr="003E2A48">
        <w:t xml:space="preserve">continues into September (Antony Raja, 1969; Hornell, 1910; Hornell &amp; </w:t>
      </w:r>
      <w:proofErr w:type="spellStart"/>
      <w:r w:rsidRPr="003E2A48">
        <w:t>Nayudu</w:t>
      </w:r>
      <w:proofErr w:type="spellEnd"/>
      <w:r w:rsidRPr="003E2A48">
        <w:t xml:space="preserve">, 1924; Prabhu &amp; </w:t>
      </w:r>
      <w:proofErr w:type="spellStart"/>
      <w:r w:rsidRPr="003E2A48">
        <w:t>Dhulkhed</w:t>
      </w:r>
      <w:proofErr w:type="spellEnd"/>
      <w:r w:rsidRPr="003E2A48">
        <w:t>, 1970)</w:t>
      </w:r>
      <w:r w:rsidR="005F626C">
        <w:t>. Both</w:t>
      </w:r>
      <w:r w:rsidRPr="003E2A48">
        <w:t xml:space="preserve"> early- and late-spawning cohorts are evident in the length distributions </w:t>
      </w:r>
      <w:r w:rsidR="009D35A9">
        <w:t>of fish in the fall catch</w:t>
      </w:r>
      <w:r w:rsidRPr="003E2A48">
        <w:t xml:space="preserve">. </w:t>
      </w:r>
      <w:r w:rsidR="002C77A6">
        <w:t>After s</w:t>
      </w:r>
      <w:r w:rsidR="002C77A6" w:rsidRPr="003E2A48">
        <w:t>pawning</w:t>
      </w:r>
      <w:r w:rsidR="00D5505A">
        <w:t>,</w:t>
      </w:r>
      <w:r w:rsidRPr="003E2A48">
        <w:t xml:space="preserve"> adults migrate closer to the coast</w:t>
      </w:r>
      <w:r w:rsidR="00F1418F">
        <w:t xml:space="preserve"> (Figure 1)</w:t>
      </w:r>
      <w:r w:rsidR="00D5505A">
        <w:t>,</w:t>
      </w:r>
      <w:r w:rsidRPr="003E2A48">
        <w:t xml:space="preserve"> where the spent fish become exposed to the fishery</w:t>
      </w:r>
      <w:r w:rsidR="00F1418F">
        <w:t xml:space="preserve"> and landings begin to </w:t>
      </w:r>
      <w:r w:rsidR="00F1418F">
        <w:lastRenderedPageBreak/>
        <w:t>increase. C</w:t>
      </w:r>
      <w:r w:rsidR="005F626C">
        <w:t>atches during summer are</w:t>
      </w:r>
      <w:r w:rsidR="005F626C" w:rsidRPr="003E2A48">
        <w:t xml:space="preserve"> dominated by </w:t>
      </w:r>
      <w:r w:rsidR="006D5F49">
        <w:t xml:space="preserve">these </w:t>
      </w:r>
      <w:r w:rsidR="005F626C" w:rsidRPr="003E2A48">
        <w:t>1</w:t>
      </w:r>
      <w:r w:rsidR="005F626C">
        <w:t>–</w:t>
      </w:r>
      <w:r w:rsidR="005F626C" w:rsidRPr="003E2A48">
        <w:t>2.5</w:t>
      </w:r>
      <w:r w:rsidR="005F626C">
        <w:t>-</w:t>
      </w:r>
      <w:r w:rsidR="005F626C" w:rsidRPr="003E2A48">
        <w:t>year</w:t>
      </w:r>
      <w:r w:rsidR="005F626C">
        <w:t>-</w:t>
      </w:r>
      <w:r w:rsidR="005F626C" w:rsidRPr="003E2A48">
        <w:t xml:space="preserve">old </w:t>
      </w:r>
      <w:r w:rsidR="005F626C">
        <w:t xml:space="preserve">mature </w:t>
      </w:r>
      <w:r w:rsidR="005F626C" w:rsidRPr="003E2A48">
        <w:t xml:space="preserve">fish (Antony Raja, 1969; </w:t>
      </w:r>
      <w:proofErr w:type="spellStart"/>
      <w:r w:rsidR="005F626C" w:rsidRPr="003E2A48">
        <w:t>Bensam</w:t>
      </w:r>
      <w:proofErr w:type="spellEnd"/>
      <w:r w:rsidR="005F626C" w:rsidRPr="003E2A48">
        <w:t>, 1964; Nair et al., 2016).</w:t>
      </w:r>
    </w:p>
    <w:p w14:paraId="71F66B48" w14:textId="3C8FEC94" w:rsidR="00F1418F" w:rsidRDefault="00D5505A" w:rsidP="00F1418F">
      <w:pPr>
        <w:pStyle w:val="BodyText"/>
        <w:spacing w:before="0" w:after="0" w:line="480" w:lineRule="auto"/>
        <w:ind w:firstLine="360"/>
      </w:pPr>
      <w:r>
        <w:t xml:space="preserve">Spawned sardine </w:t>
      </w:r>
      <w:r w:rsidR="00806920" w:rsidRPr="003E2A48">
        <w:t>eggs develop rapidly into larvae (Nair, 1959). The phytoplankton bloom that provide</w:t>
      </w:r>
      <w:r>
        <w:t>s</w:t>
      </w:r>
      <w:r w:rsidR="00806920" w:rsidRPr="003E2A48">
        <w:t xml:space="preserve"> </w:t>
      </w:r>
      <w:r>
        <w:t>food for the</w:t>
      </w:r>
      <w:r w:rsidR="00806920" w:rsidRPr="003E2A48">
        <w:t xml:space="preserve"> larvae depend</w:t>
      </w:r>
      <w:r>
        <w:t xml:space="preserve">s </w:t>
      </w:r>
      <w:r w:rsidR="00806920" w:rsidRPr="003E2A48">
        <w:t>on nutrient influx from coastal upwelling and runoff from rivers during the summer and early fall</w:t>
      </w:r>
      <w:r w:rsidR="00913EF0">
        <w:t xml:space="preserve"> (</w:t>
      </w:r>
      <w:proofErr w:type="spellStart"/>
      <w:r w:rsidR="00913EF0">
        <w:t>Shafeeque</w:t>
      </w:r>
      <w:proofErr w:type="spellEnd"/>
      <w:r w:rsidR="00913EF0">
        <w:t xml:space="preserve"> et al.</w:t>
      </w:r>
      <w:r w:rsidR="002312EC">
        <w:t xml:space="preserve">, </w:t>
      </w:r>
      <w:r w:rsidR="00913EF0">
        <w:t>2019)</w:t>
      </w:r>
      <w:r w:rsidR="00806920" w:rsidRPr="003E2A48">
        <w:t xml:space="preserve">. </w:t>
      </w:r>
      <w:r>
        <w:t>B</w:t>
      </w:r>
      <w:r w:rsidR="00806920" w:rsidRPr="003E2A48">
        <w:t xml:space="preserve">looms start near the southern tip of India in June, </w:t>
      </w:r>
      <w:r>
        <w:t xml:space="preserve">then </w:t>
      </w:r>
      <w:r w:rsidR="00806920" w:rsidRPr="003E2A48">
        <w:t xml:space="preserve">increase in intensity and </w:t>
      </w:r>
      <w:r w:rsidR="00316078">
        <w:t>expand</w:t>
      </w:r>
      <w:r w:rsidR="00806920" w:rsidRPr="003E2A48">
        <w:t xml:space="preserve"> northward</w:t>
      </w:r>
      <w:r w:rsidR="00F47926">
        <w:t xml:space="preserve"> with the peak of bloom intensity remaining south of </w:t>
      </w:r>
      <w:r w:rsidR="00F47926" w:rsidRPr="003E2A48">
        <w:t>13</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F47926" w:rsidRPr="003E2A48">
        <w:t>N</w:t>
      </w:r>
      <w:r w:rsidR="00F47926">
        <w:t>, the northern end of Kerala</w:t>
      </w:r>
      <w:r w:rsidR="00806920" w:rsidRPr="003E2A48">
        <w:t xml:space="preserve"> (BR, 2010). Variation in the bloom initiation time and intensity leads to changes in the food supply</w:t>
      </w:r>
      <w:r>
        <w:t>,</w:t>
      </w:r>
      <w:r w:rsidR="00806920" w:rsidRPr="003E2A48">
        <w:t xml:space="preserve"> and t</w:t>
      </w:r>
      <w:r>
        <w:t>hus</w:t>
      </w:r>
      <w:r w:rsidR="00806920" w:rsidRPr="003E2A48">
        <w:t xml:space="preserve"> in </w:t>
      </w:r>
      <w:r>
        <w:t>larval</w:t>
      </w:r>
      <w:r w:rsidRPr="003E2A48">
        <w:t xml:space="preserve"> </w:t>
      </w:r>
      <w:r w:rsidR="00806920" w:rsidRPr="003E2A48">
        <w:t xml:space="preserve">growth and survival and </w:t>
      </w:r>
      <w:r>
        <w:t>subsequent</w:t>
      </w:r>
      <w:r w:rsidR="00806920" w:rsidRPr="003E2A48">
        <w:t xml:space="preserve"> recruitment of 0-year sardines into the fishery (George et al., 2012). Oil sardines grow rapidly </w:t>
      </w:r>
      <w:r>
        <w:t>in</w:t>
      </w:r>
      <w:r w:rsidRPr="003E2A48">
        <w:t xml:space="preserve"> </w:t>
      </w:r>
      <w:r w:rsidR="00806920" w:rsidRPr="003E2A48">
        <w:t>the first few months</w:t>
      </w:r>
      <w:r>
        <w:t xml:space="preserve"> of life</w:t>
      </w:r>
      <w:r w:rsidR="00806920" w:rsidRPr="003E2A48">
        <w:t xml:space="preserve">, and </w:t>
      </w:r>
      <w:r w:rsidR="009023B8">
        <w:t xml:space="preserve">spikes of </w:t>
      </w:r>
      <w:r w:rsidR="00806920" w:rsidRPr="003E2A48">
        <w:t>0-year fish from early spawning</w:t>
      </w:r>
      <w:r>
        <w:t xml:space="preserve"> </w:t>
      </w:r>
      <w:r w:rsidR="00806920" w:rsidRPr="003E2A48">
        <w:t xml:space="preserve">appear in the August and September </w:t>
      </w:r>
      <w:r w:rsidR="00403C3A">
        <w:t xml:space="preserve">catches </w:t>
      </w:r>
      <w:r w:rsidR="002C77A6">
        <w:t>in</w:t>
      </w:r>
      <w:r w:rsidR="00403C3A">
        <w:t xml:space="preserve"> </w:t>
      </w:r>
      <w:r w:rsidR="00806920" w:rsidRPr="003E2A48">
        <w:t xml:space="preserve">most years (Antony Raja, 1970; Nair et al., 2016). </w:t>
      </w:r>
      <w:r w:rsidR="00A7719B">
        <w:t>During late summer and fall, b</w:t>
      </w:r>
      <w:r w:rsidR="00F1418F">
        <w:t xml:space="preserve">oth adult and juvenile sardines shoal and feed in the nearshore following the intense plankton blooms that develop off the Kerala coast. </w:t>
      </w:r>
      <w:r w:rsidR="00806920" w:rsidRPr="003E2A48">
        <w:t xml:space="preserve">Oil sardines remain inshore </w:t>
      </w:r>
      <w:r w:rsidR="00403C3A">
        <w:t xml:space="preserve">to </w:t>
      </w:r>
      <w:r w:rsidR="00806920" w:rsidRPr="003E2A48">
        <w:t>feed</w:t>
      </w:r>
      <w:r w:rsidR="00403C3A">
        <w:t xml:space="preserve"> </w:t>
      </w:r>
      <w:r w:rsidR="00F1418F">
        <w:t>through</w:t>
      </w:r>
      <w:r w:rsidR="00806920" w:rsidRPr="003E2A48">
        <w:t xml:space="preserve"> winter</w:t>
      </w:r>
      <w:r w:rsidR="00D2774A">
        <w:t xml:space="preserve"> and </w:t>
      </w:r>
      <w:r w:rsidR="009023B8">
        <w:t xml:space="preserve">peak </w:t>
      </w:r>
      <w:r w:rsidR="00D2774A">
        <w:t xml:space="preserve">catches </w:t>
      </w:r>
      <w:r w:rsidR="009023B8">
        <w:t xml:space="preserve">occur in October-December </w:t>
      </w:r>
      <w:r w:rsidR="00A7719B">
        <w:t xml:space="preserve">followed by January-March </w:t>
      </w:r>
      <w:r w:rsidR="009023B8">
        <w:t xml:space="preserve">(Figure </w:t>
      </w:r>
      <w:r w:rsidR="00913EF0">
        <w:t>4</w:t>
      </w:r>
      <w:r w:rsidR="009023B8">
        <w:t>)</w:t>
      </w:r>
      <w:r w:rsidR="009023B8" w:rsidRPr="003E2A48">
        <w:t xml:space="preserve">. </w:t>
      </w:r>
      <w:r w:rsidR="00F1418F">
        <w:t>These p</w:t>
      </w:r>
      <w:r w:rsidR="005F626C">
        <w:t xml:space="preserve">ost-monsoon, </w:t>
      </w:r>
      <w:r w:rsidR="005F626C" w:rsidRPr="003E2A48">
        <w:t>October</w:t>
      </w:r>
      <w:r w:rsidR="005F626C">
        <w:t>–March,</w:t>
      </w:r>
      <w:r w:rsidR="005F626C" w:rsidRPr="003E2A48">
        <w:t xml:space="preserve"> catch</w:t>
      </w:r>
      <w:r w:rsidR="005F626C">
        <w:t>es are</w:t>
      </w:r>
      <w:r w:rsidR="005F626C" w:rsidRPr="003E2A48">
        <w:t xml:space="preserve"> </w:t>
      </w:r>
      <w:r w:rsidR="004B3F02">
        <w:t xml:space="preserve">mixed age including </w:t>
      </w:r>
      <w:r w:rsidR="005F626C" w:rsidRPr="003E2A48">
        <w:t>fish</w:t>
      </w:r>
      <w:r w:rsidR="005F626C">
        <w:t xml:space="preserve"> </w:t>
      </w:r>
      <w:r w:rsidR="004B3F02">
        <w:t xml:space="preserve">from </w:t>
      </w:r>
      <w:r w:rsidR="005F626C">
        <w:t>0–2 years</w:t>
      </w:r>
      <w:r w:rsidR="005F626C" w:rsidRPr="003E2A48">
        <w:t xml:space="preserve"> (Antony Raja, 1970; Nair et al., 2016; Prabhu &amp; </w:t>
      </w:r>
      <w:proofErr w:type="spellStart"/>
      <w:r w:rsidR="005F626C" w:rsidRPr="003E2A48">
        <w:t>Dhulkhed</w:t>
      </w:r>
      <w:proofErr w:type="spellEnd"/>
      <w:r w:rsidR="005F626C" w:rsidRPr="003E2A48">
        <w:t>, 1970</w:t>
      </w:r>
      <w:r w:rsidR="005F626C">
        <w:t>;</w:t>
      </w:r>
      <w:r w:rsidR="005F626C" w:rsidRPr="003E2A48">
        <w:t xml:space="preserve"> Rohit et al., 2018).</w:t>
      </w:r>
      <w:r w:rsidR="009023B8">
        <w:t xml:space="preserve"> </w:t>
      </w:r>
      <w:r w:rsidR="009D35A9">
        <w:t>I</w:t>
      </w:r>
      <w:r w:rsidR="00403C3A">
        <w:t>n March–May,</w:t>
      </w:r>
      <w:r w:rsidR="00806920" w:rsidRPr="003E2A48">
        <w:t xml:space="preserve"> </w:t>
      </w:r>
      <w:r w:rsidR="00403C3A">
        <w:t>the</w:t>
      </w:r>
      <w:r w:rsidR="009023B8">
        <w:t xml:space="preserve"> sardines</w:t>
      </w:r>
      <w:r w:rsidR="00403C3A">
        <w:t xml:space="preserve"> move offshore to deeper</w:t>
      </w:r>
      <w:r w:rsidR="00CB4652">
        <w:t xml:space="preserve"> water</w:t>
      </w:r>
      <w:r w:rsidR="00F1418F">
        <w:t xml:space="preserve"> where they are no longer available to the fishery</w:t>
      </w:r>
      <w:r w:rsidR="009D35A9">
        <w:t xml:space="preserve">, </w:t>
      </w:r>
      <w:r w:rsidR="00F1418F">
        <w:t>landings consequently decline (Figure 4), and the seasonal cycle begins anew.</w:t>
      </w:r>
      <w:r w:rsidR="00F1418F" w:rsidRPr="00F1418F">
        <w:t xml:space="preserve"> </w:t>
      </w:r>
    </w:p>
    <w:p w14:paraId="64DD70BB" w14:textId="7873AE9F" w:rsidR="00BE7BF1" w:rsidRPr="003E2A48" w:rsidRDefault="00BE7BF1" w:rsidP="00395DCC">
      <w:pPr>
        <w:pStyle w:val="BodyText"/>
        <w:spacing w:before="0" w:after="0" w:line="480" w:lineRule="auto"/>
        <w:ind w:firstLine="360"/>
      </w:pPr>
      <w:r w:rsidRPr="003E2A48">
        <w:t>Landings are product</w:t>
      </w:r>
      <w:r>
        <w:t>s</w:t>
      </w:r>
      <w:r w:rsidRPr="003E2A48">
        <w:t xml:space="preserve"> of </w:t>
      </w:r>
      <w:r>
        <w:t>abundance</w:t>
      </w:r>
      <w:r w:rsidRPr="003E2A48">
        <w:t>, effort</w:t>
      </w:r>
      <w:r>
        <w:t xml:space="preserve"> and </w:t>
      </w:r>
      <w:r w:rsidRPr="003E2A48">
        <w:t>catchability</w:t>
      </w:r>
      <w:r>
        <w:t xml:space="preserve"> (</w:t>
      </w:r>
      <w:r w:rsidR="004B3F02">
        <w:t xml:space="preserve">i.e., </w:t>
      </w:r>
      <w:r>
        <w:t>availability to the nearshore fishery).</w:t>
      </w:r>
      <w:r w:rsidRPr="003E2A48">
        <w:t xml:space="preserve"> </w:t>
      </w:r>
      <w:r>
        <w:t>For much of the period of our study, the I</w:t>
      </w:r>
      <w:r w:rsidRPr="003E2A48">
        <w:t>ndian oil sardine</w:t>
      </w:r>
      <w:r>
        <w:t xml:space="preserve"> fishery was largely unregulated and has been a nearshore fishery dominated by small boats. For this </w:t>
      </w:r>
      <w:r>
        <w:lastRenderedPageBreak/>
        <w:t xml:space="preserve">time period, the yearly </w:t>
      </w:r>
      <w:r w:rsidRPr="003E2A48">
        <w:t>landings are often assumed to reflect total abundance for</w:t>
      </w:r>
      <w:r>
        <w:t xml:space="preserve"> species- and fishery-specific </w:t>
      </w:r>
      <w:r w:rsidRPr="003E2A48">
        <w:t>reasons (cf. Kripa et al., 2018)</w:t>
      </w:r>
      <w:r>
        <w:t>. T</w:t>
      </w:r>
      <w:r w:rsidRPr="003E2A48">
        <w:t>he ring seine was introduced</w:t>
      </w:r>
      <w:r>
        <w:t xml:space="preserve"> in this fishery</w:t>
      </w:r>
      <w:r w:rsidRPr="003E2A48">
        <w:t xml:space="preserve"> in the 1980s</w:t>
      </w:r>
      <w:r>
        <w:t xml:space="preserve"> </w:t>
      </w:r>
      <w:r w:rsidRPr="003E2A48">
        <w:t xml:space="preserve">(Das &amp; Edwin, 2018), but widespread mechanization of the fleet is a recent development. Fishers with small boats </w:t>
      </w:r>
      <w:r>
        <w:t xml:space="preserve">with no refrigeration </w:t>
      </w:r>
      <w:r w:rsidRPr="003E2A48">
        <w:t xml:space="preserve">have limited ability to target stock, at least not to the degree that landings </w:t>
      </w:r>
      <w:r>
        <w:t xml:space="preserve">would </w:t>
      </w:r>
      <w:r w:rsidRPr="003E2A48">
        <w:t xml:space="preserve">remain constant as </w:t>
      </w:r>
      <w:r>
        <w:t>abundance</w:t>
      </w:r>
      <w:r w:rsidRPr="003E2A48">
        <w:t xml:space="preserve"> declines</w:t>
      </w:r>
      <w:r>
        <w:t>, as can be seen with</w:t>
      </w:r>
      <w:r w:rsidRPr="003E2A48">
        <w:t xml:space="preserve"> a large, mobile, highly mechanized fleet. </w:t>
      </w:r>
      <w:r>
        <w:t>T</w:t>
      </w:r>
      <w:r w:rsidRPr="003E2A48">
        <w:t xml:space="preserve">he fishery is unregulated, except for </w:t>
      </w:r>
      <w:r>
        <w:t xml:space="preserve">a </w:t>
      </w:r>
      <w:r w:rsidRPr="003E2A48">
        <w:t xml:space="preserve">brief closure during the </w:t>
      </w:r>
      <w:r>
        <w:t xml:space="preserve">summer </w:t>
      </w:r>
      <w:r w:rsidRPr="003E2A48">
        <w:t>monsoon</w:t>
      </w:r>
      <w:r>
        <w:t>,</w:t>
      </w:r>
      <w:r w:rsidRPr="003E2A48">
        <w:t xml:space="preserve"> </w:t>
      </w:r>
      <w:r>
        <w:t xml:space="preserve">and thus </w:t>
      </w:r>
      <w:r w:rsidRPr="003E2A48">
        <w:t xml:space="preserve">landings are not affected by area closures </w:t>
      </w:r>
      <w:r>
        <w:t>or</w:t>
      </w:r>
      <w:r w:rsidRPr="003E2A48">
        <w:t xml:space="preserve"> catch limits. Finally, the fishery is dispersed along the entire coastline</w:t>
      </w:r>
      <w:r>
        <w:t>,</w:t>
      </w:r>
      <w:r w:rsidRPr="003E2A48">
        <w:t xml:space="preserve"> rather than being focused from a few large ports. </w:t>
      </w:r>
      <w:r>
        <w:t>Thus,</w:t>
      </w:r>
      <w:r w:rsidRPr="003E2A48">
        <w:t xml:space="preserve"> th</w:t>
      </w:r>
      <w:r>
        <w:t>e relationship between landings and abundance can be assumed to be</w:t>
      </w:r>
      <w:r w:rsidRPr="003E2A48">
        <w:t xml:space="preserve"> strong</w:t>
      </w:r>
      <w:r>
        <w:t xml:space="preserve"> for our data</w:t>
      </w:r>
      <w:r w:rsidR="001F1C78">
        <w:t xml:space="preserve"> </w:t>
      </w:r>
      <w:r>
        <w:t>set and comparison of the landings to the available catch-per-unit effort (hours fishing) data shows high correlation (Hamza et al., 2020)</w:t>
      </w:r>
      <w:r w:rsidRPr="003E2A48">
        <w:t xml:space="preserve">. </w:t>
      </w:r>
      <w:r>
        <w:t xml:space="preserve">Seasonal variation in the oil sardine catch is affected both by movement of fish in and out of the nearshore (Figure 1) and recruitment of juvenile fish to the fishery. </w:t>
      </w:r>
    </w:p>
    <w:p w14:paraId="44529ECB" w14:textId="77777777" w:rsidR="0065024E" w:rsidRPr="003E2A48" w:rsidRDefault="0065024E" w:rsidP="00AA72C0">
      <w:pPr>
        <w:pStyle w:val="BodyText"/>
        <w:spacing w:before="0" w:after="0" w:line="480" w:lineRule="auto"/>
        <w:ind w:firstLine="360"/>
      </w:pPr>
    </w:p>
    <w:p w14:paraId="6D339E95" w14:textId="1980741C" w:rsidR="008062F9" w:rsidRPr="003E2A48" w:rsidRDefault="00354701" w:rsidP="00354701">
      <w:pPr>
        <w:pStyle w:val="Heading1"/>
        <w:spacing w:before="0" w:line="480" w:lineRule="auto"/>
        <w:rPr>
          <w:rFonts w:asciiTheme="minorHAnsi" w:hAnsiTheme="minorHAnsi"/>
          <w:color w:val="auto"/>
          <w:sz w:val="24"/>
          <w:szCs w:val="24"/>
        </w:rPr>
      </w:pPr>
      <w:bookmarkStart w:id="6" w:name="materials-and-methods"/>
      <w:r>
        <w:rPr>
          <w:rFonts w:asciiTheme="minorHAnsi" w:hAnsiTheme="minorHAnsi"/>
          <w:color w:val="auto"/>
          <w:sz w:val="24"/>
          <w:szCs w:val="24"/>
        </w:rPr>
        <w:t xml:space="preserve">2 </w:t>
      </w:r>
      <w:r w:rsidRPr="003E2A48">
        <w:rPr>
          <w:rFonts w:asciiTheme="minorHAnsi" w:hAnsiTheme="minorHAnsi"/>
          <w:color w:val="auto"/>
          <w:sz w:val="24"/>
          <w:szCs w:val="24"/>
        </w:rPr>
        <w:t>MATERIALS AND METHODS</w:t>
      </w:r>
      <w:bookmarkEnd w:id="6"/>
    </w:p>
    <w:p w14:paraId="7057AB1E" w14:textId="57F3C640" w:rsidR="008062F9" w:rsidRPr="00143B30" w:rsidRDefault="00354701" w:rsidP="00354701">
      <w:pPr>
        <w:pStyle w:val="Heading2"/>
        <w:spacing w:before="0" w:line="480" w:lineRule="auto"/>
        <w:rPr>
          <w:rFonts w:asciiTheme="minorHAnsi" w:hAnsiTheme="minorHAnsi"/>
          <w:iCs/>
          <w:color w:val="auto"/>
          <w:sz w:val="24"/>
          <w:szCs w:val="24"/>
        </w:rPr>
      </w:pPr>
      <w:bookmarkStart w:id="7" w:name="sardine-landing-data"/>
      <w:r w:rsidRPr="00143B30">
        <w:rPr>
          <w:rFonts w:asciiTheme="minorHAnsi" w:hAnsiTheme="minorHAnsi"/>
          <w:iCs/>
          <w:color w:val="auto"/>
          <w:sz w:val="24"/>
          <w:szCs w:val="24"/>
        </w:rPr>
        <w:t xml:space="preserve">2.1 </w:t>
      </w:r>
      <w:r w:rsidR="00806920" w:rsidRPr="00143B30">
        <w:rPr>
          <w:rFonts w:asciiTheme="minorHAnsi" w:hAnsiTheme="minorHAnsi"/>
          <w:iCs/>
          <w:color w:val="auto"/>
          <w:sz w:val="24"/>
          <w:szCs w:val="24"/>
        </w:rPr>
        <w:t>Sardine landing data</w:t>
      </w:r>
      <w:bookmarkEnd w:id="7"/>
    </w:p>
    <w:p w14:paraId="6E4C9ACD" w14:textId="1068C9A3" w:rsidR="008062F9" w:rsidRPr="003E2A48" w:rsidRDefault="00DF319E" w:rsidP="00354701">
      <w:pPr>
        <w:pStyle w:val="FirstParagraph"/>
        <w:spacing w:before="0" w:after="0" w:line="480" w:lineRule="auto"/>
      </w:pPr>
      <w:r>
        <w:t>T</w:t>
      </w:r>
      <w:r w:rsidR="00806920" w:rsidRPr="003E2A48">
        <w:t>he Central Marine Fisheries Research Institute (CMFRI)</w:t>
      </w:r>
      <w:r>
        <w:t>,</w:t>
      </w:r>
      <w:r w:rsidR="00806920" w:rsidRPr="003E2A48">
        <w:t xml:space="preserve"> Kochi, India, </w:t>
      </w:r>
      <w:r>
        <w:t xml:space="preserve">has collected quarterly fish landing data along the country’s southwestern coast </w:t>
      </w:r>
      <w:r w:rsidR="00806920" w:rsidRPr="003E2A48">
        <w:t>since the early 1950s using a stratified multistage sampl</w:t>
      </w:r>
      <w:r>
        <w:t>ing</w:t>
      </w:r>
      <w:r w:rsidR="00806920" w:rsidRPr="003E2A48">
        <w:t xml:space="preserve"> design</w:t>
      </w:r>
      <w:r w:rsidR="00C41255">
        <w:t xml:space="preserve"> which </w:t>
      </w:r>
      <w:r>
        <w:t>account</w:t>
      </w:r>
      <w:r w:rsidR="00C41255">
        <w:t>s</w:t>
      </w:r>
      <w:r>
        <w:t xml:space="preserve"> for </w:t>
      </w:r>
      <w:r w:rsidR="00C41255">
        <w:t xml:space="preserve">the different </w:t>
      </w:r>
      <w:r>
        <w:t>boat and gear types</w:t>
      </w:r>
      <w:r w:rsidR="000B4D98">
        <w:t xml:space="preserve"> (</w:t>
      </w:r>
      <w:r w:rsidR="00806920" w:rsidRPr="003E2A48">
        <w:t xml:space="preserve">Srinath et al., 2005). </w:t>
      </w:r>
      <w:r>
        <w:t xml:space="preserve">We used CMFRI data from </w:t>
      </w:r>
      <w:r w:rsidR="000B4D98">
        <w:t xml:space="preserve">the Indian state of </w:t>
      </w:r>
      <w:r>
        <w:t>Kerala</w:t>
      </w:r>
      <w:r w:rsidR="000B4D98">
        <w:t xml:space="preserve"> (Figure 1)</w:t>
      </w:r>
      <w:r>
        <w:t xml:space="preserve">, </w:t>
      </w:r>
      <w:r w:rsidR="00143B30">
        <w:t xml:space="preserve">which has the </w:t>
      </w:r>
      <w:r w:rsidR="00806920" w:rsidRPr="003E2A48">
        <w:t xml:space="preserve">longest </w:t>
      </w:r>
      <w:r>
        <w:t xml:space="preserve">and most </w:t>
      </w:r>
      <w:r w:rsidR="00143B30">
        <w:t>complete</w:t>
      </w:r>
      <w:r>
        <w:t xml:space="preserve"> </w:t>
      </w:r>
      <w:r w:rsidR="00806920" w:rsidRPr="003E2A48">
        <w:t xml:space="preserve">time series </w:t>
      </w:r>
      <w:r w:rsidR="00143B30">
        <w:t xml:space="preserve">and where the overwhelming majority of oil sardines are landed (Figure </w:t>
      </w:r>
      <w:r w:rsidR="00F8311C">
        <w:t>4</w:t>
      </w:r>
      <w:r w:rsidR="00143B30">
        <w:t>)</w:t>
      </w:r>
      <w:r w:rsidR="00806920" w:rsidRPr="003E2A48">
        <w:t xml:space="preserve">. </w:t>
      </w:r>
      <w:r>
        <w:t>Q</w:t>
      </w:r>
      <w:r w:rsidR="00806920" w:rsidRPr="003E2A48">
        <w:t>uarterly</w:t>
      </w:r>
      <w:r>
        <w:t xml:space="preserve"> oil sardine</w:t>
      </w:r>
      <w:r w:rsidR="00806920" w:rsidRPr="003E2A48">
        <w:t xml:space="preserve"> landings</w:t>
      </w:r>
      <w:r w:rsidR="009A41CD">
        <w:t xml:space="preserve"> data</w:t>
      </w:r>
      <w:r w:rsidR="00806920" w:rsidRPr="003E2A48">
        <w:t xml:space="preserve"> (</w:t>
      </w:r>
      <w:r>
        <w:t xml:space="preserve">in </w:t>
      </w:r>
      <w:r w:rsidR="00806920" w:rsidRPr="003E2A48">
        <w:t xml:space="preserve">metric </w:t>
      </w:r>
      <w:r w:rsidR="00806920" w:rsidRPr="003E2A48">
        <w:lastRenderedPageBreak/>
        <w:t>tons) for all gear</w:t>
      </w:r>
      <w:r>
        <w:t xml:space="preserve"> types</w:t>
      </w:r>
      <w:r w:rsidR="00806920" w:rsidRPr="003E2A48">
        <w:t xml:space="preserve"> </w:t>
      </w:r>
      <w:r>
        <w:t xml:space="preserve">used </w:t>
      </w:r>
      <w:r w:rsidR="00806920" w:rsidRPr="003E2A48">
        <w:t>in Kerala were obtained from CMFRI reports (1956</w:t>
      </w:r>
      <w:r>
        <w:t>–</w:t>
      </w:r>
      <w:r w:rsidR="00806920" w:rsidRPr="003E2A48">
        <w:t>1984) and online databases (1985</w:t>
      </w:r>
      <w:r>
        <w:t>–</w:t>
      </w:r>
      <w:r w:rsidR="00806920" w:rsidRPr="00387E66">
        <w:t>2015</w:t>
      </w:r>
      <w:r w:rsidR="00143B30" w:rsidRPr="00387E66">
        <w:t>). S</w:t>
      </w:r>
      <w:r w:rsidR="00806920" w:rsidRPr="00387E66">
        <w:t xml:space="preserve">ee </w:t>
      </w:r>
      <w:r w:rsidR="00D00273" w:rsidRPr="00387E66">
        <w:t xml:space="preserve">the </w:t>
      </w:r>
      <w:r w:rsidR="00673C1D" w:rsidRPr="00387E66">
        <w:t>Supp</w:t>
      </w:r>
      <w:r w:rsidR="00673C1D">
        <w:t>lemental</w:t>
      </w:r>
      <w:r w:rsidR="00673C1D" w:rsidRPr="00387E66">
        <w:t xml:space="preserve"> </w:t>
      </w:r>
      <w:r w:rsidR="00D00273" w:rsidRPr="00387E66">
        <w:t>Information</w:t>
      </w:r>
      <w:r w:rsidR="00F8311C">
        <w:t>: D</w:t>
      </w:r>
      <w:r w:rsidR="00806920" w:rsidRPr="003E2A48">
        <w:t xml:space="preserve">ata </w:t>
      </w:r>
      <w:r w:rsidR="00673C1D">
        <w:t>sources</w:t>
      </w:r>
      <w:r w:rsidR="00F8311C">
        <w:t xml:space="preserve"> and raw data</w:t>
      </w:r>
      <w:r w:rsidR="00143B30">
        <w:t>.</w:t>
      </w:r>
      <w:r w:rsidR="00806920" w:rsidRPr="003E2A48">
        <w:t xml:space="preserve"> The</w:t>
      </w:r>
      <w:r w:rsidR="009A41CD">
        <w:t>se</w:t>
      </w:r>
      <w:r w:rsidR="00806920" w:rsidRPr="003E2A48">
        <w:t xml:space="preserve"> data were log</w:t>
      </w:r>
      <w:r w:rsidR="009A41CD">
        <w:t xml:space="preserve"> </w:t>
      </w:r>
      <w:r w:rsidR="00806920" w:rsidRPr="003E2A48">
        <w:t>transformed to stabilize variance</w:t>
      </w:r>
      <w:r w:rsidR="000B4D98">
        <w:t xml:space="preserve"> and to facilitate additive modeling</w:t>
      </w:r>
      <w:r w:rsidR="00806920" w:rsidRPr="003E2A48">
        <w:t>.</w:t>
      </w:r>
    </w:p>
    <w:p w14:paraId="17577E99" w14:textId="77777777" w:rsidR="00185159" w:rsidRDefault="00185159" w:rsidP="00354701">
      <w:pPr>
        <w:pStyle w:val="Heading2"/>
        <w:spacing w:before="0" w:line="480" w:lineRule="auto"/>
        <w:rPr>
          <w:rFonts w:asciiTheme="minorHAnsi" w:hAnsiTheme="minorHAnsi"/>
          <w:i/>
          <w:color w:val="auto"/>
          <w:sz w:val="24"/>
          <w:szCs w:val="24"/>
        </w:rPr>
      </w:pPr>
      <w:bookmarkStart w:id="8" w:name="remote-sensing-data"/>
    </w:p>
    <w:p w14:paraId="0BDBA2E3" w14:textId="009CA779" w:rsidR="008062F9" w:rsidRPr="00143B30" w:rsidRDefault="00185159" w:rsidP="00354701">
      <w:pPr>
        <w:pStyle w:val="Heading2"/>
        <w:spacing w:before="0" w:line="480" w:lineRule="auto"/>
        <w:rPr>
          <w:rFonts w:asciiTheme="minorHAnsi" w:hAnsiTheme="minorHAnsi"/>
          <w:iCs/>
          <w:color w:val="auto"/>
          <w:sz w:val="24"/>
          <w:szCs w:val="24"/>
        </w:rPr>
      </w:pPr>
      <w:r w:rsidRPr="00143B30">
        <w:rPr>
          <w:rFonts w:asciiTheme="minorHAnsi" w:hAnsiTheme="minorHAnsi"/>
          <w:iCs/>
          <w:color w:val="auto"/>
          <w:sz w:val="24"/>
          <w:szCs w:val="24"/>
        </w:rPr>
        <w:t xml:space="preserve">2.2 </w:t>
      </w:r>
      <w:r w:rsidR="00D3079D">
        <w:rPr>
          <w:rFonts w:asciiTheme="minorHAnsi" w:hAnsiTheme="minorHAnsi"/>
          <w:iCs/>
          <w:color w:val="auto"/>
          <w:sz w:val="24"/>
          <w:szCs w:val="24"/>
        </w:rPr>
        <w:t>Environmental</w:t>
      </w:r>
      <w:r w:rsidR="00806920" w:rsidRPr="00143B30">
        <w:rPr>
          <w:rFonts w:asciiTheme="minorHAnsi" w:hAnsiTheme="minorHAnsi"/>
          <w:iCs/>
          <w:color w:val="auto"/>
          <w:sz w:val="24"/>
          <w:szCs w:val="24"/>
        </w:rPr>
        <w:t xml:space="preserve"> data</w:t>
      </w:r>
      <w:bookmarkEnd w:id="8"/>
    </w:p>
    <w:p w14:paraId="300AA720" w14:textId="01D365D5" w:rsidR="002A2CB8" w:rsidRDefault="00806920" w:rsidP="002A2CB8">
      <w:pPr>
        <w:pStyle w:val="BodyText"/>
        <w:spacing w:before="0" w:after="0" w:line="480" w:lineRule="auto"/>
      </w:pPr>
      <w:r w:rsidRPr="003E2A48">
        <w:t>We analyzed monthly composites of SST, chlorophyll-a</w:t>
      </w:r>
      <w:r w:rsidR="00B34F90">
        <w:t xml:space="preserve"> concentration</w:t>
      </w:r>
      <w:r w:rsidRPr="003E2A48">
        <w:t xml:space="preserve">, </w:t>
      </w:r>
      <w:r w:rsidR="005219B1">
        <w:t xml:space="preserve">precipitation, </w:t>
      </w:r>
      <w:r w:rsidRPr="003E2A48">
        <w:t>upwelling</w:t>
      </w:r>
      <w:r w:rsidR="005219B1">
        <w:t xml:space="preserve"> indices derived from SST and winds</w:t>
      </w:r>
      <w:r w:rsidRPr="003E2A48">
        <w:t xml:space="preserve">, </w:t>
      </w:r>
      <w:r w:rsidR="005219B1">
        <w:t>and ocean climate indices</w:t>
      </w:r>
      <w:r w:rsidR="00EC6F33">
        <w:t xml:space="preserve"> (Figure</w:t>
      </w:r>
      <w:r w:rsidR="007565BD">
        <w:t xml:space="preserve">s 2 and </w:t>
      </w:r>
      <w:r w:rsidR="00EC6F33">
        <w:t>5)</w:t>
      </w:r>
      <w:r w:rsidRPr="003E2A48">
        <w:t>.</w:t>
      </w:r>
      <w:r w:rsidR="002C2C4A">
        <w:t xml:space="preserve"> </w:t>
      </w:r>
      <w:r w:rsidR="0059737F">
        <w:t xml:space="preserve">For each covariate, specific months (seasons) </w:t>
      </w:r>
      <w:r w:rsidR="00AC7248">
        <w:t xml:space="preserve">were used </w:t>
      </w:r>
      <w:r w:rsidR="0059737F">
        <w:t xml:space="preserve">corresponding to different aspects of oil sardine life-history and </w:t>
      </w:r>
      <w:r w:rsidR="00843AC4">
        <w:t>i</w:t>
      </w:r>
      <w:r w:rsidR="00F2172B">
        <w:t>t</w:t>
      </w:r>
      <w:r w:rsidR="00843AC4">
        <w:t>s</w:t>
      </w:r>
      <w:r w:rsidR="0059737F">
        <w:t xml:space="preserve"> interaction with </w:t>
      </w:r>
      <w:r w:rsidR="00843AC4">
        <w:t xml:space="preserve">the nearshore </w:t>
      </w:r>
      <w:r w:rsidR="0059737F">
        <w:t>fishery. These are summarized in Table 1.</w:t>
      </w:r>
      <w:r w:rsidR="00A967F3">
        <w:t xml:space="preserve"> </w:t>
      </w:r>
      <w:r w:rsidR="00A967F3" w:rsidRPr="003E2A48">
        <w:t xml:space="preserve">See </w:t>
      </w:r>
      <w:r w:rsidR="00A967F3" w:rsidRPr="00387E66">
        <w:t>the Supporting</w:t>
      </w:r>
      <w:r w:rsidR="00A967F3">
        <w:t xml:space="preserve"> Information: D</w:t>
      </w:r>
      <w:r w:rsidR="00A967F3" w:rsidRPr="003E2A48">
        <w:t xml:space="preserve">ata sources and </w:t>
      </w:r>
      <w:r w:rsidR="00A967F3">
        <w:t xml:space="preserve">raw data for all </w:t>
      </w:r>
      <w:r w:rsidR="00AC7248">
        <w:t xml:space="preserve">environmental </w:t>
      </w:r>
      <w:r w:rsidR="00A967F3">
        <w:t>data details, sources and code</w:t>
      </w:r>
      <w:r w:rsidR="00AC7248">
        <w:t xml:space="preserve"> to compute </w:t>
      </w:r>
      <w:r w:rsidR="00631F26">
        <w:t xml:space="preserve">metrics </w:t>
      </w:r>
      <w:r w:rsidR="00AC7248">
        <w:t>and download the data</w:t>
      </w:r>
      <w:r w:rsidR="00A967F3">
        <w:t xml:space="preserve">. </w:t>
      </w:r>
    </w:p>
    <w:p w14:paraId="5E69FA14" w14:textId="44F4F939" w:rsidR="0059737F" w:rsidRDefault="0059737F" w:rsidP="0095302F">
      <w:pPr>
        <w:pStyle w:val="BodyText"/>
        <w:spacing w:before="0" w:after="0" w:line="480" w:lineRule="auto"/>
        <w:ind w:firstLine="720"/>
      </w:pPr>
      <w:r>
        <w:t xml:space="preserve">We </w:t>
      </w:r>
      <w:r w:rsidR="005036CA">
        <w:t xml:space="preserve">tested SST </w:t>
      </w:r>
      <w:r w:rsidR="007565BD">
        <w:t xml:space="preserve">(°C) </w:t>
      </w:r>
      <w:r w:rsidR="00E46D7F">
        <w:t xml:space="preserve">averaged </w:t>
      </w:r>
      <w:r w:rsidR="005036CA">
        <w:t>between 8° and 13°N in</w:t>
      </w:r>
      <w:r>
        <w:t xml:space="preserve"> </w:t>
      </w:r>
      <w:r w:rsidR="005036CA">
        <w:t>the</w:t>
      </w:r>
      <w:r>
        <w:t xml:space="preserve"> nearshore (within 1° of the coast) </w:t>
      </w:r>
      <w:r w:rsidR="005036CA">
        <w:t>in June-September (summer monsoon period of peak upwelling, spawning, larval growth and survival) and October-December (peak juvenile somatic growth</w:t>
      </w:r>
      <w:r w:rsidR="00884E7E">
        <w:t xml:space="preserve">). </w:t>
      </w:r>
      <w:r w:rsidR="00ED4EFD">
        <w:t xml:space="preserve">SST in the </w:t>
      </w:r>
      <w:r w:rsidR="005036CA">
        <w:t xml:space="preserve">current year </w:t>
      </w:r>
      <w:r w:rsidR="00ED4EFD">
        <w:t xml:space="preserve">could affect landings by causing </w:t>
      </w:r>
      <w:r w:rsidR="005036CA">
        <w:t>fish movement in and out of nearshore and</w:t>
      </w:r>
      <w:r w:rsidR="00ED4EFD">
        <w:t>/or affecting</w:t>
      </w:r>
      <w:r w:rsidR="005036CA">
        <w:t xml:space="preserve"> juvenile abundance</w:t>
      </w:r>
      <w:r w:rsidR="00884E7E">
        <w:t xml:space="preserve"> while</w:t>
      </w:r>
      <w:r w:rsidR="005036CA">
        <w:t xml:space="preserve"> prior year effects would arise via effects on cohort strength. </w:t>
      </w:r>
      <w:r w:rsidR="00ED4EFD">
        <w:t xml:space="preserve">We tested SST regionally, between 8° and 13°N and </w:t>
      </w:r>
      <w:r>
        <w:t>up to 2° off-shore</w:t>
      </w:r>
      <w:r w:rsidR="00ED4EFD">
        <w:t xml:space="preserve">, </w:t>
      </w:r>
      <w:r w:rsidR="005036CA">
        <w:t>in the spring (</w:t>
      </w:r>
      <w:r w:rsidR="00ED4EFD">
        <w:t>March-May) and over the prior 30 months (Jan</w:t>
      </w:r>
      <w:r w:rsidR="008D734D">
        <w:t>uary</w:t>
      </w:r>
      <w:r w:rsidR="00ED4EFD">
        <w:t xml:space="preserve"> </w:t>
      </w:r>
      <w:r w:rsidR="00ED4EFD" w:rsidRPr="008D734D">
        <w:rPr>
          <w:i/>
          <w:iCs/>
        </w:rPr>
        <w:t>t-2</w:t>
      </w:r>
      <w:r w:rsidR="00ED4EFD">
        <w:t xml:space="preserve"> to Jun</w:t>
      </w:r>
      <w:r w:rsidR="008D734D">
        <w:t>e</w:t>
      </w:r>
      <w:r w:rsidR="00ED4EFD">
        <w:t xml:space="preserve"> </w:t>
      </w:r>
      <w:r w:rsidR="00ED4EFD" w:rsidRPr="008D734D">
        <w:rPr>
          <w:i/>
          <w:iCs/>
        </w:rPr>
        <w:t>t</w:t>
      </w:r>
      <w:r w:rsidR="00ED4EFD">
        <w:t>)</w:t>
      </w:r>
      <w:r w:rsidR="005036CA">
        <w:t xml:space="preserve">. </w:t>
      </w:r>
      <w:r w:rsidR="008D734D">
        <w:t xml:space="preserve">The former may affect egg development, spawning and </w:t>
      </w:r>
      <w:r w:rsidR="007565BD">
        <w:t xml:space="preserve">inshore </w:t>
      </w:r>
      <w:r w:rsidR="008D734D">
        <w:t xml:space="preserve">migration timing thus affecting both current and future year abundance and </w:t>
      </w:r>
      <w:r w:rsidR="003F5B3F">
        <w:t>availability to the fishery</w:t>
      </w:r>
      <w:r w:rsidR="008D734D">
        <w:t>. The latter integrates effects of SST over the average sardine lifespan</w:t>
      </w:r>
      <w:r w:rsidR="0095302F">
        <w:t xml:space="preserve"> and has been shown to be correlated with recruitment in other sardine species </w:t>
      </w:r>
      <w:r w:rsidR="0095302F" w:rsidRPr="003E2A48">
        <w:t>(Checkley et al., 2017</w:t>
      </w:r>
      <w:r w:rsidR="0095302F">
        <w:t xml:space="preserve">). </w:t>
      </w:r>
      <w:r w:rsidR="00806920" w:rsidRPr="003E2A48">
        <w:t>For</w:t>
      </w:r>
      <w:r w:rsidR="000C459C">
        <w:t xml:space="preserve"> our</w:t>
      </w:r>
      <w:r w:rsidR="00806920" w:rsidRPr="003E2A48">
        <w:t xml:space="preserve"> </w:t>
      </w:r>
      <w:r w:rsidR="002C2C4A">
        <w:t>SST</w:t>
      </w:r>
      <w:r w:rsidR="002A2CB8">
        <w:t xml:space="preserve"> </w:t>
      </w:r>
      <w:r w:rsidR="000C459C">
        <w:t>source</w:t>
      </w:r>
      <w:r w:rsidR="00806920" w:rsidRPr="003E2A48">
        <w:t xml:space="preserve">, we used </w:t>
      </w:r>
      <w:r w:rsidR="000258CE">
        <w:lastRenderedPageBreak/>
        <w:t xml:space="preserve">the </w:t>
      </w:r>
      <w:r w:rsidR="000258CE" w:rsidRPr="000258CE">
        <w:t>Daily Optimum Interpolation (OI</w:t>
      </w:r>
      <w:r w:rsidR="000258CE">
        <w:t>)</w:t>
      </w:r>
      <w:r w:rsidR="000258CE" w:rsidRPr="000258CE">
        <w:t>, Version 2.1 data</w:t>
      </w:r>
      <w:r w:rsidR="007565BD">
        <w:t xml:space="preserve"> </w:t>
      </w:r>
      <w:r w:rsidR="000258CE" w:rsidRPr="000258CE">
        <w:t>set by the Group for High Resolution Sea Surface Temperature (GHRSST)</w:t>
      </w:r>
      <w:r w:rsidR="00435768">
        <w:t xml:space="preserve">. </w:t>
      </w:r>
      <w:r w:rsidR="000258CE">
        <w:t xml:space="preserve">This data set uses </w:t>
      </w:r>
      <w:r w:rsidR="000258CE" w:rsidRPr="003E2A48">
        <w:t xml:space="preserve">Advanced Very-High Resolution Radiometer </w:t>
      </w:r>
      <w:r w:rsidR="000258CE">
        <w:t xml:space="preserve">(AVHRR) </w:t>
      </w:r>
      <w:r w:rsidR="000258CE" w:rsidRPr="003E2A48">
        <w:t xml:space="preserve">data, which provides accurate nearshore </w:t>
      </w:r>
      <w:r w:rsidR="000258CE">
        <w:t xml:space="preserve">SST </w:t>
      </w:r>
      <w:r w:rsidR="000258CE" w:rsidRPr="003E2A48">
        <w:t>values</w:t>
      </w:r>
      <w:r w:rsidR="00A967F3">
        <w:t xml:space="preserve">, </w:t>
      </w:r>
      <w:r w:rsidR="00F2172B">
        <w:t>and</w:t>
      </w:r>
      <w:r w:rsidR="00A967F3">
        <w:t xml:space="preserve"> interpolates to fill in gaps in the AVHRR data</w:t>
      </w:r>
      <w:r w:rsidR="000258CE">
        <w:t xml:space="preserve">. </w:t>
      </w:r>
      <w:r w:rsidR="00A967F3">
        <w:t xml:space="preserve">See the section on comparison of SST products in </w:t>
      </w:r>
      <w:r w:rsidR="00F2172B">
        <w:t xml:space="preserve">the </w:t>
      </w:r>
      <w:r w:rsidR="00A967F3" w:rsidRPr="00A967F3">
        <w:t>Supplemental Information: Full model tests and diagnostics</w:t>
      </w:r>
      <w:r w:rsidR="00A967F3">
        <w:t xml:space="preserve">. </w:t>
      </w:r>
      <w:r w:rsidR="00AA0307">
        <w:t xml:space="preserve">We used OI SST for all the main analyses which use landings data after 1981. </w:t>
      </w:r>
      <w:r w:rsidR="00304235" w:rsidRPr="00304235">
        <w:t xml:space="preserve"> </w:t>
      </w:r>
      <w:r w:rsidR="00304235">
        <w:t>For our analysis of the effect of the regional- (as opposed to nearshore-) SST prior to 1981</w:t>
      </w:r>
      <w:r w:rsidR="003150AE">
        <w:t>, we used the International Comprehensive Ocean-Atmosphere Data Set (ICOADS) SST product, available from 1960</w:t>
      </w:r>
      <w:r w:rsidR="00304235">
        <w:t xml:space="preserve">. </w:t>
      </w:r>
      <w:r w:rsidR="003150AE">
        <w:t>The nearshore (&lt;80km) ICOADS SST measurements are not as accurate as AVHRR and could not be used</w:t>
      </w:r>
      <w:r w:rsidR="00304235">
        <w:t xml:space="preserve"> for our</w:t>
      </w:r>
      <w:r w:rsidR="003150AE">
        <w:t xml:space="preserve"> </w:t>
      </w:r>
      <w:r w:rsidR="00304235">
        <w:t xml:space="preserve">covariates involving </w:t>
      </w:r>
      <w:r>
        <w:t xml:space="preserve">nearshore </w:t>
      </w:r>
      <w:r w:rsidR="003150AE">
        <w:t>SST</w:t>
      </w:r>
      <w:r w:rsidR="00304235">
        <w:t>, such as the nearshore-offshore SST differential.</w:t>
      </w:r>
    </w:p>
    <w:p w14:paraId="1A858894" w14:textId="774748F6" w:rsidR="003F27BF" w:rsidRPr="003E2A48" w:rsidRDefault="007D5017" w:rsidP="00DE782C">
      <w:pPr>
        <w:pStyle w:val="BodyText"/>
        <w:spacing w:before="0" w:after="0" w:line="480" w:lineRule="auto"/>
        <w:ind w:firstLine="360"/>
      </w:pPr>
      <w:r w:rsidRPr="00BA076B">
        <w:rPr>
          <w:color w:val="000000" w:themeColor="text1"/>
        </w:rPr>
        <w:t>The strength of upwelling during the summer monsoon June to September has been widely studied for its effects on coastal productivity</w:t>
      </w:r>
      <w:r w:rsidR="001C6E3C" w:rsidRPr="00BA076B">
        <w:rPr>
          <w:color w:val="000000" w:themeColor="text1"/>
        </w:rPr>
        <w:t xml:space="preserve"> and</w:t>
      </w:r>
      <w:r w:rsidRPr="00BA076B">
        <w:rPr>
          <w:color w:val="000000" w:themeColor="text1"/>
        </w:rPr>
        <w:t xml:space="preserve"> coastal anoxia. </w:t>
      </w:r>
      <w:r w:rsidR="001C3550" w:rsidRPr="001C3550">
        <w:rPr>
          <w:color w:val="000000" w:themeColor="text1"/>
        </w:rPr>
        <w:t xml:space="preserve">The upwelling dynamics in our study area are unusual in that remote oceanographic forcing is an especially important driver of the seasonal upwelling </w:t>
      </w:r>
      <w:r w:rsidR="001C3550">
        <w:rPr>
          <w:color w:val="000000" w:themeColor="text1"/>
        </w:rPr>
        <w:t xml:space="preserve">intensity </w:t>
      </w:r>
      <w:r w:rsidR="001C3550" w:rsidRPr="001C3550">
        <w:rPr>
          <w:color w:val="000000" w:themeColor="text1"/>
        </w:rPr>
        <w:t xml:space="preserve">in combination with </w:t>
      </w:r>
      <w:r w:rsidR="001C3550">
        <w:rPr>
          <w:color w:val="000000" w:themeColor="text1"/>
        </w:rPr>
        <w:t xml:space="preserve">forces from </w:t>
      </w:r>
      <w:r w:rsidR="001C3550" w:rsidRPr="001C3550">
        <w:rPr>
          <w:color w:val="000000" w:themeColor="text1"/>
        </w:rPr>
        <w:t xml:space="preserve">local wind </w:t>
      </w:r>
      <w:r w:rsidR="001C3550">
        <w:rPr>
          <w:color w:val="000000" w:themeColor="text1"/>
        </w:rPr>
        <w:t xml:space="preserve">stress </w:t>
      </w:r>
      <w:r w:rsidR="00473848" w:rsidRPr="00BA076B">
        <w:rPr>
          <w:color w:val="000000" w:themeColor="text1"/>
        </w:rPr>
        <w:t>(BR, 2010; BR et al., 2008</w:t>
      </w:r>
      <w:r w:rsidR="004C63E6" w:rsidRPr="00BA076B">
        <w:rPr>
          <w:color w:val="000000" w:themeColor="text1"/>
        </w:rPr>
        <w:t>; Rao, Joshi, &amp; Ravichandran, 2008</w:t>
      </w:r>
      <w:r w:rsidR="00473848" w:rsidRPr="00BA076B">
        <w:rPr>
          <w:color w:val="000000" w:themeColor="text1"/>
        </w:rPr>
        <w:t xml:space="preserve">). </w:t>
      </w:r>
      <w:r w:rsidRPr="00BA076B">
        <w:rPr>
          <w:color w:val="000000" w:themeColor="text1"/>
        </w:rPr>
        <w:t>W</w:t>
      </w:r>
      <w:r w:rsidR="00806920" w:rsidRPr="003E2A48">
        <w:t xml:space="preserve">e </w:t>
      </w:r>
      <w:r w:rsidR="00473848">
        <w:t xml:space="preserve">used a variety of </w:t>
      </w:r>
      <w:r w:rsidR="005219B1">
        <w:t>SST- and wind-based</w:t>
      </w:r>
      <w:r w:rsidR="00D00273" w:rsidRPr="003E2A48">
        <w:t xml:space="preserve"> </w:t>
      </w:r>
      <w:r w:rsidR="00806920" w:rsidRPr="003E2A48">
        <w:t>indices</w:t>
      </w:r>
      <w:r w:rsidR="00B92603">
        <w:t xml:space="preserve"> that have been used in recent papers on upwelling dynamics off the southwest coast of India</w:t>
      </w:r>
      <w:r w:rsidR="00806920" w:rsidRPr="003E2A48">
        <w:t xml:space="preserve">. </w:t>
      </w:r>
      <w:r w:rsidR="00D92334">
        <w:t xml:space="preserve">We tested both current year effects which could arise via effects on abundance or </w:t>
      </w:r>
      <w:r w:rsidR="003F5B3F">
        <w:t xml:space="preserve">lower catchability </w:t>
      </w:r>
      <w:r w:rsidR="00D92334">
        <w:t xml:space="preserve">due to </w:t>
      </w:r>
      <w:r w:rsidR="003F5B3F">
        <w:t xml:space="preserve">movement offshore to </w:t>
      </w:r>
      <w:r w:rsidR="00D92334">
        <w:t>avoid nearshore anoxia</w:t>
      </w:r>
      <w:r w:rsidR="00884E7E">
        <w:t xml:space="preserve"> </w:t>
      </w:r>
      <w:r w:rsidR="00D92334">
        <w:t xml:space="preserve">and prior year effects which would arise via cohort strength in the prior year. </w:t>
      </w:r>
      <w:r w:rsidR="00806920" w:rsidRPr="003E2A48">
        <w:t>The first</w:t>
      </w:r>
      <w:r w:rsidR="002F6A98">
        <w:t xml:space="preserve"> index</w:t>
      </w:r>
      <w:r w:rsidR="00806920" w:rsidRPr="003E2A48">
        <w:t xml:space="preserve"> </w:t>
      </w:r>
      <w:r w:rsidR="008E528F">
        <w:t>wa</w:t>
      </w:r>
      <w:r w:rsidR="00806920" w:rsidRPr="003E2A48">
        <w:t xml:space="preserve">s the </w:t>
      </w:r>
      <w:r w:rsidR="002F6A98">
        <w:t xml:space="preserve">SST </w:t>
      </w:r>
      <w:r w:rsidR="00806920" w:rsidRPr="003E2A48">
        <w:t>differential between nearshore and 3</w:t>
      </w:r>
      <w:r w:rsidR="002F6A98">
        <w:t>°</w:t>
      </w:r>
      <w:r w:rsidR="00806920" w:rsidRPr="003E2A48">
        <w:t xml:space="preserve"> </w:t>
      </w:r>
      <w:r w:rsidR="003F27BF">
        <w:t xml:space="preserve">longitude </w:t>
      </w:r>
      <w:r w:rsidR="00806920" w:rsidRPr="003E2A48">
        <w:t>offshore</w:t>
      </w:r>
      <w:r w:rsidR="002F6A98">
        <w:t>,</w:t>
      </w:r>
      <w:r w:rsidR="00806920" w:rsidRPr="003E2A48">
        <w:t xml:space="preserve"> based on Naidu</w:t>
      </w:r>
      <w:r w:rsidR="0065024E">
        <w:t>,</w:t>
      </w:r>
      <w:r w:rsidR="0065024E" w:rsidRPr="0065024E">
        <w:t xml:space="preserve"> </w:t>
      </w:r>
      <w:r w:rsidR="0065024E" w:rsidRPr="003E2A48">
        <w:t xml:space="preserve">Kumar, </w:t>
      </w:r>
      <w:r w:rsidR="0065024E">
        <w:t>and</w:t>
      </w:r>
      <w:r w:rsidR="0065024E" w:rsidRPr="003E2A48">
        <w:t xml:space="preserve"> Babu</w:t>
      </w:r>
      <w:r w:rsidR="00806920" w:rsidRPr="003E2A48">
        <w:t xml:space="preserve"> (1999) and BR et al. (2008). This index </w:t>
      </w:r>
      <w:r w:rsidR="000F63A6">
        <w:t>has a strong temporal association with</w:t>
      </w:r>
      <w:r w:rsidR="00806920" w:rsidRPr="003E2A48">
        <w:t xml:space="preserve"> chlorophyll-a blooms (Figure </w:t>
      </w:r>
      <w:r w:rsidR="008D1781">
        <w:t>3</w:t>
      </w:r>
      <w:r w:rsidR="00806920" w:rsidRPr="003E2A48">
        <w:t>)</w:t>
      </w:r>
      <w:r w:rsidR="00757B70">
        <w:t xml:space="preserve"> and </w:t>
      </w:r>
      <w:r w:rsidR="001F1C78">
        <w:t xml:space="preserve">is able to measure </w:t>
      </w:r>
      <w:r w:rsidR="00757B70">
        <w:lastRenderedPageBreak/>
        <w:t xml:space="preserve">upwelling arising due to </w:t>
      </w:r>
      <w:r w:rsidR="001F1C78">
        <w:t xml:space="preserve">both </w:t>
      </w:r>
      <w:r w:rsidR="00757B70">
        <w:t>remote-forcing</w:t>
      </w:r>
      <w:r w:rsidR="001F1C78">
        <w:t xml:space="preserve"> and local wind stress</w:t>
      </w:r>
      <w:r w:rsidR="00806920" w:rsidRPr="003E2A48">
        <w:t xml:space="preserve">. </w:t>
      </w:r>
      <w:r w:rsidR="000F63A6" w:rsidRPr="003E2A48">
        <w:t>SST</w:t>
      </w:r>
      <w:r w:rsidR="000F63A6">
        <w:t>s were obtained from</w:t>
      </w:r>
      <w:r w:rsidR="000F63A6" w:rsidRPr="003E2A48">
        <w:t xml:space="preserve"> the </w:t>
      </w:r>
      <w:r w:rsidR="00B16E16">
        <w:t xml:space="preserve">AVHRR </w:t>
      </w:r>
      <w:r w:rsidR="000F63A6" w:rsidRPr="003E2A48">
        <w:t>remote</w:t>
      </w:r>
      <w:r w:rsidR="000F63A6">
        <w:t>-</w:t>
      </w:r>
      <w:r w:rsidR="000F63A6" w:rsidRPr="003E2A48">
        <w:t>sensing data set described above.</w:t>
      </w:r>
      <w:r w:rsidR="000F63A6">
        <w:t xml:space="preserve"> </w:t>
      </w:r>
      <w:r w:rsidR="00806920" w:rsidRPr="003E2A48">
        <w:t xml:space="preserve">The </w:t>
      </w:r>
      <w:r w:rsidR="00503980">
        <w:t>second</w:t>
      </w:r>
      <w:r w:rsidR="00806920" w:rsidRPr="003E2A48">
        <w:t xml:space="preserve"> index was the </w:t>
      </w:r>
      <w:r w:rsidR="00CC4E06">
        <w:t>Ekman Mass Transport</w:t>
      </w:r>
      <w:r w:rsidR="00806920" w:rsidRPr="003E2A48">
        <w:t xml:space="preserve"> </w:t>
      </w:r>
      <w:r w:rsidR="006D43E2">
        <w:t>(</w:t>
      </w:r>
      <w:r w:rsidR="00CC4E06">
        <w:t xml:space="preserve">EMT; </w:t>
      </w:r>
      <w:r w:rsidR="006D43E2">
        <w:t>kg m</w:t>
      </w:r>
      <w:r w:rsidR="006D43E2" w:rsidRPr="00F0595A">
        <w:rPr>
          <w:vertAlign w:val="superscript"/>
        </w:rPr>
        <w:t>-1</w:t>
      </w:r>
      <w:r w:rsidR="006D43E2">
        <w:t xml:space="preserve"> s</w:t>
      </w:r>
      <w:r w:rsidR="006D43E2" w:rsidRPr="00F0595A">
        <w:rPr>
          <w:vertAlign w:val="superscript"/>
        </w:rPr>
        <w:t>-1</w:t>
      </w:r>
      <w:r w:rsidR="006D43E2">
        <w:t>)</w:t>
      </w:r>
      <w:r w:rsidR="00CC4E06">
        <w:t xml:space="preserve"> perpendicular to and within 2</w:t>
      </w:r>
      <w:r>
        <w:t xml:space="preserve">° </w:t>
      </w:r>
      <w:r w:rsidR="00CC4E06">
        <w:t>longitude of the</w:t>
      </w:r>
      <w:r w:rsidR="000F63A6">
        <w:t xml:space="preserve"> </w:t>
      </w:r>
      <w:r w:rsidR="00CC4E06">
        <w:t>coast</w:t>
      </w:r>
      <w:r w:rsidR="00D203BD">
        <w:t xml:space="preserve"> (</w:t>
      </w:r>
      <w:r w:rsidR="006E6562" w:rsidRPr="006E6562">
        <w:t xml:space="preserve">Schwing, O'Farrell, Steger, </w:t>
      </w:r>
      <w:r w:rsidR="006E6562">
        <w:t>&amp;</w:t>
      </w:r>
      <w:r w:rsidR="006E6562" w:rsidRPr="006E6562">
        <w:t xml:space="preserve"> Baltz,</w:t>
      </w:r>
      <w:r w:rsidR="006E6562">
        <w:t xml:space="preserve"> </w:t>
      </w:r>
      <w:r w:rsidR="006E6562" w:rsidRPr="006E6562">
        <w:t>1996</w:t>
      </w:r>
      <w:r w:rsidR="00D203BD">
        <w:t xml:space="preserve">; </w:t>
      </w:r>
      <w:proofErr w:type="spellStart"/>
      <w:r w:rsidR="00D203BD" w:rsidRPr="00D203BD">
        <w:t>Shafeeque</w:t>
      </w:r>
      <w:proofErr w:type="spellEnd"/>
      <w:r w:rsidR="00D203BD" w:rsidRPr="00D203BD">
        <w:t xml:space="preserve"> et al.</w:t>
      </w:r>
      <w:r w:rsidR="00D203BD">
        <w:t>,</w:t>
      </w:r>
      <w:r w:rsidR="00D203BD" w:rsidRPr="00D203BD">
        <w:t xml:space="preserve"> 201</w:t>
      </w:r>
      <w:r w:rsidR="00D203BD">
        <w:t>9)</w:t>
      </w:r>
      <w:r w:rsidR="00CC4E06">
        <w:t xml:space="preserve">. </w:t>
      </w:r>
      <w:r w:rsidR="00B92603" w:rsidRPr="003E2A48">
        <w:t xml:space="preserve">The </w:t>
      </w:r>
      <w:r w:rsidR="00B92603">
        <w:t>third</w:t>
      </w:r>
      <w:r w:rsidR="00B92603" w:rsidRPr="003E2A48">
        <w:t xml:space="preserve"> index was the </w:t>
      </w:r>
      <w:r w:rsidR="00B92603">
        <w:t>Ekman Pumping</w:t>
      </w:r>
      <w:r w:rsidR="00B92603" w:rsidRPr="003E2A48">
        <w:t xml:space="preserve"> </w:t>
      </w:r>
      <w:r w:rsidR="00B92603">
        <w:t>(W</w:t>
      </w:r>
      <w:r w:rsidR="00B92603">
        <w:rPr>
          <w:vertAlign w:val="subscript"/>
        </w:rPr>
        <w:t>e</w:t>
      </w:r>
      <w:r w:rsidR="00B92603">
        <w:t>; m s</w:t>
      </w:r>
      <w:r w:rsidR="00B92603" w:rsidRPr="00F0595A">
        <w:rPr>
          <w:vertAlign w:val="superscript"/>
        </w:rPr>
        <w:t>-1</w:t>
      </w:r>
      <w:r w:rsidR="00B92603">
        <w:t>) at the tip of India (</w:t>
      </w:r>
      <w:r w:rsidR="00B92603" w:rsidRPr="00D203BD">
        <w:t>Sha</w:t>
      </w:r>
      <w:r w:rsidR="00B92603">
        <w:t>h</w:t>
      </w:r>
      <w:r w:rsidR="00B92603" w:rsidRPr="00D203BD">
        <w:t xml:space="preserve"> et al.</w:t>
      </w:r>
      <w:r w:rsidR="00B92603">
        <w:t>,</w:t>
      </w:r>
      <w:r w:rsidR="00B92603" w:rsidRPr="00D203BD">
        <w:t xml:space="preserve"> 201</w:t>
      </w:r>
      <w:r w:rsidR="00B92603">
        <w:t xml:space="preserve">8). </w:t>
      </w:r>
      <w:r w:rsidR="00CC4E06">
        <w:t>EMT</w:t>
      </w:r>
      <w:r w:rsidR="00B92603">
        <w:t xml:space="preserve"> and </w:t>
      </w:r>
      <w:r w:rsidR="00473848">
        <w:t>W</w:t>
      </w:r>
      <w:r w:rsidR="00473848">
        <w:rPr>
          <w:vertAlign w:val="subscript"/>
        </w:rPr>
        <w:t>e</w:t>
      </w:r>
      <w:r w:rsidR="00CC4E06">
        <w:t xml:space="preserve"> </w:t>
      </w:r>
      <w:r w:rsidR="00B92603">
        <w:t>are</w:t>
      </w:r>
      <w:r w:rsidR="00806920" w:rsidRPr="003E2A48">
        <w:t xml:space="preserve"> </w:t>
      </w:r>
      <w:r w:rsidR="00D203BD">
        <w:t>computed from surface winds</w:t>
      </w:r>
      <w:r w:rsidR="00757B70">
        <w:t xml:space="preserve"> and capture upwelling due to </w:t>
      </w:r>
      <w:r w:rsidR="001F1C78">
        <w:t xml:space="preserve">local </w:t>
      </w:r>
      <w:r w:rsidR="00757B70">
        <w:t>wind-stress.</w:t>
      </w:r>
      <w:r w:rsidR="00B92603">
        <w:t xml:space="preserve"> We used the </w:t>
      </w:r>
      <w:r w:rsidR="00B92603" w:rsidRPr="00B92603">
        <w:t>Reanalysis Data ERA5 monthly 10m winds</w:t>
      </w:r>
      <w:r w:rsidR="00B92603">
        <w:t xml:space="preserve"> from the </w:t>
      </w:r>
      <w:r w:rsidR="00D203BD" w:rsidRPr="00D203BD">
        <w:t>European Centre for Medium-Range Weather Forecasts</w:t>
      </w:r>
      <w:r w:rsidR="00B92603">
        <w:t>.</w:t>
      </w:r>
      <w:r w:rsidR="00D203BD">
        <w:t xml:space="preserve"> </w:t>
      </w:r>
      <w:r w:rsidR="000C459C">
        <w:t>S</w:t>
      </w:r>
      <w:r w:rsidR="00D203BD">
        <w:t xml:space="preserve">ee the </w:t>
      </w:r>
      <w:r w:rsidR="00D203BD" w:rsidRPr="00D203BD">
        <w:t>Supplemental Information: Ekman Mass Transport and Pumping Calculations</w:t>
      </w:r>
      <w:r>
        <w:t xml:space="preserve"> for the </w:t>
      </w:r>
      <w:r w:rsidR="000C459C">
        <w:t>equations and code for computing EMT and W</w:t>
      </w:r>
      <w:r w:rsidR="000C459C" w:rsidRPr="000C459C">
        <w:rPr>
          <w:vertAlign w:val="subscript"/>
        </w:rPr>
        <w:t>e</w:t>
      </w:r>
      <w:r>
        <w:t xml:space="preserve"> </w:t>
      </w:r>
      <w:r w:rsidR="006E6562">
        <w:t xml:space="preserve">from surface winds </w:t>
      </w:r>
      <w:r>
        <w:t xml:space="preserve">and </w:t>
      </w:r>
      <w:r w:rsidR="000C459C">
        <w:t xml:space="preserve">for </w:t>
      </w:r>
      <w:r>
        <w:t xml:space="preserve">a comparison of the ERA5 winds to </w:t>
      </w:r>
      <w:r w:rsidR="00D92334">
        <w:t xml:space="preserve">other </w:t>
      </w:r>
      <w:r w:rsidR="006E6562">
        <w:t xml:space="preserve">remote-sensing </w:t>
      </w:r>
      <w:r w:rsidR="00D92334">
        <w:t>wind products</w:t>
      </w:r>
      <w:r w:rsidR="0040479C">
        <w:t xml:space="preserve">. </w:t>
      </w:r>
    </w:p>
    <w:p w14:paraId="34BBAC44" w14:textId="08339157" w:rsidR="008062F9" w:rsidRDefault="004A7A0C" w:rsidP="00CE750A">
      <w:pPr>
        <w:pStyle w:val="BodyText"/>
        <w:spacing w:before="0" w:after="0" w:line="480" w:lineRule="auto"/>
        <w:ind w:firstLine="360"/>
      </w:pPr>
      <w:r>
        <w:t>Precipitation over land and over the ocean during the summer monsoon (June to September) and spring (April to May) were tested in both the current and prior year. Precipitation over land leads to river discharge, which has various and large influences</w:t>
      </w:r>
      <w:r w:rsidR="00362E8A">
        <w:t>, positive and negative,</w:t>
      </w:r>
      <w:r>
        <w:t xml:space="preserve"> on the nearshore ocean environment</w:t>
      </w:r>
      <w:r w:rsidR="00362E8A">
        <w:t xml:space="preserve">. </w:t>
      </w:r>
      <w:r w:rsidR="00806920" w:rsidRPr="003E2A48">
        <w:t>Precipitation data were obtained from two sources</w:t>
      </w:r>
      <w:r w:rsidR="000F63A6">
        <w:t>:</w:t>
      </w:r>
      <w:r w:rsidR="00806920" w:rsidRPr="003E2A48">
        <w:t xml:space="preserve"> monthly precipitation (in m</w:t>
      </w:r>
      <w:r w:rsidR="000F63A6">
        <w:t>illimeters</w:t>
      </w:r>
      <w:r w:rsidR="00806920" w:rsidRPr="003E2A48">
        <w:t>) over Kerala</w:t>
      </w:r>
      <w:r w:rsidR="000F63A6">
        <w:t>, obtained with</w:t>
      </w:r>
      <w:r w:rsidR="00806920" w:rsidRPr="003E2A48">
        <w:t xml:space="preserve"> land-based rain gauges</w:t>
      </w:r>
      <w:r w:rsidR="000F63A6">
        <w:t xml:space="preserve"> and</w:t>
      </w:r>
      <w:r w:rsidR="00806920" w:rsidRPr="003E2A48">
        <w:t xml:space="preserve"> available from the Indian Institute of Tropical Meteorology </w:t>
      </w:r>
      <w:r w:rsidR="000F63A6">
        <w:t xml:space="preserve">from </w:t>
      </w:r>
      <w:r w:rsidR="00806920" w:rsidRPr="003E2A48">
        <w:t>1956</w:t>
      </w:r>
      <w:r w:rsidR="000F63A6">
        <w:t>; and</w:t>
      </w:r>
      <w:r w:rsidR="00806920" w:rsidRPr="003E2A48">
        <w:t xml:space="preserve"> </w:t>
      </w:r>
      <w:r w:rsidR="00750EE9">
        <w:t xml:space="preserve">daily </w:t>
      </w:r>
      <w:r w:rsidR="000F63A6">
        <w:t xml:space="preserve">precipitation </w:t>
      </w:r>
      <w:r w:rsidR="00750EE9">
        <w:t xml:space="preserve">(averaged monthly) </w:t>
      </w:r>
      <w:r w:rsidR="000F63A6">
        <w:t xml:space="preserve">over the ocean from </w:t>
      </w:r>
      <w:r w:rsidR="00806920" w:rsidRPr="003E2A48">
        <w:t>remote</w:t>
      </w:r>
      <w:r w:rsidR="000F63A6">
        <w:t>-</w:t>
      </w:r>
      <w:r w:rsidR="00806920" w:rsidRPr="003E2A48">
        <w:t xml:space="preserve">sensing </w:t>
      </w:r>
      <w:r w:rsidR="002A2CB8">
        <w:t>(</w:t>
      </w:r>
      <w:r w:rsidR="00F2172B">
        <w:t xml:space="preserve">via the </w:t>
      </w:r>
      <w:r w:rsidR="00806920" w:rsidRPr="003E2A48">
        <w:t>NOAA Global Precipitation Climatology Project</w:t>
      </w:r>
      <w:r w:rsidR="002A2CB8">
        <w:t>)</w:t>
      </w:r>
      <w:r w:rsidR="00806920" w:rsidRPr="003E2A48">
        <w:t xml:space="preserve">. </w:t>
      </w:r>
      <w:r w:rsidR="000F63A6">
        <w:t>From the latter, w</w:t>
      </w:r>
      <w:r w:rsidR="00806920" w:rsidRPr="003E2A48">
        <w:t xml:space="preserve">e </w:t>
      </w:r>
      <w:r w:rsidR="000F63A6">
        <w:t>extracted data for</w:t>
      </w:r>
      <w:r w:rsidR="000F63A6" w:rsidRPr="003E2A48">
        <w:t xml:space="preserve"> </w:t>
      </w:r>
      <w:r w:rsidR="00806920" w:rsidRPr="003E2A48">
        <w:t>the 2.5</w:t>
      </w:r>
      <w:r w:rsidR="000F63A6">
        <w:t>°</w:t>
      </w:r>
      <w:r w:rsidR="00806920" w:rsidRPr="003E2A48">
        <w:t xml:space="preserve"> </w:t>
      </w:r>
      <w:r w:rsidR="000F63A6">
        <w:t>×</w:t>
      </w:r>
      <w:r w:rsidR="00806920" w:rsidRPr="003E2A48">
        <w:t xml:space="preserve"> 2.5</w:t>
      </w:r>
      <w:r w:rsidR="000F63A6">
        <w:t>°</w:t>
      </w:r>
      <w:r w:rsidR="00806920" w:rsidRPr="003E2A48">
        <w:t xml:space="preserve"> box defined by latitude 8.75</w:t>
      </w:r>
      <w:r w:rsidR="000F63A6">
        <w:t>–</w:t>
      </w:r>
      <w:r w:rsidR="00806920" w:rsidRPr="003E2A48">
        <w:t>11.25</w:t>
      </w:r>
      <w:r w:rsidR="0040479C">
        <w:t>°N</w:t>
      </w:r>
      <w:r w:rsidR="00806920" w:rsidRPr="003E2A48">
        <w:t xml:space="preserve"> and longitude 73.25</w:t>
      </w:r>
      <w:r w:rsidR="000F63A6">
        <w:t>–</w:t>
      </w:r>
      <w:r w:rsidR="00806920" w:rsidRPr="003E2A48">
        <w:t>75.75</w:t>
      </w:r>
      <w:r w:rsidR="0040479C">
        <w:t>°E</w:t>
      </w:r>
      <w:r w:rsidR="00750EE9">
        <w:t xml:space="preserve"> off the Kerala coast</w:t>
      </w:r>
      <w:r w:rsidR="00806920" w:rsidRPr="003E2A48">
        <w:t xml:space="preserve">. The land and nearshore ocean precipitation data </w:t>
      </w:r>
      <w:r w:rsidR="00AE27DA">
        <w:t>are</w:t>
      </w:r>
      <w:r w:rsidR="00806920" w:rsidRPr="003E2A48">
        <w:t xml:space="preserve"> </w:t>
      </w:r>
      <w:r w:rsidR="00806920" w:rsidRPr="00387E66">
        <w:t>correlated (</w:t>
      </w:r>
      <w:r w:rsidR="009355E1" w:rsidRPr="00387E66">
        <w:t>Supporting</w:t>
      </w:r>
      <w:r w:rsidR="009355E1">
        <w:t xml:space="preserve"> Information</w:t>
      </w:r>
      <w:r w:rsidR="00AE27DA">
        <w:t>; Figure S6</w:t>
      </w:r>
      <w:r w:rsidR="00806920" w:rsidRPr="003E2A48">
        <w:t>).</w:t>
      </w:r>
    </w:p>
    <w:p w14:paraId="5EB8671D" w14:textId="04C70EA4" w:rsidR="007D5017" w:rsidRPr="003E2A48" w:rsidRDefault="00362E8A" w:rsidP="00362E8A">
      <w:pPr>
        <w:pStyle w:val="BodyText"/>
        <w:spacing w:before="0" w:after="0" w:line="480" w:lineRule="auto"/>
        <w:ind w:firstLine="360"/>
      </w:pPr>
      <w:r>
        <w:t xml:space="preserve">Satellite-derived chlorophyll-a data are only available since September 1997 and were not the focus of our analysis due to low sample size, </w:t>
      </w:r>
      <w:r w:rsidR="00DD5689">
        <w:t>however,</w:t>
      </w:r>
      <w:r>
        <w:t xml:space="preserve"> were included for </w:t>
      </w:r>
      <w:r>
        <w:lastRenderedPageBreak/>
        <w:t xml:space="preserve">preliminary study. We examined current and prior year effects of chlorophyll-a in the summer monsoon (June to September) period of peak upwelling and peak blooms (Figure 3) and in the October to December period of peak juvenile somatic growth. </w:t>
      </w:r>
      <w:r w:rsidR="007D5017">
        <w:t xml:space="preserve">For </w:t>
      </w:r>
      <w:r w:rsidR="007D5017" w:rsidRPr="003E2A48">
        <w:t>chlorophyll-a</w:t>
      </w:r>
      <w:r w:rsidR="007D5017">
        <w:t xml:space="preserve"> </w:t>
      </w:r>
      <w:r w:rsidR="00F2172B">
        <w:t xml:space="preserve">concentration </w:t>
      </w:r>
      <w:r w:rsidR="007D5017">
        <w:t>(mg m</w:t>
      </w:r>
      <w:r w:rsidR="007D5017">
        <w:rPr>
          <w:vertAlign w:val="superscript"/>
        </w:rPr>
        <w:t>-3</w:t>
      </w:r>
      <w:r w:rsidR="007D5017">
        <w:t xml:space="preserve">), we used the R2018.0 and R2018.1 </w:t>
      </w:r>
      <w:r w:rsidR="007D5017" w:rsidRPr="003E2A48">
        <w:t xml:space="preserve">products developed by the </w:t>
      </w:r>
      <w:r>
        <w:t xml:space="preserve">NASA </w:t>
      </w:r>
      <w:r w:rsidR="007D5017" w:rsidRPr="003E2A48">
        <w:t xml:space="preserve">Ocean Biology Processing Group </w:t>
      </w:r>
      <w:r w:rsidR="007D5017">
        <w:t>of</w:t>
      </w:r>
      <w:r w:rsidR="007D5017" w:rsidRPr="003E2A48">
        <w:t xml:space="preserve"> the Ocean Ecology Laboratory. </w:t>
      </w:r>
    </w:p>
    <w:p w14:paraId="5400DD0E" w14:textId="68D24FFC" w:rsidR="005C3F7E" w:rsidRDefault="005C3F7E" w:rsidP="005C3F7E">
      <w:pPr>
        <w:pStyle w:val="BodyText"/>
        <w:spacing w:before="0" w:after="0" w:line="480" w:lineRule="auto"/>
        <w:ind w:firstLine="360"/>
      </w:pPr>
      <w:r>
        <w:t xml:space="preserve">We used four climate indices that have been found to correlate with either oil sardine landings, coastal anoxia, chlorophyll-a, or upwelling intensity in recent studies: </w:t>
      </w:r>
      <w:r w:rsidRPr="005C3F7E">
        <w:t>Oceanic Niño Index (ONI)</w:t>
      </w:r>
      <w:r>
        <w:t>, the Dipole Mode Index (DMI), the Pacific Decadal Oscillation (PDO)</w:t>
      </w:r>
      <w:r w:rsidR="0014506D">
        <w:t xml:space="preserve"> index</w:t>
      </w:r>
      <w:r>
        <w:t>, and the Atlantic Multidecadal Oscillation (AMO)</w:t>
      </w:r>
      <w:r w:rsidR="0014506D">
        <w:t xml:space="preserve"> index</w:t>
      </w:r>
      <w:r>
        <w:t xml:space="preserve">. </w:t>
      </w:r>
      <w:r w:rsidR="00806920" w:rsidRPr="003E2A48">
        <w:t>The ONI is a measure of the SST anomaly in the east-central Pacific and a standard index of the ENSO cycle.</w:t>
      </w:r>
      <w:r w:rsidR="00103B15">
        <w:t xml:space="preserve"> </w:t>
      </w:r>
      <w:r w:rsidR="00806920" w:rsidRPr="003E2A48">
        <w:t xml:space="preserve">The DMI is defined by the </w:t>
      </w:r>
      <w:r w:rsidR="00103B15" w:rsidRPr="003E2A48">
        <w:t>SST</w:t>
      </w:r>
      <w:r w:rsidR="00103B15">
        <w:t xml:space="preserve"> anomaly</w:t>
      </w:r>
      <w:r w:rsidR="00103B15" w:rsidRPr="003E2A48">
        <w:t xml:space="preserve"> </w:t>
      </w:r>
      <w:r w:rsidR="00806920" w:rsidRPr="003E2A48">
        <w:t xml:space="preserve">difference between the western and southeastern </w:t>
      </w:r>
      <w:r w:rsidR="00103B15" w:rsidRPr="003E2A48">
        <w:t>Indian Ocean</w:t>
      </w:r>
      <w:r w:rsidR="00F46FF8">
        <w:t xml:space="preserve"> and is an index for the I</w:t>
      </w:r>
      <w:r w:rsidR="007F48D7">
        <w:t>ndian Ocean Dipole</w:t>
      </w:r>
      <w:r w:rsidR="00F46FF8">
        <w:t xml:space="preserve"> cycle</w:t>
      </w:r>
      <w:r w:rsidR="00806920" w:rsidRPr="003E2A48">
        <w:t xml:space="preserve">. </w:t>
      </w:r>
      <w:r w:rsidR="00103B15">
        <w:t>It</w:t>
      </w:r>
      <w:r w:rsidR="00806920" w:rsidRPr="003E2A48">
        <w:t xml:space="preserve"> has been shown to predict anoxic events in </w:t>
      </w:r>
      <w:r w:rsidR="002A2CB8">
        <w:t>our</w:t>
      </w:r>
      <w:r w:rsidR="00103B15" w:rsidRPr="003E2A48">
        <w:t xml:space="preserve"> </w:t>
      </w:r>
      <w:r w:rsidR="00806920" w:rsidRPr="003E2A48">
        <w:t>study area (</w:t>
      </w:r>
      <w:proofErr w:type="spellStart"/>
      <w:r w:rsidR="00806920" w:rsidRPr="003E2A48">
        <w:t>Vallivattathillam</w:t>
      </w:r>
      <w:proofErr w:type="spellEnd"/>
      <w:r w:rsidR="00806920" w:rsidRPr="003E2A48">
        <w:t xml:space="preserve"> et al., 2017)</w:t>
      </w:r>
      <w:r w:rsidR="00F46FF8">
        <w:t xml:space="preserve"> and seasonal chlorophyll</w:t>
      </w:r>
      <w:r w:rsidR="00775FB6">
        <w:t>-a</w:t>
      </w:r>
      <w:r w:rsidR="00F46FF8">
        <w:t xml:space="preserve"> blooms in the southeastern Indian Ocean (Currie et al</w:t>
      </w:r>
      <w:r w:rsidR="002A2CB8">
        <w:t>.</w:t>
      </w:r>
      <w:r w:rsidR="00F46FF8">
        <w:t>, 2013)</w:t>
      </w:r>
      <w:r w:rsidR="00806920" w:rsidRPr="003E2A48">
        <w:t>.</w:t>
      </w:r>
      <w:r>
        <w:t xml:space="preserve"> The PDO </w:t>
      </w:r>
      <w:r w:rsidR="00E27F84">
        <w:t xml:space="preserve">and AMO </w:t>
      </w:r>
      <w:r w:rsidR="0014506D">
        <w:t xml:space="preserve">indices </w:t>
      </w:r>
      <w:r w:rsidR="00E27F84">
        <w:t xml:space="preserve">are </w:t>
      </w:r>
      <w:r w:rsidR="0014506D">
        <w:t>measures</w:t>
      </w:r>
      <w:r w:rsidR="00E27F84">
        <w:t xml:space="preserve"> of the SST anomalies in the North Pacific and North Atlantic Oceans, respectively. </w:t>
      </w:r>
      <w:r>
        <w:t>Hamza et al. (2020) found significant correlation between PDO and AMO</w:t>
      </w:r>
      <w:r w:rsidR="0014506D">
        <w:t xml:space="preserve"> indices</w:t>
      </w:r>
      <w:r w:rsidRPr="003E2A48">
        <w:t xml:space="preserve"> </w:t>
      </w:r>
      <w:r>
        <w:t xml:space="preserve">and </w:t>
      </w:r>
      <w:r w:rsidR="000C459C">
        <w:t xml:space="preserve">multiyear fluctuations in </w:t>
      </w:r>
      <w:r>
        <w:t xml:space="preserve">oil sardine landings. </w:t>
      </w:r>
      <w:r w:rsidR="00362E8A">
        <w:t>For ONI, PDO and AMO</w:t>
      </w:r>
      <w:r w:rsidR="0014506D">
        <w:t xml:space="preserve"> indices</w:t>
      </w:r>
      <w:r w:rsidR="00362E8A">
        <w:t xml:space="preserve">, we created an annual </w:t>
      </w:r>
      <w:r w:rsidR="0014506D">
        <w:t>covariate</w:t>
      </w:r>
      <w:r w:rsidR="00362E8A">
        <w:t xml:space="preserve"> from the average </w:t>
      </w:r>
      <w:r w:rsidR="000C459C">
        <w:t>July</w:t>
      </w:r>
      <w:r w:rsidR="00362E8A">
        <w:t xml:space="preserve"> </w:t>
      </w:r>
      <w:r w:rsidR="000C459C" w:rsidRPr="000C459C">
        <w:rPr>
          <w:i/>
          <w:iCs/>
        </w:rPr>
        <w:t>t-1</w:t>
      </w:r>
      <w:r w:rsidR="000C459C">
        <w:t xml:space="preserve"> </w:t>
      </w:r>
      <w:r w:rsidR="00362E8A">
        <w:t xml:space="preserve">to </w:t>
      </w:r>
      <w:r w:rsidR="000C459C">
        <w:t>June</w:t>
      </w:r>
      <w:r w:rsidR="00362E8A">
        <w:t xml:space="preserve"> </w:t>
      </w:r>
      <w:r w:rsidR="000C459C" w:rsidRPr="000C459C">
        <w:rPr>
          <w:i/>
          <w:iCs/>
        </w:rPr>
        <w:t>t</w:t>
      </w:r>
      <w:r w:rsidR="000C459C">
        <w:t xml:space="preserve"> </w:t>
      </w:r>
      <w:r w:rsidR="00362E8A">
        <w:t>values</w:t>
      </w:r>
      <w:r w:rsidR="000C459C">
        <w:t xml:space="preserve">. The yearly average was computed this way so that it </w:t>
      </w:r>
      <w:r w:rsidR="00362E8A">
        <w:t xml:space="preserve">would not </w:t>
      </w:r>
      <w:r w:rsidR="000C459C">
        <w:t xml:space="preserve">overlap with the July-September catch that we </w:t>
      </w:r>
      <w:r w:rsidR="00F2172B">
        <w:t>are</w:t>
      </w:r>
      <w:r w:rsidR="000C459C">
        <w:t xml:space="preserve"> forecast</w:t>
      </w:r>
      <w:r w:rsidR="00F2172B">
        <w:t>ing</w:t>
      </w:r>
      <w:r w:rsidR="000C459C">
        <w:t>.</w:t>
      </w:r>
    </w:p>
    <w:p w14:paraId="3C37FE12" w14:textId="77777777" w:rsidR="00185159" w:rsidRDefault="00185159" w:rsidP="00354701">
      <w:pPr>
        <w:pStyle w:val="Heading2"/>
        <w:spacing w:before="0" w:line="480" w:lineRule="auto"/>
        <w:rPr>
          <w:rFonts w:asciiTheme="minorHAnsi" w:hAnsiTheme="minorHAnsi"/>
          <w:i/>
          <w:color w:val="auto"/>
          <w:sz w:val="24"/>
          <w:szCs w:val="24"/>
        </w:rPr>
      </w:pPr>
      <w:bookmarkStart w:id="9" w:name="statistical-models"/>
    </w:p>
    <w:p w14:paraId="757626A1" w14:textId="077F7F51" w:rsidR="008062F9" w:rsidRPr="008F002B" w:rsidRDefault="00185159" w:rsidP="00354701">
      <w:pPr>
        <w:pStyle w:val="Heading2"/>
        <w:spacing w:before="0" w:line="480" w:lineRule="auto"/>
        <w:rPr>
          <w:rFonts w:asciiTheme="minorHAnsi" w:hAnsiTheme="minorHAnsi"/>
          <w:iCs/>
          <w:color w:val="auto"/>
          <w:sz w:val="24"/>
          <w:szCs w:val="24"/>
        </w:rPr>
      </w:pPr>
      <w:r w:rsidRPr="008F002B">
        <w:rPr>
          <w:rFonts w:asciiTheme="minorHAnsi" w:hAnsiTheme="minorHAnsi"/>
          <w:iCs/>
          <w:color w:val="auto"/>
          <w:sz w:val="24"/>
          <w:szCs w:val="24"/>
        </w:rPr>
        <w:t>2.</w:t>
      </w:r>
      <w:r w:rsidR="00A40AF0">
        <w:rPr>
          <w:rFonts w:asciiTheme="minorHAnsi" w:hAnsiTheme="minorHAnsi"/>
          <w:iCs/>
          <w:color w:val="auto"/>
          <w:sz w:val="24"/>
          <w:szCs w:val="24"/>
        </w:rPr>
        <w:t>3</w:t>
      </w:r>
      <w:r w:rsidRPr="008F002B">
        <w:rPr>
          <w:rFonts w:asciiTheme="minorHAnsi" w:hAnsiTheme="minorHAnsi"/>
          <w:iCs/>
          <w:color w:val="auto"/>
          <w:sz w:val="24"/>
          <w:szCs w:val="24"/>
        </w:rPr>
        <w:t xml:space="preserve"> </w:t>
      </w:r>
      <w:r w:rsidR="00A40AF0">
        <w:rPr>
          <w:rFonts w:asciiTheme="minorHAnsi" w:hAnsiTheme="minorHAnsi"/>
          <w:iCs/>
          <w:color w:val="auto"/>
          <w:sz w:val="24"/>
          <w:szCs w:val="24"/>
        </w:rPr>
        <w:t>Base catch</w:t>
      </w:r>
      <w:r w:rsidR="00806920" w:rsidRPr="008F002B">
        <w:rPr>
          <w:rFonts w:asciiTheme="minorHAnsi" w:hAnsiTheme="minorHAnsi"/>
          <w:iCs/>
          <w:color w:val="auto"/>
          <w:sz w:val="24"/>
          <w:szCs w:val="24"/>
        </w:rPr>
        <w:t xml:space="preserve"> models</w:t>
      </w:r>
      <w:bookmarkEnd w:id="9"/>
    </w:p>
    <w:p w14:paraId="50B4D55D" w14:textId="147BE02C" w:rsidR="008062F9" w:rsidRPr="00AE264C" w:rsidRDefault="00EE20A7" w:rsidP="00354701">
      <w:pPr>
        <w:pStyle w:val="FirstParagraph"/>
        <w:spacing w:before="0" w:after="0" w:line="480" w:lineRule="auto"/>
      </w:pPr>
      <w:r w:rsidRPr="003E2A48">
        <w:t xml:space="preserve">The first step in our analysis was to determine </w:t>
      </w:r>
      <w:r>
        <w:t xml:space="preserve">our base </w:t>
      </w:r>
      <w:r w:rsidRPr="003E2A48">
        <w:t>model</w:t>
      </w:r>
      <w:r>
        <w:t>s</w:t>
      </w:r>
      <w:r w:rsidRPr="003E2A48">
        <w:t xml:space="preserve"> for current catch as a function of past catch. </w:t>
      </w:r>
      <w:r w:rsidR="00806920" w:rsidRPr="003E2A48">
        <w:t>We modeled</w:t>
      </w:r>
      <w:r w:rsidR="004D7BEC">
        <w:t xml:space="preserve"> July–September (late-monsoon)</w:t>
      </w:r>
      <w:r w:rsidR="004D7BEC" w:rsidRPr="003E2A48">
        <w:t xml:space="preserve"> </w:t>
      </w:r>
      <w:r w:rsidR="004D7BEC">
        <w:t xml:space="preserve">and October–March (post-monsoon) </w:t>
      </w:r>
      <w:r w:rsidR="00806920" w:rsidRPr="003E2A48">
        <w:t>catches separately</w:t>
      </w:r>
      <w:r w:rsidR="004D7BEC">
        <w:t xml:space="preserve">, </w:t>
      </w:r>
      <w:r w:rsidR="00806920" w:rsidRPr="003E2A48">
        <w:t xml:space="preserve">for biological and statistical reasons. </w:t>
      </w:r>
      <w:r w:rsidR="004D7BEC">
        <w:t>Unlike the October–March catch, the</w:t>
      </w:r>
      <w:r w:rsidR="00806920" w:rsidRPr="003E2A48">
        <w:t xml:space="preserve"> Jul</w:t>
      </w:r>
      <w:r w:rsidR="004D7BEC">
        <w:t>y–</w:t>
      </w:r>
      <w:r w:rsidR="00806920" w:rsidRPr="003E2A48">
        <w:t>Sep</w:t>
      </w:r>
      <w:r w:rsidR="004D7BEC">
        <w:t>tember catch contains</w:t>
      </w:r>
      <w:r w:rsidR="00806920" w:rsidRPr="003E2A48">
        <w:t xml:space="preserve"> </w:t>
      </w:r>
      <w:r w:rsidR="00152255">
        <w:t xml:space="preserve">mainly mature spawning-age </w:t>
      </w:r>
      <w:r w:rsidR="00806920" w:rsidRPr="003E2A48">
        <w:t xml:space="preserve">fish, is affected by </w:t>
      </w:r>
      <w:r w:rsidR="00152255">
        <w:t xml:space="preserve">the monsoon </w:t>
      </w:r>
      <w:r w:rsidR="00806920" w:rsidRPr="003E2A48">
        <w:t xml:space="preserve">fishery closure, and is </w:t>
      </w:r>
      <w:r w:rsidR="00152255">
        <w:t xml:space="preserve">affected by </w:t>
      </w:r>
      <w:r w:rsidR="006241B5">
        <w:t xml:space="preserve">the timing of </w:t>
      </w:r>
      <w:r w:rsidR="00152255">
        <w:t xml:space="preserve">post-spawning </w:t>
      </w:r>
      <w:r w:rsidR="00F753E3">
        <w:t>movement</w:t>
      </w:r>
      <w:r w:rsidR="00152255">
        <w:t xml:space="preserve"> inshore </w:t>
      </w:r>
      <w:r w:rsidR="006241B5">
        <w:t xml:space="preserve">which </w:t>
      </w:r>
      <w:r w:rsidR="00152255">
        <w:t>exposes fish to the fishery</w:t>
      </w:r>
      <w:r w:rsidR="00806920" w:rsidRPr="003E2A48">
        <w:t xml:space="preserve">. </w:t>
      </w:r>
      <w:r w:rsidR="00152255">
        <w:t>The</w:t>
      </w:r>
      <w:r w:rsidR="00806920" w:rsidRPr="003E2A48">
        <w:t xml:space="preserve"> covariates that affect the timing of spawning</w:t>
      </w:r>
      <w:r w:rsidR="00152255">
        <w:t xml:space="preserve"> and</w:t>
      </w:r>
      <w:r w:rsidR="00152255" w:rsidRPr="003E2A48">
        <w:t xml:space="preserve"> </w:t>
      </w:r>
      <w:r w:rsidR="004D7BEC" w:rsidRPr="003E2A48">
        <w:t>post-spawning</w:t>
      </w:r>
      <w:r w:rsidR="004D7BEC">
        <w:t xml:space="preserve"> inshore </w:t>
      </w:r>
      <w:r w:rsidR="00806920" w:rsidRPr="003E2A48">
        <w:t>movement may differ</w:t>
      </w:r>
      <w:r w:rsidR="004D7BEC">
        <w:t xml:space="preserve"> from</w:t>
      </w:r>
      <w:r w:rsidR="00806920" w:rsidRPr="003E2A48">
        <w:t xml:space="preserve"> those that affect </w:t>
      </w:r>
      <w:r w:rsidR="0022078C" w:rsidRPr="003E2A48">
        <w:t>egg</w:t>
      </w:r>
      <w:r w:rsidR="0022078C">
        <w:t xml:space="preserve">, </w:t>
      </w:r>
      <w:r w:rsidR="0022078C" w:rsidRPr="003E2A48">
        <w:t xml:space="preserve">larval </w:t>
      </w:r>
      <w:r w:rsidR="0022078C">
        <w:t xml:space="preserve">and juvenile </w:t>
      </w:r>
      <w:r w:rsidR="0022078C" w:rsidRPr="003E2A48">
        <w:t>survival</w:t>
      </w:r>
      <w:r w:rsidR="006241B5">
        <w:t>, and nearshore shoaling</w:t>
      </w:r>
      <w:r w:rsidR="00806920" w:rsidRPr="003E2A48">
        <w:t xml:space="preserve"> </w:t>
      </w:r>
      <w:r w:rsidR="004D7BEC">
        <w:t xml:space="preserve">(and thus </w:t>
      </w:r>
      <w:r w:rsidR="0022078C">
        <w:t>the size of the October-March catch</w:t>
      </w:r>
      <w:r w:rsidR="004D7BEC">
        <w:t>)</w:t>
      </w:r>
      <w:r w:rsidR="00806920" w:rsidRPr="003E2A48">
        <w:t xml:space="preserve">. </w:t>
      </w:r>
      <w:r w:rsidR="004330CA">
        <w:t>Separating the catches</w:t>
      </w:r>
      <w:r w:rsidR="00AE264C">
        <w:t xml:space="preserve"> into seasons, and analyzing annual series,</w:t>
      </w:r>
      <w:r w:rsidR="00F753E3">
        <w:t xml:space="preserve"> </w:t>
      </w:r>
      <w:r w:rsidR="005839BA">
        <w:t xml:space="preserve">eliminated </w:t>
      </w:r>
      <w:r w:rsidR="004330CA">
        <w:t xml:space="preserve">the </w:t>
      </w:r>
      <w:r w:rsidR="005839BA">
        <w:t>confounding influence</w:t>
      </w:r>
      <w:r w:rsidR="00565DC1">
        <w:t xml:space="preserve"> of seasonality</w:t>
      </w:r>
      <w:r w:rsidR="005839BA">
        <w:t xml:space="preserve"> and </w:t>
      </w:r>
      <w:r w:rsidR="004D7BEC">
        <w:t>permitted a focus on year-to-year variability</w:t>
      </w:r>
      <w:r w:rsidR="00565DC1">
        <w:t xml:space="preserve"> rather than </w:t>
      </w:r>
      <w:r w:rsidR="006241B5">
        <w:t xml:space="preserve">the </w:t>
      </w:r>
      <w:r w:rsidR="00565DC1">
        <w:t xml:space="preserve">seasonal </w:t>
      </w:r>
      <w:r w:rsidR="006241B5">
        <w:t>cycle</w:t>
      </w:r>
      <w:r w:rsidR="00565DC1">
        <w:t xml:space="preserve">. </w:t>
      </w:r>
      <w:r w:rsidR="00AE264C">
        <w:t xml:space="preserve">Although adults in July-September would be those that spawn the 0-year fish in the October-March catch, the July-September catch in year </w:t>
      </w:r>
      <w:r w:rsidR="00AE264C" w:rsidRPr="00AE264C">
        <w:rPr>
          <w:i/>
          <w:iCs/>
        </w:rPr>
        <w:t>t</w:t>
      </w:r>
      <w:r w:rsidR="00AE264C">
        <w:t xml:space="preserve"> was </w:t>
      </w:r>
      <w:r w:rsidR="00AE264C" w:rsidRPr="003E2A48">
        <w:t>not used as a predictor for</w:t>
      </w:r>
      <w:r w:rsidR="00AE264C">
        <w:t xml:space="preserve"> October-March catch in year </w:t>
      </w:r>
      <w:r w:rsidR="00AE264C" w:rsidRPr="00AE264C">
        <w:rPr>
          <w:i/>
          <w:iCs/>
        </w:rPr>
        <w:t>t</w:t>
      </w:r>
      <w:r w:rsidR="00AE264C">
        <w:t>. The focus of our work is the study of forecasting performance; the July-September catch numbers would not be available by October</w:t>
      </w:r>
      <w:r w:rsidR="0034795F">
        <w:t xml:space="preserve"> (</w:t>
      </w:r>
      <w:r w:rsidR="006241B5">
        <w:t>the quarter immediately after</w:t>
      </w:r>
      <w:r w:rsidR="0034795F">
        <w:t xml:space="preserve">). </w:t>
      </w:r>
    </w:p>
    <w:p w14:paraId="446A39C2" w14:textId="0544F4DA" w:rsidR="008062F9" w:rsidRPr="003E2A48" w:rsidRDefault="001A3DBC" w:rsidP="00565DC1">
      <w:pPr>
        <w:pStyle w:val="BodyText"/>
        <w:spacing w:before="0" w:after="0" w:line="480" w:lineRule="auto"/>
        <w:ind w:firstLine="360"/>
      </w:pPr>
      <w:r>
        <w:t>We</w:t>
      </w:r>
      <w:r w:rsidR="00806920" w:rsidRPr="003E2A48">
        <w:t xml:space="preserve"> found little support for autoregressive errors</w:t>
      </w:r>
      <w:r w:rsidR="0022078C">
        <w:t xml:space="preserve">, </w:t>
      </w:r>
      <w:r w:rsidR="00DD5689">
        <w:t>i.e.,</w:t>
      </w:r>
      <w:r w:rsidR="0022078C">
        <w:t xml:space="preserve"> </w:t>
      </w:r>
      <w:r w:rsidR="00C41255">
        <w:t>Autoregressive Integrated Moving Average (</w:t>
      </w:r>
      <w:r w:rsidR="00806920" w:rsidRPr="003E2A48">
        <w:t>ARIMA</w:t>
      </w:r>
      <w:r w:rsidR="00C41255">
        <w:t>)</w:t>
      </w:r>
      <w:r w:rsidR="00806920" w:rsidRPr="003E2A48">
        <w:t xml:space="preserve"> models with </w:t>
      </w:r>
      <w:r w:rsidR="0022078C">
        <w:t>moving average</w:t>
      </w:r>
      <w:r w:rsidR="00806920" w:rsidRPr="003E2A48">
        <w:t xml:space="preserve"> </w:t>
      </w:r>
      <w:r w:rsidR="0022078C">
        <w:t xml:space="preserve">(MA) </w:t>
      </w:r>
      <w:r w:rsidR="00806920" w:rsidRPr="003E2A48">
        <w:t>component</w:t>
      </w:r>
      <w:r w:rsidR="005839BA">
        <w:t>s</w:t>
      </w:r>
      <w:r w:rsidR="0022078C">
        <w:t>,</w:t>
      </w:r>
      <w:r w:rsidR="00806920" w:rsidRPr="003E2A48">
        <w:t xml:space="preserve"> based on diagnostic tests of the residuals and model selection. The best</w:t>
      </w:r>
      <w:r w:rsidR="005839BA">
        <w:t>-</w:t>
      </w:r>
      <w:r w:rsidR="00806920" w:rsidRPr="003E2A48">
        <w:t>supported ARIMA models were simple AR models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=α+b</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w:t>
      </w:r>
      <w:r w:rsidR="00922AFC">
        <w:t xml:space="preserve"> where the error-term </w:t>
      </w:r>
      <w:r w:rsidR="00806920" w:rsidRPr="003E2A48">
        <w:t xml:space="preserve"> </w:t>
      </w:r>
      <m:oMath>
        <m:sSub>
          <m:sSubPr>
            <m:ctrlPr>
              <w:rPr>
                <w:rFonts w:ascii="Cambria Math" w:hAnsi="Cambria Math"/>
              </w:rPr>
            </m:ctrlPr>
          </m:sSubPr>
          <m:e>
            <m:r>
              <w:rPr>
                <w:rFonts w:ascii="Cambria Math" w:hAnsi="Cambria Math"/>
              </w:rPr>
              <m:t>ϵ</m:t>
            </m:r>
          </m:e>
          <m:sub>
            <m:r>
              <w:rPr>
                <w:rFonts w:ascii="Cambria Math" w:hAnsi="Cambria Math"/>
              </w:rPr>
              <m:t>t</m:t>
            </m:r>
          </m:sub>
        </m:sSub>
      </m:oMath>
      <w:r w:rsidR="00922AFC">
        <w:rPr>
          <w:rFonts w:eastAsiaTheme="minorEastAsia"/>
        </w:rPr>
        <w:t xml:space="preserve"> was temporally independent. </w:t>
      </w:r>
      <w:r w:rsidR="00E5496B">
        <w:t>Similar</w:t>
      </w:r>
      <w:r w:rsidR="00E5496B" w:rsidRPr="003E2A48">
        <w:t xml:space="preserve"> </w:t>
      </w:r>
      <w:r w:rsidR="00806920" w:rsidRPr="003E2A48">
        <w:t xml:space="preserve">lack of strong autocorrelation in residuals has been found in other studies </w:t>
      </w:r>
      <w:r w:rsidR="000B1F56">
        <w:t xml:space="preserve">using </w:t>
      </w:r>
      <w:r w:rsidR="00806920" w:rsidRPr="003E2A48">
        <w:t xml:space="preserve">ARIMA </w:t>
      </w:r>
      <w:r w:rsidR="003B474D">
        <w:t xml:space="preserve">catch </w:t>
      </w:r>
      <w:r w:rsidR="00806920" w:rsidRPr="003E2A48">
        <w:t xml:space="preserve">models for </w:t>
      </w:r>
      <w:r w:rsidR="002B2A2B">
        <w:t xml:space="preserve">small </w:t>
      </w:r>
      <w:proofErr w:type="spellStart"/>
      <w:r w:rsidR="002B2A2B">
        <w:t>pelagics</w:t>
      </w:r>
      <w:proofErr w:type="spellEnd"/>
      <w:r w:rsidR="002B2A2B">
        <w:t xml:space="preserve"> </w:t>
      </w:r>
      <w:r w:rsidR="00806920" w:rsidRPr="003E2A48">
        <w:t xml:space="preserve">(Stergiou &amp; Christou, 1996). We thus used AR-only </w:t>
      </w:r>
      <w:r w:rsidR="00806920" w:rsidRPr="003E2A48">
        <w:lastRenderedPageBreak/>
        <w:t>models</w:t>
      </w:r>
      <w:r w:rsidR="00E5496B">
        <w:t>;</w:t>
      </w:r>
      <w:r w:rsidR="00806920" w:rsidRPr="003E2A48">
        <w:t xml:space="preserve"> however</w:t>
      </w:r>
      <w:r w:rsidR="00E5496B">
        <w:t>,</w:t>
      </w:r>
      <w:r w:rsidR="00806920" w:rsidRPr="003E2A48">
        <w:t xml:space="preserve"> we tested linear and non-linear models </w:t>
      </w:r>
      <w:r w:rsidR="00E5496B">
        <w:t>with</w:t>
      </w:r>
      <w:r w:rsidR="00E5496B" w:rsidRPr="003E2A48">
        <w:t xml:space="preserve"> </w:t>
      </w:r>
      <w:r w:rsidR="00806920" w:rsidRPr="003E2A48">
        <w:t>generalized additive models (GAMs</w:t>
      </w:r>
      <w:r w:rsidR="0065024E">
        <w:t>;</w:t>
      </w:r>
      <w:r w:rsidR="00806920" w:rsidRPr="003E2A48">
        <w:t xml:space="preserve"> Wood, 2017) of the form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=α+s</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r w:rsidR="00806920" w:rsidRPr="00C71234">
        <w:rPr>
          <w:iCs/>
        </w:rPr>
        <w:t xml:space="preserve"> </w:t>
      </w:r>
      <w:r w:rsidR="00565DC1">
        <w:rPr>
          <w:iCs/>
        </w:rPr>
        <w:t xml:space="preserve">where </w:t>
      </w:r>
      <w:r w:rsidR="00565DC1" w:rsidRPr="00565DC1">
        <w:rPr>
          <w:i/>
          <w:iCs/>
        </w:rPr>
        <w:t>s</w:t>
      </w:r>
      <w:r w:rsidR="00565DC1">
        <w:rPr>
          <w:iCs/>
        </w:rPr>
        <w:t>(</w:t>
      </w:r>
      <w:r w:rsidR="0022078C">
        <w:rPr>
          <w:iCs/>
        </w:rPr>
        <w:t xml:space="preserve"> </w:t>
      </w:r>
      <w:r w:rsidR="00565DC1">
        <w:rPr>
          <w:iCs/>
        </w:rPr>
        <w:t xml:space="preserve">) is </w:t>
      </w:r>
      <w:r w:rsidR="00775FB6">
        <w:rPr>
          <w:iCs/>
        </w:rPr>
        <w:t xml:space="preserve">a </w:t>
      </w:r>
      <w:r w:rsidR="00565DC1">
        <w:rPr>
          <w:iCs/>
        </w:rPr>
        <w:t xml:space="preserve">non-linear </w:t>
      </w:r>
      <w:r w:rsidR="00387E66">
        <w:rPr>
          <w:iCs/>
        </w:rPr>
        <w:t xml:space="preserve">spline smoothing </w:t>
      </w:r>
      <w:r w:rsidR="00565DC1">
        <w:rPr>
          <w:iCs/>
        </w:rPr>
        <w:t>function</w:t>
      </w:r>
      <w:r w:rsidR="00387E66">
        <w:rPr>
          <w:iCs/>
        </w:rPr>
        <w:t>,</w:t>
      </w:r>
      <w:r w:rsidR="00565DC1">
        <w:rPr>
          <w:iCs/>
        </w:rPr>
        <w:t xml:space="preserve"> </w:t>
      </w:r>
      <w:r w:rsidR="00806920" w:rsidRPr="003E2A48">
        <w:t>and time-varying linear models with dynamic linear models (DLM</w:t>
      </w:r>
      <w:r w:rsidR="00E5496B">
        <w:t>s</w:t>
      </w:r>
      <w:r w:rsidR="00806920" w:rsidRPr="003E2A48">
        <w:t>)</w:t>
      </w:r>
      <w:r w:rsidR="00903BE3">
        <w:t xml:space="preserve"> of the form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GAMs </w:t>
      </w:r>
      <w:r w:rsidR="00E5496B">
        <w:t xml:space="preserve">enable </w:t>
      </w:r>
      <w:r w:rsidR="00806920" w:rsidRPr="003E2A48">
        <w:t>model</w:t>
      </w:r>
      <w:r w:rsidR="00E5496B">
        <w:t>ing of</w:t>
      </w:r>
      <w:r w:rsidR="00806920" w:rsidRPr="003E2A48">
        <w:t xml:space="preserve"> the effect of a covariate as a flexible non-linear function</w:t>
      </w:r>
      <w:r w:rsidR="00E5496B">
        <w:t>, and</w:t>
      </w:r>
      <w:r w:rsidR="00806920" w:rsidRPr="003E2A48">
        <w:t xml:space="preserve"> DLMs allow the effect of the covariate to vary over time. Our GAM approach is analogous to that taken by Jacobson and </w:t>
      </w:r>
      <w:proofErr w:type="spellStart"/>
      <w:r w:rsidR="00806920" w:rsidRPr="003E2A48">
        <w:t>MacCall</w:t>
      </w:r>
      <w:proofErr w:type="spellEnd"/>
      <w:r w:rsidR="00806920" w:rsidRPr="003E2A48">
        <w:t xml:space="preserve"> (1995) in a study of the effects of SST on Pacific sardine recruitment.</w:t>
      </w:r>
    </w:p>
    <w:p w14:paraId="5F97B269" w14:textId="65BD8256" w:rsidR="008062F9" w:rsidRPr="003E2A48" w:rsidRDefault="00806920" w:rsidP="00565DC1">
      <w:pPr>
        <w:pStyle w:val="BodyText"/>
        <w:spacing w:before="0" w:after="0" w:line="480" w:lineRule="auto"/>
        <w:ind w:firstLine="360"/>
      </w:pPr>
      <w:r w:rsidRPr="003E2A48">
        <w:t xml:space="preserve">We explored four classes of </w:t>
      </w:r>
      <w:r w:rsidR="00D55620">
        <w:t xml:space="preserve">base catch </w:t>
      </w:r>
      <w:r w:rsidRPr="003E2A48">
        <w:t>model</w:t>
      </w:r>
      <w:r w:rsidR="002B2A2B">
        <w:t>s</w:t>
      </w:r>
      <w:r w:rsidRPr="003E2A48">
        <w:t xml:space="preserve">: </w:t>
      </w:r>
      <w:r w:rsidR="001A3DBC">
        <w:t xml:space="preserve">a </w:t>
      </w:r>
      <w:r w:rsidR="002E1BBA">
        <w:t>naïve (</w:t>
      </w:r>
      <w:r w:rsidRPr="003E2A48">
        <w:t>null</w:t>
      </w:r>
      <w:r w:rsidR="002E1BBA">
        <w:t>)</w:t>
      </w:r>
      <w:r w:rsidRPr="003E2A48">
        <w:t xml:space="preserve"> model, linear regressive models with </w:t>
      </w:r>
      <w:r w:rsidR="002C110F">
        <w:t>1–2</w:t>
      </w:r>
      <w:r w:rsidRPr="003E2A48">
        <w:t xml:space="preserve"> years of prior catch</w:t>
      </w:r>
      <w:r w:rsidR="002C110F">
        <w:t xml:space="preserve"> data</w:t>
      </w:r>
      <w:r w:rsidRPr="003E2A48">
        <w:t>, DLM</w:t>
      </w:r>
      <w:r w:rsidR="002C110F">
        <w:t>s</w:t>
      </w:r>
      <w:r w:rsidRPr="003E2A48">
        <w:t xml:space="preserve"> (</w:t>
      </w:r>
      <w:r w:rsidR="002C110F" w:rsidRPr="003E2A48">
        <w:t>using the MARSS package in R</w:t>
      </w:r>
      <w:r w:rsidR="002C110F">
        <w:t>;</w:t>
      </w:r>
      <w:r w:rsidR="002C110F" w:rsidRPr="003E2A48">
        <w:t xml:space="preserve"> </w:t>
      </w:r>
      <w:r w:rsidRPr="003E2A48">
        <w:t>Holmes</w:t>
      </w:r>
      <w:r w:rsidR="0065024E">
        <w:t>,</w:t>
      </w:r>
      <w:r w:rsidR="0065024E" w:rsidRPr="0065024E">
        <w:t xml:space="preserve"> </w:t>
      </w:r>
      <w:r w:rsidR="0065024E" w:rsidRPr="003E2A48">
        <w:t>Ward, &amp; Wills</w:t>
      </w:r>
      <w:r w:rsidRPr="003E2A48">
        <w:t>, 2012), and GAMs</w:t>
      </w:r>
      <w:r w:rsidR="0022078C">
        <w:t xml:space="preserve"> </w:t>
      </w:r>
      <w:r w:rsidR="0022078C" w:rsidRPr="003E2A48">
        <w:t xml:space="preserve">(using the </w:t>
      </w:r>
      <w:proofErr w:type="spellStart"/>
      <w:r w:rsidR="0022078C" w:rsidRPr="003E2A48">
        <w:t>mgcv</w:t>
      </w:r>
      <w:proofErr w:type="spellEnd"/>
      <w:r w:rsidR="0022078C" w:rsidRPr="003E2A48">
        <w:t xml:space="preserve"> package in R</w:t>
      </w:r>
      <w:r w:rsidR="0022078C">
        <w:t>; Wood, 2011</w:t>
      </w:r>
      <w:r w:rsidR="0022078C" w:rsidRPr="003E2A48">
        <w:t>)</w:t>
      </w:r>
      <w:r w:rsidRPr="003E2A48">
        <w:t>.</w:t>
      </w:r>
      <w:r w:rsidR="00185501">
        <w:t xml:space="preserve"> </w:t>
      </w:r>
      <w:r w:rsidR="002C110F" w:rsidRPr="003E2A48">
        <w:t xml:space="preserve">We fit GAMs with smooth terms represented by penalized </w:t>
      </w:r>
      <w:r w:rsidR="00387E66">
        <w:t xml:space="preserve">thin-plate </w:t>
      </w:r>
      <w:r w:rsidR="002C110F" w:rsidRPr="003E2A48">
        <w:t>regression splines and fixed the smoothing term at an intermediate value (</w:t>
      </w:r>
      <w:proofErr w:type="spellStart"/>
      <w:r w:rsidR="002C110F" w:rsidRPr="003E2A48">
        <w:t>sp</w:t>
      </w:r>
      <w:proofErr w:type="spellEnd"/>
      <w:r w:rsidR="002C110F">
        <w:t xml:space="preserve"> </w:t>
      </w:r>
      <w:r w:rsidR="002C110F" w:rsidRPr="003E2A48">
        <w:t>=</w:t>
      </w:r>
      <w:r w:rsidR="002C110F">
        <w:t xml:space="preserve"> </w:t>
      </w:r>
      <w:r w:rsidR="002C110F" w:rsidRPr="003E2A48">
        <w:t>0.6)</w:t>
      </w:r>
      <w:r w:rsidRPr="003E2A48">
        <w:t xml:space="preserve"> </w:t>
      </w:r>
      <w:r w:rsidR="002C110F">
        <w:t>to obtain</w:t>
      </w:r>
      <w:r w:rsidRPr="003E2A48">
        <w:t xml:space="preserve"> smooth responses</w:t>
      </w:r>
      <w:r w:rsidR="002C110F">
        <w:t>, as m</w:t>
      </w:r>
      <w:r w:rsidRPr="003E2A48">
        <w:t xml:space="preserve">ultimodal or overly flexible response curves would not be realistic for our application. </w:t>
      </w:r>
      <w:r w:rsidR="002B2A2B">
        <w:t>The</w:t>
      </w:r>
      <w:r w:rsidRPr="003E2A48">
        <w:t xml:space="preserve"> catch models</w:t>
      </w:r>
      <w:r w:rsidR="002E54C8">
        <w:t xml:space="preserve"> were</w:t>
      </w:r>
      <w:r w:rsidRPr="003E2A48">
        <w:t>:</w:t>
      </w:r>
    </w:p>
    <w:p w14:paraId="59A459AF" w14:textId="2A621866" w:rsidR="008062F9" w:rsidRPr="003E2A48" w:rsidRDefault="002E1BBA" w:rsidP="00354701">
      <w:pPr>
        <w:pStyle w:val="Compact"/>
        <w:numPr>
          <w:ilvl w:val="0"/>
          <w:numId w:val="3"/>
        </w:numPr>
        <w:spacing w:before="0" w:after="0" w:line="480" w:lineRule="auto"/>
      </w:pPr>
      <w:r>
        <w:t>naïve (</w:t>
      </w:r>
      <w:r w:rsidR="00806920" w:rsidRPr="003E2A48">
        <w:t>null</w:t>
      </w:r>
      <w:r>
        <w:t>)</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11116BDD" w14:textId="35DBB6DB" w:rsidR="008062F9" w:rsidRPr="003E2A48" w:rsidRDefault="00A43466" w:rsidP="00354701">
      <w:pPr>
        <w:pStyle w:val="Compact"/>
        <w:numPr>
          <w:ilvl w:val="0"/>
          <w:numId w:val="3"/>
        </w:numPr>
        <w:spacing w:before="0" w:after="0" w:line="480" w:lineRule="auto"/>
      </w:pPr>
      <w:r>
        <w:t xml:space="preserve">biased </w:t>
      </w:r>
      <w:r w:rsidR="00806920" w:rsidRPr="003E2A48">
        <w:t xml:space="preserve">random walk: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63B63B" w14:textId="5021FB9B" w:rsidR="008062F9" w:rsidRPr="003E2A48" w:rsidRDefault="00806920" w:rsidP="00354701">
      <w:pPr>
        <w:pStyle w:val="Compact"/>
        <w:numPr>
          <w:ilvl w:val="0"/>
          <w:numId w:val="3"/>
        </w:numPr>
        <w:spacing w:before="0" w:after="0" w:line="480" w:lineRule="auto"/>
      </w:pPr>
      <w:r w:rsidRPr="003E2A48">
        <w:t xml:space="preserve">linear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)=α+βln(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052D112" w14:textId="2E74CB31" w:rsidR="008062F9" w:rsidRPr="003E2A48" w:rsidRDefault="00806920" w:rsidP="00354701">
      <w:pPr>
        <w:pStyle w:val="Compact"/>
        <w:numPr>
          <w:ilvl w:val="0"/>
          <w:numId w:val="3"/>
        </w:numPr>
        <w:spacing w:before="0" w:after="0" w:line="480" w:lineRule="auto"/>
      </w:pPr>
      <w:r w:rsidRPr="003E2A48">
        <w:t xml:space="preserve">linear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2B7EFF" w14:textId="157759D5" w:rsidR="008062F9" w:rsidRPr="003E2A48" w:rsidRDefault="00806920" w:rsidP="00354701">
      <w:pPr>
        <w:pStyle w:val="Compact"/>
        <w:numPr>
          <w:ilvl w:val="0"/>
          <w:numId w:val="3"/>
        </w:numPr>
        <w:spacing w:before="0" w:after="0" w:line="480" w:lineRule="auto"/>
      </w:pPr>
      <w:r w:rsidRPr="003E2A48">
        <w:t xml:space="preserve">DLM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73B3E635" w14:textId="77777777" w:rsidR="008062F9" w:rsidRPr="003E2A48" w:rsidRDefault="00806920" w:rsidP="00354701">
      <w:pPr>
        <w:pStyle w:val="Compact"/>
        <w:numPr>
          <w:ilvl w:val="0"/>
          <w:numId w:val="3"/>
        </w:numPr>
        <w:spacing w:before="0" w:after="0" w:line="480" w:lineRule="auto"/>
      </w:pPr>
      <w:r w:rsidRPr="003E2A48">
        <w:t xml:space="preserve">GAM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)=α+s(ln(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57937CD5" w14:textId="51384216" w:rsidR="008062F9" w:rsidRPr="003E2A48" w:rsidRDefault="00806920" w:rsidP="00354701">
      <w:pPr>
        <w:pStyle w:val="Compact"/>
        <w:numPr>
          <w:ilvl w:val="0"/>
          <w:numId w:val="3"/>
        </w:numPr>
        <w:spacing w:before="0" w:after="0" w:line="480" w:lineRule="auto"/>
      </w:pPr>
      <w:r w:rsidRPr="003E2A48">
        <w:t xml:space="preserve">GAM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p>
    <w:p w14:paraId="44151354" w14:textId="3FF3839B" w:rsidR="006069B1" w:rsidRDefault="002C110F" w:rsidP="006069B1">
      <w:pPr>
        <w:pStyle w:val="FirstParagraph"/>
        <w:spacing w:before="0" w:after="0" w:line="480" w:lineRule="auto"/>
      </w:pPr>
      <m:oMath>
        <m:r>
          <m:rPr>
            <m:sty m:val="p"/>
          </m:rPr>
          <w:rPr>
            <w:rFonts w:ascii="Cambria Math" w:hAnsi="Cambria Math"/>
          </w:rPr>
          <w:lastRenderedPageBreak/>
          <m:t xml:space="preserve"> </m:t>
        </m:r>
        <m:r>
          <w:rPr>
            <w:rFonts w:ascii="Cambria Math" w:hAnsi="Cambria Math"/>
          </w:rPr>
          <m:t>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i,t</m:t>
                </m:r>
              </m:sub>
            </m:sSub>
          </m:e>
        </m:d>
        <m:r>
          <w:rPr>
            <w:rFonts w:ascii="Cambria Math" w:hAnsi="Cambria Math"/>
          </w:rPr>
          <m:t>, 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j,t-1</m:t>
                </m:r>
              </m:sub>
            </m:sSub>
          </m:e>
        </m:d>
        <m:r>
          <w:rPr>
            <w:rFonts w:ascii="Cambria Math" w:hAnsi="Cambria Math"/>
          </w:rPr>
          <m:t>, 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oMath>
      <w:r w:rsidR="00806920" w:rsidRPr="003E2A48">
        <w:t xml:space="preserve"> </w:t>
      </w:r>
      <w:r w:rsidR="00A45786">
        <w:t>are</w:t>
      </w:r>
      <w:r w:rsidR="00A45786" w:rsidRPr="003E2A48">
        <w:t xml:space="preserve"> </w:t>
      </w:r>
      <w:r w:rsidR="00806920" w:rsidRPr="003E2A48">
        <w:t>the log catch</w:t>
      </w:r>
      <w:r w:rsidR="00A45786">
        <w:t xml:space="preserve">es. </w:t>
      </w:r>
      <w:r w:rsidR="00A45786" w:rsidRPr="00A40966">
        <w:rPr>
          <w:i/>
        </w:rPr>
        <w:t>t</w:t>
      </w:r>
      <w:r w:rsidR="00A45786">
        <w:t xml:space="preserve">, </w:t>
      </w:r>
      <w:r w:rsidR="00A45786" w:rsidRPr="00A40966">
        <w:rPr>
          <w:i/>
        </w:rPr>
        <w:t>t-1</w:t>
      </w:r>
      <w:r w:rsidR="00A45786">
        <w:t xml:space="preserve"> and </w:t>
      </w:r>
      <w:r w:rsidR="00A45786" w:rsidRPr="00A40966">
        <w:rPr>
          <w:i/>
        </w:rPr>
        <w:t>t-2</w:t>
      </w:r>
      <w:r w:rsidR="00A45786">
        <w:t xml:space="preserve"> denote current, prior year and two years prior. </w:t>
      </w:r>
      <w:proofErr w:type="spellStart"/>
      <w:r w:rsidR="00A45786" w:rsidRPr="00A40966">
        <w:rPr>
          <w:i/>
        </w:rPr>
        <w:t>i</w:t>
      </w:r>
      <w:proofErr w:type="spellEnd"/>
      <w:r w:rsidR="00A45786">
        <w:t xml:space="preserve">, </w:t>
      </w:r>
      <w:r w:rsidR="00A45786" w:rsidRPr="00A40966">
        <w:rPr>
          <w:i/>
        </w:rPr>
        <w:t>j</w:t>
      </w:r>
      <w:r w:rsidR="00A45786">
        <w:t xml:space="preserve"> and </w:t>
      </w:r>
      <w:r w:rsidR="00A45786" w:rsidRPr="00A40966">
        <w:rPr>
          <w:i/>
        </w:rPr>
        <w:t>k</w:t>
      </w:r>
      <w:r w:rsidR="00A45786">
        <w:t xml:space="preserve"> denote the season</w:t>
      </w:r>
      <w:r w:rsidR="0059478B">
        <w:t xml:space="preserve">: </w:t>
      </w:r>
      <w:r w:rsidR="00A45786">
        <w:t xml:space="preserve">July-September </w:t>
      </w:r>
      <w:r w:rsidR="006069B1">
        <w:t xml:space="preserve">(denoted </w:t>
      </w:r>
      <w:r w:rsidR="006069B1" w:rsidRPr="00BA076B">
        <w:rPr>
          <w:i/>
          <w:iCs/>
        </w:rPr>
        <w:t>S</w:t>
      </w:r>
      <w:r w:rsidR="006069B1">
        <w:t xml:space="preserve"> for late-summer) </w:t>
      </w:r>
      <w:r w:rsidR="00A45786">
        <w:t>or October-</w:t>
      </w:r>
      <w:r w:rsidR="00293521">
        <w:t xml:space="preserve">March </w:t>
      </w:r>
      <w:r w:rsidR="006069B1">
        <w:t xml:space="preserve">(denoted </w:t>
      </w:r>
      <w:r w:rsidR="006069B1" w:rsidRPr="00BA076B">
        <w:rPr>
          <w:i/>
          <w:iCs/>
        </w:rPr>
        <w:t>W</w:t>
      </w:r>
      <w:r w:rsidR="006069B1">
        <w:t xml:space="preserve"> for winter) </w:t>
      </w:r>
      <w:r w:rsidR="00A45786">
        <w:t>catch depending on the model.</w:t>
      </w:r>
      <w:r w:rsidR="0087241A">
        <w:t xml:space="preserve"> </w:t>
      </w:r>
    </w:p>
    <w:p w14:paraId="5E57E2C1" w14:textId="11639A36" w:rsidR="007936FE" w:rsidRDefault="00806920" w:rsidP="00354701">
      <w:pPr>
        <w:pStyle w:val="FirstParagraph"/>
        <w:spacing w:before="0" w:after="0" w:line="480" w:lineRule="auto"/>
      </w:pPr>
      <w:r w:rsidRPr="003E2A48">
        <w:t>We tested models with</w:t>
      </w:r>
      <w:r w:rsidR="000609CA">
        <w:t xml:space="preserve"> </w:t>
      </w:r>
      <w:r w:rsidRPr="003E2A48">
        <w:t>Oct</w:t>
      </w:r>
      <w:r w:rsidR="0097275E">
        <w:t>ober–</w:t>
      </w:r>
      <w:r w:rsidRPr="003E2A48">
        <w:t>Mar</w:t>
      </w:r>
      <w:r w:rsidR="0097275E">
        <w:t>ch</w:t>
      </w:r>
      <w:r w:rsidRPr="003E2A48">
        <w:t xml:space="preserve"> </w:t>
      </w:r>
      <m:oMath>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t-1</m:t>
            </m:r>
          </m:sub>
        </m:sSub>
      </m:oMath>
      <w:r w:rsidRPr="003E2A48">
        <w:t xml:space="preserve"> and </w:t>
      </w:r>
      <m:oMath>
        <m:sSub>
          <m:sSubPr>
            <m:ctrlPr>
              <w:rPr>
                <w:rFonts w:ascii="Cambria Math" w:hAnsi="Cambria Math"/>
              </w:rPr>
            </m:ctrlPr>
          </m:sSubPr>
          <m:e>
            <m:r>
              <w:rPr>
                <w:rFonts w:ascii="Cambria Math" w:hAnsi="Cambria Math"/>
              </w:rPr>
              <m:t>W</m:t>
            </m:r>
          </m:e>
          <m:sub>
            <m:r>
              <w:rPr>
                <w:rFonts w:ascii="Cambria Math" w:hAnsi="Cambria Math"/>
              </w:rPr>
              <m:t>t-2</m:t>
            </m:r>
          </m:sub>
        </m:sSub>
      </m:oMath>
      <w:r w:rsidR="000609CA">
        <w:t>)</w:t>
      </w:r>
      <w:r w:rsidR="006069B1">
        <w:t xml:space="preserve">, </w:t>
      </w:r>
      <w:r w:rsidRPr="003E2A48">
        <w:t>and Jul</w:t>
      </w:r>
      <w:r w:rsidR="0097275E">
        <w:t>y–</w:t>
      </w:r>
      <w:r w:rsidRPr="003E2A48">
        <w:t>Sep</w:t>
      </w:r>
      <w:r w:rsidR="0097275E">
        <w:t>tember</w:t>
      </w:r>
      <w:r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t-1</m:t>
            </m:r>
          </m:sub>
        </m:sSub>
      </m:oMath>
      <w:r w:rsidRPr="003E2A48">
        <w:t xml:space="preserve"> and </w:t>
      </w:r>
      <m:oMath>
        <m:sSub>
          <m:sSubPr>
            <m:ctrlPr>
              <w:rPr>
                <w:rFonts w:ascii="Cambria Math" w:hAnsi="Cambria Math"/>
              </w:rPr>
            </m:ctrlPr>
          </m:sSubPr>
          <m:e>
            <m:r>
              <w:rPr>
                <w:rFonts w:ascii="Cambria Math" w:hAnsi="Cambria Math"/>
              </w:rPr>
              <m:t>S</m:t>
            </m:r>
          </m:e>
          <m:sub>
            <m:r>
              <w:rPr>
                <w:rFonts w:ascii="Cambria Math" w:hAnsi="Cambria Math"/>
              </w:rPr>
              <m:t>t-2</m:t>
            </m:r>
          </m:sub>
        </m:sSub>
      </m:oMath>
      <w:r w:rsidRPr="003E2A48">
        <w:t>)</w:t>
      </w:r>
      <w:r w:rsidR="006069B1">
        <w:t xml:space="preserve"> </w:t>
      </w:r>
      <w:r w:rsidR="0097275E">
        <w:t>catches</w:t>
      </w:r>
      <w:r w:rsidR="007871F2">
        <w:t xml:space="preserve"> 1 and 2 </w:t>
      </w:r>
      <w:r w:rsidR="007871F2" w:rsidRPr="003E2A48">
        <w:t>prior year</w:t>
      </w:r>
      <w:r w:rsidR="007871F2">
        <w:t xml:space="preserve">s </w:t>
      </w:r>
      <w:r w:rsidR="006069B1">
        <w:t>a</w:t>
      </w:r>
      <w:r w:rsidRPr="003E2A48">
        <w:t>s the explanatory catch variable</w:t>
      </w:r>
      <w:r w:rsidR="0097275E">
        <w:t>s</w:t>
      </w:r>
      <w:r w:rsidR="007871F2">
        <w:t xml:space="preserve"> (the </w:t>
      </w:r>
      <m:oMath>
        <m:sSub>
          <m:sSubPr>
            <m:ctrlPr>
              <w:rPr>
                <w:rFonts w:ascii="Cambria Math" w:hAnsi="Cambria Math"/>
              </w:rPr>
            </m:ctrlPr>
          </m:sSubPr>
          <m:e>
            <m:r>
              <w:rPr>
                <w:rFonts w:ascii="Cambria Math" w:hAnsi="Cambria Math"/>
              </w:rPr>
              <m:t>C</m:t>
            </m:r>
          </m:e>
          <m:sub>
            <m:r>
              <w:rPr>
                <w:rFonts w:ascii="Cambria Math" w:hAnsi="Cambria Math"/>
              </w:rPr>
              <m:t>j,t-1</m:t>
            </m:r>
          </m:sub>
        </m:sSub>
      </m:oMath>
      <w:r w:rsidR="007871F2">
        <w:rPr>
          <w:rFonts w:eastAsiaTheme="minorEastAsia"/>
        </w:rPr>
        <w:t xml:space="preserve"> and </w:t>
      </w:r>
      <m:oMath>
        <m:sSub>
          <m:sSubPr>
            <m:ctrlPr>
              <w:rPr>
                <w:rFonts w:ascii="Cambria Math" w:hAnsi="Cambria Math"/>
              </w:rPr>
            </m:ctrlPr>
          </m:sSubPr>
          <m:e>
            <m:r>
              <w:rPr>
                <w:rFonts w:ascii="Cambria Math" w:hAnsi="Cambria Math"/>
              </w:rPr>
              <m:t>C</m:t>
            </m:r>
          </m:e>
          <m:sub>
            <m:r>
              <w:rPr>
                <w:rFonts w:ascii="Cambria Math" w:hAnsi="Cambria Math"/>
              </w:rPr>
              <m:t>k,t-2</m:t>
            </m:r>
          </m:sub>
        </m:sSub>
      </m:oMath>
      <w:r w:rsidR="007871F2">
        <w:rPr>
          <w:rFonts w:eastAsiaTheme="minorEastAsia"/>
        </w:rPr>
        <w:t>)</w:t>
      </w:r>
      <w:r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Pr="003E2A48">
        <w:t xml:space="preserve"> was not used as a predictor for </w:t>
      </w:r>
      <m:oMath>
        <m:sSub>
          <m:sSubPr>
            <m:ctrlPr>
              <w:rPr>
                <w:rFonts w:ascii="Cambria Math" w:hAnsi="Cambria Math"/>
              </w:rPr>
            </m:ctrlPr>
          </m:sSubPr>
          <m:e>
            <m:r>
              <w:rPr>
                <w:rFonts w:ascii="Cambria Math" w:hAnsi="Cambria Math"/>
              </w:rPr>
              <m:t>W</m:t>
            </m:r>
          </m:e>
          <m:sub>
            <m:r>
              <w:rPr>
                <w:rFonts w:ascii="Cambria Math" w:hAnsi="Cambria Math"/>
              </w:rPr>
              <m:t>t</m:t>
            </m:r>
          </m:sub>
        </m:sSub>
      </m:oMath>
      <w:r w:rsidRPr="003E2A48">
        <w:t xml:space="preserve"> because </w:t>
      </w:r>
      <m:oMath>
        <m:r>
          <m:rPr>
            <m:sty m:val="p"/>
          </m:rPr>
          <w:rPr>
            <w:rFonts w:ascii="Cambria Math" w:hAnsi="Cambria Math"/>
          </w:rPr>
          <m:t>it</m:t>
        </m:r>
      </m:oMath>
      <w:r w:rsidRPr="003E2A48">
        <w:t xml:space="preserve"> is the </w:t>
      </w:r>
      <w:r w:rsidR="0097275E">
        <w:t xml:space="preserve">immediately preceding </w:t>
      </w:r>
      <w:r w:rsidRPr="003E2A48">
        <w:t xml:space="preserve">quarter. </w:t>
      </w:r>
    </w:p>
    <w:p w14:paraId="5028E1B4" w14:textId="3E6D72B8" w:rsidR="008062F9" w:rsidRDefault="00806920" w:rsidP="00BE1633">
      <w:pPr>
        <w:pStyle w:val="FirstParagraph"/>
        <w:spacing w:before="0" w:after="0" w:line="480" w:lineRule="auto"/>
        <w:ind w:firstLine="360"/>
      </w:pPr>
      <w:r w:rsidRPr="003E2A48">
        <w:t xml:space="preserve">The catch models were fit to </w:t>
      </w:r>
      <w:r w:rsidR="0022078C" w:rsidRPr="003E2A48">
        <w:t>198</w:t>
      </w:r>
      <w:r w:rsidR="0022078C">
        <w:t>3</w:t>
      </w:r>
      <w:r w:rsidR="0097275E">
        <w:t>–</w:t>
      </w:r>
      <w:r w:rsidRPr="003E2A48">
        <w:t>2015 catch data</w:t>
      </w:r>
      <w:r w:rsidR="0022078C">
        <w:t>, the time-period for which</w:t>
      </w:r>
      <w:r w:rsidR="0022078C" w:rsidRPr="003E2A48">
        <w:t xml:space="preserve"> </w:t>
      </w:r>
      <w:r w:rsidR="0022078C">
        <w:t>our</w:t>
      </w:r>
      <w:r w:rsidR="0022078C" w:rsidRPr="003E2A48">
        <w:t xml:space="preserve"> </w:t>
      </w:r>
      <w:r w:rsidRPr="003E2A48">
        <w:t>SST, upwelling</w:t>
      </w:r>
      <w:r w:rsidR="0097275E">
        <w:t>,</w:t>
      </w:r>
      <w:r w:rsidRPr="003E2A48">
        <w:t xml:space="preserve"> and precipitation data were available</w:t>
      </w:r>
      <w:r w:rsidR="00957881">
        <w:t xml:space="preserve"> for all years; we used the </w:t>
      </w:r>
      <w:r w:rsidR="00187B24">
        <w:t xml:space="preserve">same </w:t>
      </w:r>
      <w:r w:rsidR="00957881">
        <w:t>years of catch data for all covariate tests</w:t>
      </w:r>
      <w:r w:rsidRPr="003E2A48">
        <w:t xml:space="preserve">. </w:t>
      </w:r>
      <w:r w:rsidR="0097275E">
        <w:t xml:space="preserve">Akaike information criterion </w:t>
      </w:r>
      <w:r w:rsidR="00103242">
        <w:t xml:space="preserve">corrected for small sample size </w:t>
      </w:r>
      <w:r w:rsidR="0097275E">
        <w:t>(</w:t>
      </w:r>
      <w:proofErr w:type="spellStart"/>
      <w:r w:rsidRPr="003E2A48">
        <w:t>AIC</w:t>
      </w:r>
      <w:r w:rsidR="00103242">
        <w:t>c</w:t>
      </w:r>
      <w:proofErr w:type="spellEnd"/>
      <w:r w:rsidR="007871F2">
        <w:t>)</w:t>
      </w:r>
      <w:r w:rsidRPr="003E2A48">
        <w:t xml:space="preserve"> and leave-one-out cross-validation (LOOCV) </w:t>
      </w:r>
      <w:r w:rsidR="0097275E">
        <w:t>were applied to</w:t>
      </w:r>
      <w:r w:rsidRPr="003E2A48">
        <w:t xml:space="preserve"> nested sets of models to evaluate </w:t>
      </w:r>
      <w:r w:rsidR="007936FE">
        <w:t xml:space="preserve">model </w:t>
      </w:r>
      <w:r w:rsidRPr="003E2A48">
        <w:t xml:space="preserve">support. LOOCV involves </w:t>
      </w:r>
      <w:r w:rsidR="0097275E">
        <w:t>model fitting with the omission of</w:t>
      </w:r>
      <w:r w:rsidRPr="003E2A48">
        <w:t xml:space="preserve"> a data</w:t>
      </w:r>
      <w:r w:rsidR="0059478B">
        <w:t xml:space="preserve"> </w:t>
      </w:r>
      <w:r w:rsidRPr="003E2A48">
        <w:t xml:space="preserve">point, </w:t>
      </w:r>
      <w:r w:rsidR="0097275E">
        <w:t>followed by</w:t>
      </w:r>
      <w:r w:rsidRPr="003E2A48">
        <w:t xml:space="preserve"> predicti</w:t>
      </w:r>
      <w:r w:rsidR="0097275E">
        <w:t>on of that</w:t>
      </w:r>
      <w:r w:rsidRPr="003E2A48">
        <w:t xml:space="preserve"> data</w:t>
      </w:r>
      <w:r w:rsidR="0059478B">
        <w:t xml:space="preserve"> </w:t>
      </w:r>
      <w:r w:rsidRPr="003E2A48">
        <w:t>point</w:t>
      </w:r>
      <w:r w:rsidR="004C4001" w:rsidRPr="003E2A48">
        <w:t xml:space="preserve">. </w:t>
      </w:r>
      <w:r w:rsidRPr="003E2A48">
        <w:t xml:space="preserve">The root mean squared error </w:t>
      </w:r>
      <w:r w:rsidR="00A94D47">
        <w:t>(RMSE) and median absolute error (</w:t>
      </w:r>
      <w:proofErr w:type="spellStart"/>
      <w:r w:rsidR="00A94D47">
        <w:t>MdAE</w:t>
      </w:r>
      <w:proofErr w:type="spellEnd"/>
      <w:r w:rsidR="00A94D47">
        <w:t xml:space="preserve">) </w:t>
      </w:r>
      <w:r w:rsidR="00D55620">
        <w:t>are</w:t>
      </w:r>
      <w:r w:rsidRPr="003E2A48">
        <w:t xml:space="preserve"> reported for the set of </w:t>
      </w:r>
      <w:r w:rsidR="00957881">
        <w:t xml:space="preserve">LOOCV </w:t>
      </w:r>
      <w:r w:rsidRPr="003E2A48">
        <w:t xml:space="preserve">prediction errors. After selection of the best model </w:t>
      </w:r>
      <w:r w:rsidR="0097275E">
        <w:t>using</w:t>
      </w:r>
      <w:r w:rsidR="0097275E" w:rsidRPr="003E2A48">
        <w:t xml:space="preserve"> </w:t>
      </w:r>
      <w:r w:rsidRPr="003E2A48">
        <w:t xml:space="preserve">the </w:t>
      </w:r>
      <w:r w:rsidR="00957881" w:rsidRPr="003E2A48">
        <w:t>198</w:t>
      </w:r>
      <w:r w:rsidR="00957881">
        <w:t>3</w:t>
      </w:r>
      <w:r w:rsidR="0097275E">
        <w:t>–</w:t>
      </w:r>
      <w:r w:rsidRPr="003E2A48">
        <w:t xml:space="preserve">2015 data, fitting was repeated with </w:t>
      </w:r>
      <w:r w:rsidR="0097275E">
        <w:t>catch data from</w:t>
      </w:r>
      <w:r w:rsidR="0097275E" w:rsidRPr="003E2A48">
        <w:t xml:space="preserve"> </w:t>
      </w:r>
      <w:r w:rsidRPr="003E2A48">
        <w:t>1956</w:t>
      </w:r>
      <w:r w:rsidR="0097275E">
        <w:t>–</w:t>
      </w:r>
      <w:r w:rsidR="00957881" w:rsidRPr="003E2A48">
        <w:t>198</w:t>
      </w:r>
      <w:r w:rsidR="00957881">
        <w:t>2</w:t>
      </w:r>
      <w:r w:rsidR="00957881" w:rsidRPr="003E2A48">
        <w:t xml:space="preserve"> </w:t>
      </w:r>
      <w:r w:rsidRPr="003E2A48">
        <w:t xml:space="preserve">to confirm the </w:t>
      </w:r>
      <w:r w:rsidR="007871F2">
        <w:t xml:space="preserve">base </w:t>
      </w:r>
      <w:r w:rsidRPr="003E2A48">
        <w:t xml:space="preserve">catch model. An influential years test was </w:t>
      </w:r>
      <w:r w:rsidR="0097275E">
        <w:t>performed</w:t>
      </w:r>
      <w:r w:rsidR="0097275E" w:rsidRPr="003E2A48">
        <w:t xml:space="preserve"> </w:t>
      </w:r>
      <w:r w:rsidRPr="003E2A48">
        <w:t xml:space="preserve">by removing each year </w:t>
      </w:r>
      <w:r w:rsidR="0097275E">
        <w:t xml:space="preserve">in the series sequentially </w:t>
      </w:r>
      <w:r w:rsidRPr="003E2A48">
        <w:t>and repeating the model selection analysis</w:t>
      </w:r>
      <w:r w:rsidR="00A94D47">
        <w:t xml:space="preserve"> (Supporting Information</w:t>
      </w:r>
      <w:r w:rsidR="00673C1D">
        <w:t>: Validation of catch base models, Figures S1-S5</w:t>
      </w:r>
      <w:r w:rsidR="00A94D47">
        <w:t>)</w:t>
      </w:r>
      <w:r w:rsidRPr="003E2A48">
        <w:t>.</w:t>
      </w:r>
    </w:p>
    <w:p w14:paraId="69897973" w14:textId="77777777" w:rsidR="00A40AF0" w:rsidRDefault="00A40AF0" w:rsidP="00A40AF0">
      <w:pPr>
        <w:pStyle w:val="Heading2"/>
        <w:spacing w:before="0" w:line="480" w:lineRule="auto"/>
        <w:rPr>
          <w:rFonts w:asciiTheme="minorHAnsi" w:hAnsiTheme="minorHAnsi"/>
          <w:iCs/>
          <w:color w:val="auto"/>
          <w:sz w:val="24"/>
          <w:szCs w:val="24"/>
        </w:rPr>
      </w:pPr>
      <w:bookmarkStart w:id="10" w:name="hypotheses"/>
    </w:p>
    <w:bookmarkEnd w:id="10"/>
    <w:p w14:paraId="5C4FB934" w14:textId="67BC75BB" w:rsidR="00A40AF0" w:rsidRPr="00F46FF8" w:rsidRDefault="00A40AF0" w:rsidP="00BA076B">
      <w:pPr>
        <w:pStyle w:val="Heading2"/>
        <w:numPr>
          <w:ilvl w:val="1"/>
          <w:numId w:val="17"/>
        </w:numPr>
        <w:spacing w:before="0" w:line="480" w:lineRule="auto"/>
        <w:rPr>
          <w:rFonts w:asciiTheme="minorHAnsi" w:hAnsiTheme="minorHAnsi"/>
          <w:iCs/>
          <w:color w:val="auto"/>
          <w:sz w:val="24"/>
          <w:szCs w:val="24"/>
        </w:rPr>
      </w:pPr>
      <w:r>
        <w:rPr>
          <w:rFonts w:asciiTheme="minorHAnsi" w:hAnsiTheme="minorHAnsi"/>
          <w:iCs/>
          <w:color w:val="auto"/>
          <w:sz w:val="24"/>
          <w:szCs w:val="24"/>
        </w:rPr>
        <w:t>Covariate analysis</w:t>
      </w:r>
    </w:p>
    <w:p w14:paraId="1940F4F6" w14:textId="193B3E8E" w:rsidR="007A3C46" w:rsidRDefault="00806920" w:rsidP="007A3C46">
      <w:pPr>
        <w:pStyle w:val="BodyText"/>
        <w:spacing w:before="0" w:after="0" w:line="480" w:lineRule="auto"/>
      </w:pPr>
      <w:r w:rsidRPr="003E2A48">
        <w:t xml:space="preserve">Once the </w:t>
      </w:r>
      <w:r w:rsidR="001A3DBC">
        <w:t xml:space="preserve">base </w:t>
      </w:r>
      <w:r w:rsidRPr="003E2A48">
        <w:t xml:space="preserve">catch models were determined, the </w:t>
      </w:r>
      <w:r w:rsidR="00957881">
        <w:t xml:space="preserve">environmental </w:t>
      </w:r>
      <w:r w:rsidRPr="003E2A48">
        <w:t xml:space="preserve">covariates </w:t>
      </w:r>
      <w:r w:rsidR="00023740">
        <w:t>(</w:t>
      </w:r>
      <w:r w:rsidR="0095302F">
        <w:t>Section 2.2</w:t>
      </w:r>
      <w:r w:rsidR="00023740">
        <w:t>)</w:t>
      </w:r>
      <w:r w:rsidR="0095302F">
        <w:t xml:space="preserve"> </w:t>
      </w:r>
      <w:r w:rsidRPr="003E2A48">
        <w:t xml:space="preserve">were studied. </w:t>
      </w:r>
      <w:r w:rsidR="001A3DBC">
        <w:t xml:space="preserve">The covariate models </w:t>
      </w:r>
      <w:r w:rsidR="001A3DBC" w:rsidRPr="003E2A48">
        <w:t xml:space="preserve">were </w:t>
      </w:r>
      <w:r w:rsidR="001A3DBC">
        <w:t>selected</w:t>
      </w:r>
      <w:r w:rsidR="001A3DBC" w:rsidRPr="003E2A48">
        <w:t xml:space="preserve"> </w:t>
      </w:r>
      <w:r w:rsidR="001A3DBC">
        <w:t xml:space="preserve">to test </w:t>
      </w:r>
      <w:r w:rsidR="001A3DBC" w:rsidRPr="003E2A48">
        <w:t>specific hypothes</w:t>
      </w:r>
      <w:r w:rsidR="001A3DBC">
        <w:t>ized drivers of catch variability</w:t>
      </w:r>
      <w:r w:rsidR="00023740">
        <w:t xml:space="preserve"> </w:t>
      </w:r>
      <w:r w:rsidR="001A3DBC" w:rsidRPr="003E2A48">
        <w:t xml:space="preserve">based on how </w:t>
      </w:r>
      <w:r w:rsidR="001A3DBC">
        <w:t xml:space="preserve">and when environmental variables are thought to </w:t>
      </w:r>
      <w:r w:rsidR="001A3DBC" w:rsidRPr="003E2A48">
        <w:t xml:space="preserve">affect </w:t>
      </w:r>
      <w:r w:rsidR="001A3DBC">
        <w:t xml:space="preserve">oil </w:t>
      </w:r>
      <w:r w:rsidR="001A3DBC" w:rsidRPr="003E2A48">
        <w:lastRenderedPageBreak/>
        <w:t xml:space="preserve">sardine survival and recruitment and </w:t>
      </w:r>
      <w:r w:rsidR="001A3DBC">
        <w:t xml:space="preserve">to </w:t>
      </w:r>
      <w:r w:rsidR="001A3DBC" w:rsidRPr="003E2A48">
        <w:t xml:space="preserve">affect </w:t>
      </w:r>
      <w:r w:rsidR="00505BF5">
        <w:t>availability to the fishery</w:t>
      </w:r>
      <w:r w:rsidR="00023740">
        <w:t xml:space="preserve"> (summarized in </w:t>
      </w:r>
      <w:r w:rsidR="00023740" w:rsidRPr="003E2A48">
        <w:t>Table 1</w:t>
      </w:r>
      <w:r w:rsidR="00023740">
        <w:t xml:space="preserve"> and Section 2.2</w:t>
      </w:r>
      <w:r w:rsidR="00023740" w:rsidRPr="003E2A48">
        <w:t>)</w:t>
      </w:r>
      <w:r w:rsidR="001A3DBC" w:rsidRPr="003E2A48">
        <w:t xml:space="preserve">. </w:t>
      </w:r>
      <w:r w:rsidRPr="003E2A48">
        <w:t xml:space="preserve">As with the catch models, </w:t>
      </w:r>
      <w:r w:rsidR="00AE6E40">
        <w:t xml:space="preserve">support was evaluated using </w:t>
      </w:r>
      <w:proofErr w:type="spellStart"/>
      <w:r w:rsidRPr="003E2A48">
        <w:t>AIC</w:t>
      </w:r>
      <w:r w:rsidR="00103242">
        <w:t>c</w:t>
      </w:r>
      <w:proofErr w:type="spellEnd"/>
      <w:r w:rsidR="00EE5A26">
        <w:t xml:space="preserve"> </w:t>
      </w:r>
      <w:r w:rsidRPr="003E2A48">
        <w:t>and LOOCV</w:t>
      </w:r>
      <w:r w:rsidR="00AE6E40">
        <w:t xml:space="preserve"> with</w:t>
      </w:r>
      <w:r w:rsidRPr="003E2A48">
        <w:t xml:space="preserve"> nested sets of models</w:t>
      </w:r>
      <w:r w:rsidR="00023740">
        <w:t>. The full set</w:t>
      </w:r>
      <w:r w:rsidR="00BE1633">
        <w:t>s</w:t>
      </w:r>
      <w:r w:rsidR="00023740">
        <w:t xml:space="preserve"> of nested models </w:t>
      </w:r>
      <w:r w:rsidR="00BE1633">
        <w:t>are</w:t>
      </w:r>
      <w:r w:rsidR="00023740">
        <w:t xml:space="preserve"> shown in the appendices (Tables A1 and A2) and Supplement Table S7</w:t>
      </w:r>
      <w:r w:rsidR="002E54C8">
        <w:t xml:space="preserve">. </w:t>
      </w:r>
      <w:r w:rsidR="00AE6E40">
        <w:t>M</w:t>
      </w:r>
      <w:r w:rsidR="00AE6E40" w:rsidRPr="003E2A48">
        <w:t xml:space="preserve">odels with covariates </w:t>
      </w:r>
      <w:r w:rsidR="00AE6E40">
        <w:t>(</w:t>
      </w:r>
      <w:r w:rsidR="00AE6E40">
        <w:rPr>
          <w:i/>
          <w:iCs/>
        </w:rPr>
        <w:t>V</w:t>
      </w:r>
      <w:r w:rsidR="00AE6E40">
        <w:t xml:space="preserve">) </w:t>
      </w:r>
      <w:r w:rsidR="007936FE">
        <w:t>with</w:t>
      </w:r>
      <w:r w:rsidR="00AE6E40" w:rsidRPr="003E2A48">
        <w:t xml:space="preserve"> linear</w:t>
      </w:r>
      <w:r w:rsidR="0059478B">
        <w:t xml:space="preserve"> and</w:t>
      </w:r>
      <w:r w:rsidR="0059478B" w:rsidRPr="003E2A48">
        <w:t xml:space="preserve"> </w:t>
      </w:r>
      <w:r w:rsidR="00AE6E40" w:rsidRPr="003E2A48">
        <w:t xml:space="preserve">non-linear </w:t>
      </w:r>
      <w:r w:rsidR="00957881">
        <w:t xml:space="preserve">(GAM) </w:t>
      </w:r>
      <w:r w:rsidR="00AE6E40" w:rsidRPr="003E2A48">
        <w:t>effect</w:t>
      </w:r>
      <w:r w:rsidR="00AE6E40">
        <w:t>s</w:t>
      </w:r>
      <w:r w:rsidR="00AE6E40" w:rsidRPr="003E2A48">
        <w:t xml:space="preserve"> were</w:t>
      </w:r>
      <w:r w:rsidR="0059478B">
        <w:t xml:space="preserve"> compared:</w:t>
      </w:r>
      <w:r w:rsidR="00AE6E40"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59478B">
        <w:t xml:space="preserve"> and</w:t>
      </w:r>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r>
          <m:rPr>
            <m:sty m:val="p"/>
          </m:rP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w:t>
      </w:r>
      <w:r w:rsidR="0059478B" w:rsidRPr="003E2A48" w:rsidDel="0059478B">
        <w:t xml:space="preserve"> </w:t>
      </w:r>
      <w:r w:rsidR="0059478B">
        <w:t>w</w:t>
      </w:r>
      <w:r w:rsidRPr="003E2A48">
        <w:t xml:space="preserve">here </w:t>
      </w:r>
      <m:oMath>
        <m:r>
          <w:rPr>
            <w:rFonts w:ascii="Cambria Math" w:hAnsi="Cambria Math"/>
          </w:rPr>
          <m:t>M</m:t>
        </m:r>
      </m:oMath>
      <w:r w:rsidRPr="003E2A48">
        <w:t xml:space="preserve"> </w:t>
      </w:r>
      <w:r w:rsidR="00AE6E40">
        <w:t>i</w:t>
      </w:r>
      <w:r w:rsidR="00AE6E40" w:rsidRPr="003E2A48">
        <w:t xml:space="preserve">s </w:t>
      </w:r>
      <w:r w:rsidRPr="003E2A48">
        <w:t xml:space="preserve">the best catch model from </w:t>
      </w:r>
      <w:r w:rsidR="00AB4E5A">
        <w:t>the preliminary model fitt</w:t>
      </w:r>
      <w:r w:rsidR="0059478B">
        <w:t>ing</w:t>
      </w:r>
      <w:r w:rsidR="00AB4E5A">
        <w:t xml:space="preserve"> step described above.</w:t>
      </w:r>
      <w:r w:rsidR="001A3DBC">
        <w:t xml:space="preserve"> </w:t>
      </w:r>
      <w:r w:rsidR="00A46D08">
        <w:t>T</w:t>
      </w:r>
      <w:r w:rsidR="00A46D08" w:rsidRPr="003E2A48">
        <w:t xml:space="preserve">he smoothing term </w:t>
      </w:r>
      <w:r w:rsidR="00A46D08">
        <w:t xml:space="preserve">for the GAM models </w:t>
      </w:r>
      <w:r w:rsidR="00A46D08" w:rsidRPr="003E2A48">
        <w:t>was fixed at an intermediate value (</w:t>
      </w:r>
      <w:proofErr w:type="spellStart"/>
      <w:r w:rsidR="00A46D08" w:rsidRPr="003E2A48">
        <w:t>sp</w:t>
      </w:r>
      <w:proofErr w:type="spellEnd"/>
      <w:r w:rsidR="00A46D08">
        <w:t xml:space="preserve"> </w:t>
      </w:r>
      <w:r w:rsidR="00A46D08" w:rsidRPr="003E2A48">
        <w:t>=</w:t>
      </w:r>
      <w:r w:rsidR="00A46D08">
        <w:t xml:space="preserve"> </w:t>
      </w:r>
      <w:r w:rsidR="00A46D08" w:rsidRPr="003E2A48">
        <w:t xml:space="preserve">0.6). </w:t>
      </w:r>
      <w:r w:rsidR="003A1781">
        <w:t>Note, in all cases, prior catch was the most important variable; that is</w:t>
      </w:r>
      <w:r w:rsidR="00E7031F">
        <w:t>,</w:t>
      </w:r>
      <w:r w:rsidR="003A1781">
        <w:t xml:space="preserve"> </w:t>
      </w:r>
      <w:r w:rsidR="00F975C3">
        <w:t>the</w:t>
      </w:r>
      <w:r w:rsidR="003A1781">
        <w:t xml:space="preserve"> environmental covariates</w:t>
      </w:r>
      <w:r w:rsidR="00F975C3">
        <w:t xml:space="preserve"> were never more important than prior catch in terms of explaining variance.</w:t>
      </w:r>
    </w:p>
    <w:p w14:paraId="30F2EE3A" w14:textId="511187D8" w:rsidR="00A46D08" w:rsidRDefault="00D55620" w:rsidP="00BA076B">
      <w:pPr>
        <w:pStyle w:val="BodyText"/>
        <w:spacing w:before="0" w:after="0" w:line="480" w:lineRule="auto"/>
        <w:ind w:firstLine="720"/>
      </w:pPr>
      <w:r>
        <w:t xml:space="preserve">Research has suggested that nutrient input from river discharge </w:t>
      </w:r>
      <w:r w:rsidR="007F6C38">
        <w:t xml:space="preserve">is necessary in order for </w:t>
      </w:r>
      <w:r>
        <w:t xml:space="preserve">upwelling to </w:t>
      </w:r>
      <w:r w:rsidR="007F6C38">
        <w:t>fuel</w:t>
      </w:r>
      <w:r>
        <w:t xml:space="preserve"> high nearshore productivity (</w:t>
      </w:r>
      <w:proofErr w:type="spellStart"/>
      <w:r>
        <w:t>Shafeeque</w:t>
      </w:r>
      <w:proofErr w:type="spellEnd"/>
      <w:r>
        <w:t xml:space="preserve"> et al.</w:t>
      </w:r>
      <w:r w:rsidR="007F6C38">
        <w:t>,</w:t>
      </w:r>
      <w:r>
        <w:t xml:space="preserve"> 2019). </w:t>
      </w:r>
      <w:r w:rsidR="007F6C38">
        <w:t>To test this, m</w:t>
      </w:r>
      <w:r>
        <w:t xml:space="preserve">odels with a linear or non-linear upwelling-precipitation interaction were also tested: </w:t>
      </w:r>
      <m:oMath>
        <m:r>
          <w:rPr>
            <w:rFonts w:ascii="Cambria Math" w:hAnsi="Cambria Math"/>
          </w:rPr>
          <m:t>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i,t</m:t>
                </m:r>
              </m:sub>
            </m:sSub>
          </m:e>
        </m:d>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V</m:t>
            </m:r>
          </m:e>
          <m:sub>
            <m:r>
              <w:rPr>
                <w:rFonts w:ascii="Cambria Math" w:hAnsi="Cambria Math"/>
              </w:rPr>
              <m:t>1,t</m:t>
            </m:r>
          </m:sub>
        </m:sSub>
        <m:sSub>
          <m:sSubPr>
            <m:ctrlPr>
              <w:rPr>
                <w:rFonts w:ascii="Cambria Math" w:hAnsi="Cambria Math"/>
              </w:rPr>
            </m:ctrlPr>
          </m:sSubPr>
          <m:e>
            <m:r>
              <w:rPr>
                <w:rFonts w:ascii="Cambria Math" w:hAnsi="Cambria Math"/>
              </w:rPr>
              <m:t>V</m:t>
            </m:r>
          </m:e>
          <m:sub>
            <m:r>
              <w:rPr>
                <w:rFonts w:ascii="Cambria Math" w:hAnsi="Cambria Math"/>
              </w:rPr>
              <m:t>2,t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and </w:t>
      </w:r>
      <m:oMath>
        <m:r>
          <w:rPr>
            <w:rFonts w:ascii="Cambria Math" w:hAnsi="Cambria Math"/>
          </w:rPr>
          <m:t>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i,t</m:t>
                </m:r>
              </m:sub>
            </m:sSub>
          </m:e>
        </m:d>
        <m:r>
          <w:rPr>
            <w:rFonts w:ascii="Cambria Math" w:hAnsi="Cambria Math"/>
          </w:rPr>
          <m:t>=M+α+</m:t>
        </m:r>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1,t</m:t>
                </m:r>
              </m:sub>
            </m:sSub>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2,t</m:t>
                </m:r>
              </m:sub>
            </m:sSub>
          </m:e>
        </m:d>
        <m:r>
          <w:rPr>
            <w:rFonts w:ascii="Cambria Math" w:hAnsi="Cambria Math"/>
          </w:rPr>
          <m:t>+ti</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2,t</m:t>
                </m:r>
              </m:sub>
            </m:sSub>
          </m:e>
        </m:d>
        <m:sSub>
          <m:sSubPr>
            <m:ctrlPr>
              <w:rPr>
                <w:rFonts w:ascii="Cambria Math" w:hAnsi="Cambria Math"/>
              </w:rPr>
            </m:ctrlPr>
          </m:sSubPr>
          <m:e>
            <m:r>
              <w:rPr>
                <w:rFonts w:ascii="Cambria Math" w:hAnsi="Cambria Math"/>
              </w:rPr>
              <m:t xml:space="preserve"> + ϵ</m:t>
            </m:r>
          </m:e>
          <m:sub>
            <m:r>
              <w:rPr>
                <w:rFonts w:ascii="Cambria Math" w:hAnsi="Cambria Math"/>
              </w:rPr>
              <m:t>t</m:t>
            </m:r>
          </m:sub>
        </m:sSub>
        <m:r>
          <w:rPr>
            <w:rFonts w:ascii="Cambria Math" w:hAnsi="Cambria Math"/>
          </w:rPr>
          <m:t>,</m:t>
        </m:r>
      </m:oMath>
      <w:r w:rsidR="00DD1F90">
        <w:t xml:space="preserve"> where </w:t>
      </w:r>
      <w:proofErr w:type="spellStart"/>
      <w:r w:rsidR="00DD1F90" w:rsidRPr="007F48D7">
        <w:rPr>
          <w:i/>
          <w:iCs/>
        </w:rPr>
        <w:t>ti</w:t>
      </w:r>
      <w:proofErr w:type="spellEnd"/>
      <w:r w:rsidR="00DD1F90" w:rsidRPr="00AB6F0A">
        <w:t>(</w:t>
      </w:r>
      <w:r w:rsidR="007F48D7" w:rsidRPr="00AB6F0A">
        <w:t xml:space="preserve"> </w:t>
      </w:r>
      <w:r w:rsidR="00DD1F90" w:rsidRPr="00AB6F0A">
        <w:t>)</w:t>
      </w:r>
      <w:r w:rsidR="00DD1F90">
        <w:t xml:space="preserve"> is a tensor product interaction (non-linear interaction). </w:t>
      </w:r>
      <w:r w:rsidR="00D5574B">
        <w:t xml:space="preserve">Chlorophyll-a was not included in the main analyses since it is only available since September 1997. </w:t>
      </w:r>
      <w:r w:rsidR="00DD5689">
        <w:t>Instead,</w:t>
      </w:r>
      <w:r w:rsidR="00D5574B">
        <w:t xml:space="preserve"> a separate analys</w:t>
      </w:r>
      <w:r w:rsidR="007A3C46">
        <w:t>is</w:t>
      </w:r>
      <w:r w:rsidR="00D5574B">
        <w:t xml:space="preserve"> using 1997-2015 data was performed using chlorophyll-a alone as a covariate. </w:t>
      </w:r>
      <w:r w:rsidR="00A46D08">
        <w:t xml:space="preserve">Lastly a DLM covariate model was used to explore </w:t>
      </w:r>
      <w:r w:rsidR="007A3C46">
        <w:t>models with changing effects</w:t>
      </w:r>
      <w:r w:rsidR="00A46D08">
        <w:t xml:space="preserve"> of SS</w:t>
      </w:r>
      <w:r w:rsidR="007A3C46">
        <w:t xml:space="preserve">T, AMO and precipitation: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M+α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7A3C46">
        <w:rPr>
          <w:rFonts w:eastAsiaTheme="minorEastAsia"/>
        </w:rPr>
        <w:t>.</w:t>
      </w:r>
    </w:p>
    <w:p w14:paraId="0823C6C8" w14:textId="45703C33" w:rsidR="00F3211D" w:rsidRPr="003E2A48" w:rsidRDefault="00DD1F90" w:rsidP="00BA076B">
      <w:pPr>
        <w:pStyle w:val="BodyText"/>
        <w:spacing w:before="0" w:after="0" w:line="480" w:lineRule="auto"/>
        <w:ind w:firstLine="720"/>
      </w:pPr>
      <w:r>
        <w:t>All s</w:t>
      </w:r>
      <w:r w:rsidR="00F3211D">
        <w:t xml:space="preserve">tatistical analysis was completed in the </w:t>
      </w:r>
      <w:r w:rsidR="00F3211D" w:rsidRPr="00F3211D">
        <w:t>R programming language (R Development Core Team, 2019)</w:t>
      </w:r>
      <w:r>
        <w:t xml:space="preserve"> using the </w:t>
      </w:r>
      <w:proofErr w:type="spellStart"/>
      <w:r>
        <w:t>mcgv</w:t>
      </w:r>
      <w:proofErr w:type="spellEnd"/>
      <w:r>
        <w:t xml:space="preserve"> </w:t>
      </w:r>
      <w:r w:rsidR="006F2A66">
        <w:t>(Wood, 2011</w:t>
      </w:r>
      <w:r w:rsidR="006F2A66" w:rsidRPr="003E2A48">
        <w:t>)</w:t>
      </w:r>
      <w:r w:rsidR="006F2A66">
        <w:t xml:space="preserve"> </w:t>
      </w:r>
      <w:r>
        <w:t xml:space="preserve">and MARSS </w:t>
      </w:r>
      <w:r w:rsidR="006F2A66">
        <w:t>(</w:t>
      </w:r>
      <w:r w:rsidR="006F2A66" w:rsidRPr="003E2A48">
        <w:t>Holmes</w:t>
      </w:r>
      <w:r w:rsidR="006F2A66">
        <w:t>,</w:t>
      </w:r>
      <w:r w:rsidR="006F2A66" w:rsidRPr="0065024E">
        <w:t xml:space="preserve"> </w:t>
      </w:r>
      <w:r w:rsidR="006F2A66" w:rsidRPr="003E2A48">
        <w:t>Ward, &amp; Wills, 2012)</w:t>
      </w:r>
      <w:r w:rsidR="006F2A66">
        <w:t xml:space="preserve"> </w:t>
      </w:r>
      <w:r>
        <w:t>R packages</w:t>
      </w:r>
      <w:r w:rsidR="00F3211D">
        <w:t xml:space="preserve">. </w:t>
      </w:r>
    </w:p>
    <w:p w14:paraId="00C18062" w14:textId="77777777" w:rsidR="00185159" w:rsidRDefault="00185159" w:rsidP="00354701">
      <w:pPr>
        <w:pStyle w:val="Heading1"/>
        <w:spacing w:before="0" w:line="480" w:lineRule="auto"/>
        <w:rPr>
          <w:rFonts w:asciiTheme="minorHAnsi" w:hAnsiTheme="minorHAnsi"/>
          <w:color w:val="auto"/>
          <w:sz w:val="24"/>
          <w:szCs w:val="24"/>
        </w:rPr>
      </w:pPr>
      <w:bookmarkStart w:id="11" w:name="results"/>
    </w:p>
    <w:p w14:paraId="5DA229C9" w14:textId="684FE303"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3 </w:t>
      </w:r>
      <w:r w:rsidRPr="003E2A48">
        <w:rPr>
          <w:rFonts w:asciiTheme="minorHAnsi" w:hAnsiTheme="minorHAnsi"/>
          <w:color w:val="auto"/>
          <w:sz w:val="24"/>
          <w:szCs w:val="24"/>
        </w:rPr>
        <w:t>RESULTS</w:t>
      </w:r>
      <w:bookmarkEnd w:id="11"/>
    </w:p>
    <w:p w14:paraId="3129FE4E" w14:textId="215753CC" w:rsidR="008062F9" w:rsidRPr="00AB4E5A" w:rsidRDefault="00185159" w:rsidP="00354701">
      <w:pPr>
        <w:pStyle w:val="Heading2"/>
        <w:spacing w:before="0" w:line="480" w:lineRule="auto"/>
        <w:rPr>
          <w:rFonts w:asciiTheme="minorHAnsi" w:hAnsiTheme="minorHAnsi"/>
          <w:iCs/>
          <w:color w:val="auto"/>
          <w:sz w:val="24"/>
          <w:szCs w:val="24"/>
        </w:rPr>
      </w:pPr>
      <w:bookmarkStart w:id="12" w:name="X8a9198c1282e11b01e1bae7c9bc843c87468f37"/>
      <w:r w:rsidRPr="00AB4E5A">
        <w:rPr>
          <w:rFonts w:asciiTheme="minorHAnsi" w:hAnsiTheme="minorHAnsi"/>
          <w:iCs/>
          <w:color w:val="auto"/>
          <w:sz w:val="24"/>
          <w:szCs w:val="24"/>
        </w:rPr>
        <w:t>3.1</w:t>
      </w:r>
      <w:r w:rsidR="00952A52">
        <w:rPr>
          <w:rFonts w:asciiTheme="minorHAnsi" w:hAnsiTheme="minorHAnsi"/>
          <w:iCs/>
          <w:color w:val="auto"/>
          <w:sz w:val="24"/>
          <w:szCs w:val="24"/>
        </w:rPr>
        <w:t xml:space="preserve"> </w:t>
      </w:r>
      <w:r w:rsidR="00DF5562">
        <w:rPr>
          <w:rFonts w:asciiTheme="minorHAnsi" w:hAnsiTheme="minorHAnsi"/>
          <w:iCs/>
          <w:color w:val="auto"/>
          <w:sz w:val="24"/>
          <w:szCs w:val="24"/>
        </w:rPr>
        <w:t>Base c</w:t>
      </w:r>
      <w:r w:rsidR="002E1BBA">
        <w:rPr>
          <w:rFonts w:asciiTheme="minorHAnsi" w:hAnsiTheme="minorHAnsi"/>
          <w:iCs/>
          <w:color w:val="auto"/>
          <w:sz w:val="24"/>
          <w:szCs w:val="24"/>
        </w:rPr>
        <w:t>atch</w:t>
      </w:r>
      <w:r w:rsidR="00952A52">
        <w:rPr>
          <w:rFonts w:asciiTheme="minorHAnsi" w:hAnsiTheme="minorHAnsi"/>
          <w:iCs/>
          <w:color w:val="auto"/>
          <w:sz w:val="24"/>
          <w:szCs w:val="24"/>
        </w:rPr>
        <w:t xml:space="preserve"> model selection</w:t>
      </w:r>
      <w:bookmarkEnd w:id="12"/>
    </w:p>
    <w:p w14:paraId="30BC4544" w14:textId="1879D85B" w:rsidR="008062F9" w:rsidRPr="003E2A48" w:rsidRDefault="002E1BBA" w:rsidP="00CA5105">
      <w:pPr>
        <w:pStyle w:val="FirstParagraph"/>
        <w:spacing w:before="0" w:after="0" w:line="480" w:lineRule="auto"/>
      </w:pPr>
      <w:r>
        <w:t>For</w:t>
      </w:r>
      <w:r w:rsidRPr="003E2A48">
        <w:t xml:space="preserve"> </w:t>
      </w:r>
      <w:r w:rsidR="00976E52" w:rsidRPr="003E2A48">
        <w:t>198</w:t>
      </w:r>
      <w:r w:rsidR="00976E52">
        <w:t>3</w:t>
      </w:r>
      <w:r>
        <w:t>–</w:t>
      </w:r>
      <w:r w:rsidR="00806920" w:rsidRPr="003E2A48">
        <w:t xml:space="preserve">2015 </w:t>
      </w:r>
      <w:r>
        <w:t xml:space="preserve">July–September </w:t>
      </w:r>
      <w:r w:rsidR="00806920" w:rsidRPr="003E2A48">
        <w:t>catch</w:t>
      </w:r>
      <w:r>
        <w:t>es</w:t>
      </w:r>
      <w:r w:rsidR="00806920" w:rsidRPr="003E2A48">
        <w:t xml:space="preserve">, </w:t>
      </w:r>
      <w:r w:rsidR="00073272">
        <w:t>m</w:t>
      </w:r>
      <w:r w:rsidR="00806920" w:rsidRPr="003E2A48">
        <w:t>odels with</w:t>
      </w:r>
      <w:r w:rsidR="00073272">
        <w:t xml:space="preserve"> the October–March catch in the prior year</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oMath>
      <w:r w:rsidR="00073272">
        <w:t xml:space="preserve">] </w:t>
      </w:r>
      <w:r w:rsidR="00806920" w:rsidRPr="003E2A48">
        <w:t xml:space="preserve">were strongly supported over the </w:t>
      </w:r>
      <w:r w:rsidR="00E82C69">
        <w:t>naïve</w:t>
      </w:r>
      <w:r w:rsidR="004C4001" w:rsidRPr="003E2A48">
        <w:t xml:space="preserve"> </w:t>
      </w:r>
      <w:r w:rsidR="00806920" w:rsidRPr="003E2A48">
        <w:t>model and over models with</w:t>
      </w:r>
      <w:r w:rsidR="00073272">
        <w:t xml:space="preserve"> the prior-</w:t>
      </w:r>
      <w:r w:rsidR="0087241A">
        <w:t>year</w:t>
      </w:r>
      <w:r w:rsidR="00976E52">
        <w:t xml:space="preserve"> </w:t>
      </w:r>
      <w:r w:rsidR="00073272">
        <w:t>July–September catch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DE73D2">
        <w:t xml:space="preserve">, and models with catch two-years prior </w:t>
      </w:r>
      <w:r w:rsidR="00806920" w:rsidRPr="003E2A48">
        <w:t xml:space="preserve">(Tables </w:t>
      </w:r>
      <w:r w:rsidR="0016789A">
        <w:t>S</w:t>
      </w:r>
      <w:r w:rsidR="0016789A" w:rsidRPr="003E2A48">
        <w:t xml:space="preserve">1 </w:t>
      </w:r>
      <w:r w:rsidR="00806920" w:rsidRPr="003E2A48">
        <w:t xml:space="preserve">and </w:t>
      </w:r>
      <w:r w:rsidR="0016789A">
        <w:t>S</w:t>
      </w:r>
      <w:r w:rsidR="0016789A" w:rsidRPr="003E2A48">
        <w:t>2</w:t>
      </w:r>
      <w:r w:rsidR="00806920" w:rsidRPr="003E2A48">
        <w:t xml:space="preserve">). </w:t>
      </w:r>
      <w:r w:rsidR="00DE73D2">
        <w:t>Including prior catch</w:t>
      </w:r>
      <w:r w:rsidR="00A63A39">
        <w:t xml:space="preserve"> </w:t>
      </w:r>
      <w:r w:rsidR="00DE73D2">
        <w:t xml:space="preserve">with a </w:t>
      </w:r>
      <w:r w:rsidR="006D14EA">
        <w:t xml:space="preserve">non-linear response </w:t>
      </w:r>
      <w:r w:rsidR="0087241A">
        <w:t>improved model fit</w:t>
      </w:r>
      <w:r w:rsidR="00806920" w:rsidRPr="003E2A48">
        <w:t xml:space="preserve"> and</w:t>
      </w:r>
      <w:r w:rsidR="0087241A">
        <w:t xml:space="preserve"> reduced</w:t>
      </w:r>
      <w:r w:rsidR="00806920" w:rsidRPr="003E2A48">
        <w:t xml:space="preserve"> LOOCV</w:t>
      </w:r>
      <w:r w:rsidR="003A6D12">
        <w:t xml:space="preserve"> RMSE</w:t>
      </w:r>
      <w:r w:rsidR="006D14EA" w:rsidRPr="003E2A48">
        <w:t xml:space="preserve"> (Table </w:t>
      </w:r>
      <w:r w:rsidR="0016789A">
        <w:t>S</w:t>
      </w:r>
      <w:r w:rsidR="0016789A" w:rsidRPr="003E2A48">
        <w:t>2</w:t>
      </w:r>
      <w:r w:rsidR="006D14EA" w:rsidRPr="003E2A48">
        <w:t>)</w:t>
      </w:r>
      <w:r w:rsidR="00806920" w:rsidRPr="003E2A48">
        <w:t xml:space="preserve">. </w:t>
      </w:r>
      <w:r w:rsidR="006D14EA">
        <w:t>T</w:t>
      </w:r>
      <w:r w:rsidR="00806920" w:rsidRPr="003E2A48">
        <w:t xml:space="preserve">hree models </w:t>
      </w:r>
      <w:r w:rsidR="006D14EA">
        <w:t>had</w:t>
      </w:r>
      <w:r w:rsidR="006D14EA" w:rsidRPr="003E2A48">
        <w:t xml:space="preserve"> </w:t>
      </w:r>
      <w:r w:rsidR="00806920" w:rsidRPr="003E2A48">
        <w:t>almost identi</w:t>
      </w:r>
      <w:r w:rsidR="006D14EA">
        <w:t>c</w:t>
      </w:r>
      <w:r w:rsidR="00806920" w:rsidRPr="003E2A48">
        <w:t xml:space="preserve">al </w:t>
      </w:r>
      <w:proofErr w:type="spellStart"/>
      <w:r w:rsidR="003A6D12" w:rsidRPr="003E2A48">
        <w:t>AIC</w:t>
      </w:r>
      <w:r w:rsidR="003A6D12">
        <w:t>c</w:t>
      </w:r>
      <w:proofErr w:type="spellEnd"/>
      <w:r w:rsidR="003A6D12" w:rsidRPr="003E2A48">
        <w:t xml:space="preserve"> </w:t>
      </w:r>
      <w:r w:rsidR="00806920" w:rsidRPr="003E2A48">
        <w:t>and LOOCV</w:t>
      </w:r>
      <w:r w:rsidR="003A6D12">
        <w:t xml:space="preserve"> RMSE</w:t>
      </w:r>
      <w:r w:rsidR="0076025F">
        <w:t xml:space="preserve"> </w:t>
      </w:r>
      <w:r w:rsidR="0076025F" w:rsidRPr="003E2A48">
        <w:t xml:space="preserve">(maximum adjusted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=21.7</m:t>
        </m:r>
      </m:oMath>
      <w:r w:rsidR="0076025F" w:rsidRPr="003E2A48">
        <w:t>)</w:t>
      </w:r>
      <w:r w:rsidR="00806920" w:rsidRPr="003E2A48">
        <w:t>: linear and non-linear</w:t>
      </w:r>
      <w:r w:rsidR="006D14EA">
        <w:t xml:space="preserve"> models</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oMath>
      <w:r w:rsidR="00806920" w:rsidRPr="003E2A48">
        <w:t xml:space="preserve">, and </w:t>
      </w:r>
      <w:r w:rsidR="006D14EA">
        <w:t xml:space="preserve">a </w:t>
      </w:r>
      <w:r w:rsidR="00806920" w:rsidRPr="003E2A48">
        <w:t xml:space="preserve">non-linear </w:t>
      </w:r>
      <w:r w:rsidR="006D14EA">
        <w:t xml:space="preserve">model </w:t>
      </w:r>
      <w:r w:rsidR="00806920" w:rsidRPr="003E2A48">
        <w:t xml:space="preserve">with </w:t>
      </w:r>
      <m:oMath>
        <m:r>
          <w:rPr>
            <w:rFonts w:ascii="Cambria Math" w:hAnsi="Cambria Math"/>
          </w:rPr>
          <m:t>ln(</m:t>
        </m:r>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W</m:t>
            </m:r>
          </m:e>
          <m:sub>
            <m:r>
              <w:rPr>
                <w:rFonts w:ascii="Cambria Math" w:hAnsi="Cambria Math"/>
              </w:rPr>
              <m:t>t-2</m:t>
            </m:r>
          </m:sub>
        </m:sSub>
        <m:r>
          <w:rPr>
            <w:rFonts w:ascii="Cambria Math" w:hAnsi="Cambria Math"/>
          </w:rPr>
          <m:t>)</m:t>
        </m:r>
      </m:oMath>
      <w:r w:rsidR="00806920" w:rsidRPr="003E2A48">
        <w:t xml:space="preserve">. </w:t>
      </w:r>
      <w:r w:rsidR="00AB7D1B">
        <w:t xml:space="preserve">Similar </w:t>
      </w:r>
      <w:r w:rsidR="00806920" w:rsidRPr="003E2A48">
        <w:t xml:space="preserve">model selection results were </w:t>
      </w:r>
      <w:r w:rsidR="00AB7D1B">
        <w:t>obtained</w:t>
      </w:r>
      <w:r w:rsidR="00AB7D1B" w:rsidRPr="003E2A48">
        <w:t xml:space="preserve"> </w:t>
      </w:r>
      <w:r w:rsidR="00806920" w:rsidRPr="003E2A48">
        <w:t>for the Oct</w:t>
      </w:r>
      <w:r w:rsidR="00AB7D1B">
        <w:t>ober–</w:t>
      </w:r>
      <w:r w:rsidR="00806920" w:rsidRPr="003E2A48">
        <w:t>Mar</w:t>
      </w:r>
      <w:r w:rsidR="00AB7D1B">
        <w:t>ch</w:t>
      </w:r>
      <w:r w:rsidR="00806920" w:rsidRPr="003E2A48">
        <w:t xml:space="preserve"> landings</w:t>
      </w:r>
      <w:r w:rsidR="003A6D12">
        <w:t xml:space="preserve"> (Tables S4 and S5)</w:t>
      </w:r>
      <w:r w:rsidR="00806920" w:rsidRPr="003E2A48">
        <w:t>, but the</w:t>
      </w:r>
      <w:r w:rsidR="00AB7D1B">
        <w:t>se</w:t>
      </w:r>
      <w:r w:rsidR="00806920" w:rsidRPr="003E2A48">
        <w:t xml:space="preserve"> models explained much more variance (maximum adjusted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=57.3</m:t>
        </m:r>
      </m:oMath>
      <w:r w:rsidR="00806920" w:rsidRPr="003E2A48">
        <w:t xml:space="preserve">). The </w:t>
      </w:r>
      <w:r w:rsidR="00EE5A26">
        <w:t>be</w:t>
      </w:r>
      <w:r w:rsidR="00EE5A26" w:rsidRPr="003E2A48">
        <w:t>st</w:t>
      </w:r>
      <w:r w:rsidR="00EE5A26">
        <w:t>-</w:t>
      </w:r>
      <w:r w:rsidR="00806920" w:rsidRPr="003E2A48">
        <w:t>supported model</w:t>
      </w:r>
      <m:oMath>
        <m:r>
          <m:rPr>
            <m:sty m:val="p"/>
          </m:rPr>
          <w:rPr>
            <w:rFonts w:ascii="Cambria Math" w:hAnsi="Cambria Math"/>
          </w:rPr>
          <m:t>,</m:t>
        </m:r>
      </m:oMath>
      <w:r w:rsidR="00806920" w:rsidRPr="003E2A48">
        <w:t xml:space="preserve"> based on AIC</w:t>
      </w:r>
      <w:r w:rsidR="0016789A">
        <w:t>c</w:t>
      </w:r>
      <w:r w:rsidR="00806920" w:rsidRPr="003E2A48">
        <w:t xml:space="preserve"> and </w:t>
      </w:r>
      <w:r w:rsidR="00806920" w:rsidRPr="00761F04">
        <w:rPr>
          <w:i/>
          <w:iCs/>
        </w:rPr>
        <w:t>F</w:t>
      </w:r>
      <w:r w:rsidR="00EE5A26">
        <w:t xml:space="preserve"> values,</w:t>
      </w:r>
      <w:r w:rsidR="00EE5A26" w:rsidRPr="003E2A48">
        <w:t xml:space="preserve"> </w:t>
      </w:r>
      <w:r w:rsidR="00EE5A26">
        <w:t>was</w:t>
      </w:r>
      <w:r w:rsidR="00EE5A26" w:rsidRPr="003E2A48">
        <w:t xml:space="preserve"> </w:t>
      </w:r>
      <w:r w:rsidR="00EE5A26">
        <w:t>the</w:t>
      </w:r>
      <w:r w:rsidR="00EE5A26" w:rsidRPr="003E2A48">
        <w:t xml:space="preserve"> </w:t>
      </w:r>
      <w:r w:rsidR="00806920" w:rsidRPr="003E2A48">
        <w:t xml:space="preserve">non-linear </w:t>
      </w:r>
      <w:r w:rsidR="00EE5A26">
        <w:t>model with</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oMath>
      <w:r w:rsidR="00806920" w:rsidRPr="003E2A48">
        <w:t xml:space="preserve"> </w:t>
      </w:r>
      <w:r w:rsidR="00EE5A26">
        <w:t>and</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362866">
        <w:t xml:space="preserve"> </w:t>
      </w:r>
      <w:r w:rsidR="00EE5A26" w:rsidRPr="003E2A48">
        <w:t xml:space="preserve">(Tables </w:t>
      </w:r>
      <w:r w:rsidR="003A6D12">
        <w:t>2</w:t>
      </w:r>
      <w:r w:rsidR="0016789A">
        <w:t>, S</w:t>
      </w:r>
      <w:r w:rsidR="00E87F94">
        <w:t>4</w:t>
      </w:r>
      <w:r w:rsidR="0016789A" w:rsidRPr="003E2A48">
        <w:t xml:space="preserve"> </w:t>
      </w:r>
      <w:r w:rsidR="00EE5A26" w:rsidRPr="003E2A48">
        <w:t xml:space="preserve">and </w:t>
      </w:r>
      <w:r w:rsidR="0016789A">
        <w:t>S</w:t>
      </w:r>
      <w:r w:rsidR="00E87F94">
        <w:t>5</w:t>
      </w:r>
      <w:r w:rsidR="00EE5A26" w:rsidRPr="003E2A48">
        <w:t>)</w:t>
      </w:r>
      <w:r w:rsidR="00806920" w:rsidRPr="003E2A48">
        <w:t xml:space="preserve">. The simpler model with only </w:t>
      </w:r>
      <m:oMath>
        <m:r>
          <w:rPr>
            <w:rFonts w:ascii="Cambria Math" w:hAnsi="Cambria Math"/>
          </w:rPr>
          <m:t>ln(</m:t>
        </m:r>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oMath>
      <w:r w:rsidR="00806920" w:rsidRPr="003E2A48">
        <w:t xml:space="preserve"> had the second lowest AIC</w:t>
      </w:r>
      <w:r w:rsidR="00103242">
        <w:t>c</w:t>
      </w:r>
      <w:r w:rsidR="00362866">
        <w:t xml:space="preserve"> but</w:t>
      </w:r>
      <w:r w:rsidR="00806920" w:rsidRPr="003E2A48">
        <w:t xml:space="preserve"> lowes</w:t>
      </w:r>
      <w:r w:rsidR="00761F04">
        <w:t>t</w:t>
      </w:r>
      <w:r w:rsidR="00806920" w:rsidRPr="003E2A48">
        <w:t xml:space="preserve"> LOOCV </w:t>
      </w:r>
      <w:r w:rsidR="00E87F94">
        <w:t xml:space="preserve">RMSE </w:t>
      </w:r>
      <w:r w:rsidR="003C0052">
        <w:t>values</w:t>
      </w:r>
      <w:r w:rsidR="00806920" w:rsidRPr="003E2A48">
        <w:t xml:space="preserve">. </w:t>
      </w:r>
    </w:p>
    <w:p w14:paraId="41BA18B2" w14:textId="41E8A356" w:rsidR="008062F9" w:rsidRPr="003E2A48" w:rsidRDefault="00952A52" w:rsidP="00761F04">
      <w:pPr>
        <w:pStyle w:val="BodyText"/>
        <w:spacing w:before="0" w:after="0" w:line="480" w:lineRule="auto"/>
        <w:ind w:firstLine="360"/>
      </w:pPr>
      <w:r>
        <w:t>R</w:t>
      </w:r>
      <w:r w:rsidR="00806920" w:rsidRPr="003E2A48">
        <w:t>epeat</w:t>
      </w:r>
      <w:r w:rsidR="00E87F94">
        <w:t>ing the</w:t>
      </w:r>
      <w:r w:rsidR="00806920" w:rsidRPr="003E2A48">
        <w:t xml:space="preserve"> model </w:t>
      </w:r>
      <w:r w:rsidR="00E87F94">
        <w:t>selection</w:t>
      </w:r>
      <w:r w:rsidR="00E87F94" w:rsidRPr="003E2A48">
        <w:t xml:space="preserve"> </w:t>
      </w:r>
      <w:r>
        <w:t>using</w:t>
      </w:r>
      <w:r w:rsidR="00806920" w:rsidRPr="003E2A48">
        <w:t xml:space="preserve"> 1956</w:t>
      </w:r>
      <w:r>
        <w:t>–</w:t>
      </w:r>
      <w:r w:rsidR="0087241A" w:rsidRPr="003E2A48">
        <w:t>198</w:t>
      </w:r>
      <w:r w:rsidR="0087241A">
        <w:t xml:space="preserve">2 </w:t>
      </w:r>
      <w:r>
        <w:t>data yielded</w:t>
      </w:r>
      <w:r w:rsidR="00806920" w:rsidRPr="003E2A48">
        <w:t xml:space="preserve"> </w:t>
      </w:r>
      <w:r>
        <w:t>t</w:t>
      </w:r>
      <w:r w:rsidRPr="003E2A48">
        <w:t xml:space="preserve">he </w:t>
      </w:r>
      <w:r>
        <w:t xml:space="preserve">same </w:t>
      </w:r>
      <w:r w:rsidR="00806920" w:rsidRPr="003E2A48">
        <w:t>results for the Jul</w:t>
      </w:r>
      <w:r>
        <w:t>y–</w:t>
      </w:r>
      <w:r w:rsidR="00806920" w:rsidRPr="003E2A48">
        <w:t>Sep</w:t>
      </w:r>
      <w:r>
        <w:t>tember</w:t>
      </w:r>
      <w:r w:rsidR="00806920" w:rsidRPr="003E2A48">
        <w:t xml:space="preserve"> catch</w:t>
      </w:r>
      <w:r>
        <w:t>,</w:t>
      </w:r>
      <w:r w:rsidR="00806920" w:rsidRPr="003E2A48">
        <w:t xml:space="preserve"> with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oMath>
      <w:r w:rsidR="00806920" w:rsidRPr="003E2A48">
        <w:t xml:space="preserve"> </w:t>
      </w:r>
      <w:r>
        <w:t>hav</w:t>
      </w:r>
      <w:r w:rsidR="00806920" w:rsidRPr="003E2A48">
        <w:t xml:space="preserve">ing the lowest </w:t>
      </w:r>
      <w:proofErr w:type="spellStart"/>
      <w:r w:rsidR="00806920" w:rsidRPr="003E2A48">
        <w:t>AIC</w:t>
      </w:r>
      <w:r w:rsidR="00103242">
        <w:t>c</w:t>
      </w:r>
      <w:proofErr w:type="spellEnd"/>
      <w:r w:rsidR="00806920" w:rsidRPr="003E2A48">
        <w:t xml:space="preserve"> and LOOCV</w:t>
      </w:r>
      <w:r>
        <w:t xml:space="preserve"> </w:t>
      </w:r>
      <w:r w:rsidR="00E87F94">
        <w:t xml:space="preserve">RMSE </w:t>
      </w:r>
      <w:r>
        <w:t xml:space="preserve">values </w:t>
      </w:r>
      <w:r w:rsidRPr="003E2A48">
        <w:t xml:space="preserve">(Table </w:t>
      </w:r>
      <w:r w:rsidR="00E87F94">
        <w:t>S3</w:t>
      </w:r>
      <w:r w:rsidRPr="003E2A48">
        <w:t>)</w:t>
      </w:r>
      <w:r w:rsidR="00806920" w:rsidRPr="003E2A48">
        <w:t>. For the Oct</w:t>
      </w:r>
      <w:r>
        <w:t>ober–</w:t>
      </w:r>
      <w:r w:rsidR="00806920" w:rsidRPr="003E2A48">
        <w:t>Mar</w:t>
      </w:r>
      <w:r>
        <w:t>ch</w:t>
      </w:r>
      <w:r w:rsidR="00806920" w:rsidRPr="003E2A48">
        <w:t xml:space="preserve"> catch, the results were very similar</w:t>
      </w:r>
      <w:r>
        <w:t>,</w:t>
      </w:r>
      <w:r w:rsidR="00806920" w:rsidRPr="003E2A48">
        <w:t xml:space="preserve"> but not identical.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oMath>
      <w:r w:rsidR="00806920" w:rsidRPr="003E2A48">
        <w:t xml:space="preserve"> had the lowest LOOCV </w:t>
      </w:r>
      <w:r w:rsidR="00E87F94">
        <w:t xml:space="preserve">RMSE </w:t>
      </w:r>
      <w:r>
        <w:t>value, and</w:t>
      </w:r>
      <w:r w:rsidR="00806920" w:rsidRPr="003E2A48">
        <w:t xml:space="preserve"> the models with </w:t>
      </w:r>
      <m:oMath>
        <m:r>
          <w:rPr>
            <w:rFonts w:ascii="Cambria Math" w:hAnsi="Cambria Math"/>
          </w:rPr>
          <m:t>ln(</m:t>
        </m:r>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had the lowest AIC</w:t>
      </w:r>
      <w:r>
        <w:t>s</w:t>
      </w:r>
      <w:r w:rsidR="005077CE">
        <w:t xml:space="preserve">, </w:t>
      </w:r>
      <w:r>
        <w:t>al</w:t>
      </w:r>
      <w:r w:rsidR="00806920" w:rsidRPr="003E2A48">
        <w:t>though</w:t>
      </w:r>
      <w:r>
        <w:t xml:space="preserve"> the difference</w:t>
      </w:r>
      <w:r w:rsidR="00806920" w:rsidRPr="003E2A48">
        <w:t xml:space="preserve"> from the </w:t>
      </w:r>
      <w:proofErr w:type="spellStart"/>
      <w:r w:rsidR="00806920" w:rsidRPr="003E2A48">
        <w:t>AIC</w:t>
      </w:r>
      <w:r w:rsidR="00103242">
        <w:t>c</w:t>
      </w:r>
      <w:proofErr w:type="spellEnd"/>
      <w:r w:rsidR="00806920" w:rsidRPr="003E2A48">
        <w:t xml:space="preserve"> </w:t>
      </w:r>
      <w:r>
        <w:t>for</w:t>
      </w:r>
      <w:r w:rsidR="00806920" w:rsidRPr="003E2A48">
        <w:t xml:space="preserve"> the </w:t>
      </w:r>
      <m:oMath>
        <m:r>
          <w:rPr>
            <w:rFonts w:ascii="Cambria Math" w:hAnsi="Cambria Math"/>
          </w:rPr>
          <m:t>ln(</m:t>
        </m:r>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oMath>
      <w:r w:rsidR="00806920" w:rsidRPr="003E2A48">
        <w:t xml:space="preserve"> model</w:t>
      </w:r>
      <w:r>
        <w:t xml:space="preserve"> was &lt;1</w:t>
      </w:r>
      <w:r w:rsidR="00DE73D2">
        <w:t xml:space="preserve"> </w:t>
      </w:r>
      <w:r w:rsidR="005077CE">
        <w:t>(</w:t>
      </w:r>
      <w:r w:rsidRPr="003E2A48">
        <w:t xml:space="preserve">Table </w:t>
      </w:r>
      <w:r w:rsidR="00E87F94">
        <w:t>S</w:t>
      </w:r>
      <w:r w:rsidR="00E87F94" w:rsidRPr="003E2A48">
        <w:t>6</w:t>
      </w:r>
      <w:r w:rsidR="005077CE">
        <w:t>)</w:t>
      </w:r>
      <w:r w:rsidR="00806920" w:rsidRPr="003E2A48">
        <w:t xml:space="preserve">. The </w:t>
      </w:r>
      <w:r>
        <w:t>DLM</w:t>
      </w:r>
      <w:r w:rsidR="00806920" w:rsidRPr="003E2A48">
        <w:t xml:space="preserve">s </w:t>
      </w:r>
      <w:r w:rsidR="00362866">
        <w:t xml:space="preserve">(time-varying effects) </w:t>
      </w:r>
      <w:r w:rsidR="00806920" w:rsidRPr="003E2A48">
        <w:t>performed poorly for the Jul</w:t>
      </w:r>
      <w:r>
        <w:t>y–</w:t>
      </w:r>
      <w:r w:rsidR="00806920" w:rsidRPr="003E2A48">
        <w:t>Se</w:t>
      </w:r>
      <w:r>
        <w:t>ptember</w:t>
      </w:r>
      <w:r w:rsidR="00806920" w:rsidRPr="003E2A48">
        <w:t xml:space="preserve"> catch</w:t>
      </w:r>
      <w:r>
        <w:t>,</w:t>
      </w:r>
      <w:r w:rsidR="00806920" w:rsidRPr="003E2A48">
        <w:t xml:space="preserve"> with high </w:t>
      </w:r>
      <w:proofErr w:type="spellStart"/>
      <w:r w:rsidR="00806920" w:rsidRPr="003E2A48">
        <w:t>AIC</w:t>
      </w:r>
      <w:r w:rsidR="00103242">
        <w:t>c</w:t>
      </w:r>
      <w:proofErr w:type="spellEnd"/>
      <w:r w:rsidR="00806920" w:rsidRPr="003E2A48">
        <w:t xml:space="preserve"> and LOOCV</w:t>
      </w:r>
      <w:r>
        <w:t xml:space="preserve"> </w:t>
      </w:r>
      <w:r w:rsidR="00E87F94">
        <w:t xml:space="preserve">RMSE </w:t>
      </w:r>
      <w:r>
        <w:t>values. One DLM f</w:t>
      </w:r>
      <w:r w:rsidR="00806920" w:rsidRPr="003E2A48">
        <w:t>or the Oct</w:t>
      </w:r>
      <w:r>
        <w:t>ober–</w:t>
      </w:r>
      <w:r w:rsidR="00806920" w:rsidRPr="003E2A48">
        <w:t>Mar</w:t>
      </w:r>
      <w:r>
        <w:t>ch</w:t>
      </w:r>
      <w:r w:rsidR="00806920" w:rsidRPr="003E2A48">
        <w:t xml:space="preserve"> catch</w:t>
      </w:r>
      <w:r>
        <w:t xml:space="preserve"> showed mixed</w:t>
      </w:r>
      <w:r w:rsidR="00806920" w:rsidRPr="003E2A48">
        <w:t xml:space="preserve"> performance</w:t>
      </w:r>
      <w:r>
        <w:t>,</w:t>
      </w:r>
      <w:r w:rsidR="00806920" w:rsidRPr="003E2A48">
        <w:t xml:space="preserve"> with </w:t>
      </w:r>
      <w:r>
        <w:t xml:space="preserve">a </w:t>
      </w:r>
      <w:r w:rsidR="00806920" w:rsidRPr="003E2A48">
        <w:lastRenderedPageBreak/>
        <w:t xml:space="preserve">higher </w:t>
      </w:r>
      <w:proofErr w:type="spellStart"/>
      <w:r w:rsidR="00806920" w:rsidRPr="003E2A48">
        <w:t>AIC</w:t>
      </w:r>
      <w:r w:rsidR="00103242">
        <w:t>c</w:t>
      </w:r>
      <w:proofErr w:type="spellEnd"/>
      <w:r w:rsidR="00806920" w:rsidRPr="003E2A48">
        <w:t xml:space="preserve"> </w:t>
      </w:r>
      <w:r w:rsidR="0087241A">
        <w:t>but</w:t>
      </w:r>
      <w:r w:rsidR="0087241A" w:rsidRPr="003E2A48">
        <w:t xml:space="preserve"> </w:t>
      </w:r>
      <w:r w:rsidR="00806920" w:rsidRPr="003E2A48">
        <w:t xml:space="preserve">lower LOOCV </w:t>
      </w:r>
      <w:r w:rsidR="00E87F94">
        <w:t xml:space="preserve">RMSE </w:t>
      </w:r>
      <w:r>
        <w:t>value</w:t>
      </w:r>
      <w:r w:rsidR="00806920" w:rsidRPr="003E2A48">
        <w:t>.</w:t>
      </w:r>
      <w:r w:rsidR="00761F04">
        <w:t xml:space="preserve"> </w:t>
      </w:r>
      <w:r w:rsidR="00DD5689">
        <w:t>Overall,</w:t>
      </w:r>
      <w:r w:rsidR="00761F04">
        <w:t xml:space="preserve"> </w:t>
      </w:r>
      <w:r w:rsidR="00E87F94">
        <w:t xml:space="preserve">the model selection </w:t>
      </w:r>
      <w:r w:rsidR="00761F04">
        <w:t>indicated that a catch model with a time-varying effect of prior catch did not improve either model fit or out</w:t>
      </w:r>
      <w:r w:rsidR="00CD66B4">
        <w:t>-</w:t>
      </w:r>
      <w:r w:rsidR="00761F04">
        <w:t>of</w:t>
      </w:r>
      <w:r w:rsidR="00CD66B4">
        <w:t>-</w:t>
      </w:r>
      <w:r w:rsidR="00761F04">
        <w:t xml:space="preserve">sample </w:t>
      </w:r>
      <w:r w:rsidR="00BB7FA0">
        <w:t>prediction,</w:t>
      </w:r>
      <w:r w:rsidR="00761F04">
        <w:t xml:space="preserve"> but inclusion of a non-linear effect was important.</w:t>
      </w:r>
    </w:p>
    <w:p w14:paraId="1B523A16" w14:textId="08FD633E" w:rsidR="008062F9" w:rsidRPr="003E2A48" w:rsidRDefault="00175FED" w:rsidP="00761F04">
      <w:pPr>
        <w:pStyle w:val="BodyText"/>
        <w:spacing w:before="0" w:after="0" w:line="480" w:lineRule="auto"/>
        <w:ind w:firstLine="360"/>
      </w:pPr>
      <w:r w:rsidRPr="003E2A48">
        <w:t>We chose the non-linear</w:t>
      </w:r>
      <w:r>
        <w:t xml:space="preserve"> model</w:t>
      </w:r>
      <w:r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oMath>
      <w:r w:rsidRPr="003E2A48">
        <w:t xml:space="preserve"> as the base catch model for</w:t>
      </w:r>
      <w:r>
        <w:t xml:space="preserve"> the</w:t>
      </w:r>
      <w:r w:rsidRPr="003E2A48">
        <w:t xml:space="preserve"> Jul</w:t>
      </w:r>
      <w:r>
        <w:t>y–</w:t>
      </w:r>
      <w:r w:rsidRPr="003E2A48">
        <w:t>Sep</w:t>
      </w:r>
      <w:r>
        <w:t>tember</w:t>
      </w:r>
      <w:r w:rsidRPr="003E2A48">
        <w:t xml:space="preserve"> catch based on further diagnostic tests (</w:t>
      </w:r>
      <w:r>
        <w:t>Supporting Information</w:t>
      </w:r>
      <w:r w:rsidRPr="00673C1D">
        <w:t xml:space="preserve">: </w:t>
      </w:r>
      <w:r w:rsidRPr="00F669B6">
        <w:t>Validation of catch base models</w:t>
      </w:r>
      <w:r w:rsidRPr="003E2A48">
        <w:t>) and to minimize</w:t>
      </w:r>
      <w:r>
        <w:t xml:space="preserve"> the</w:t>
      </w:r>
      <w:r w:rsidRPr="003E2A48">
        <w:t xml:space="preserve"> loss of degrees of freedom</w:t>
      </w:r>
      <w:r>
        <w:t xml:space="preserve"> from an additional covariate, </w:t>
      </w:r>
      <m:oMath>
        <m:r>
          <w:rPr>
            <w:rFonts w:ascii="Cambria Math" w:hAnsi="Cambria Math"/>
          </w:rPr>
          <m:t>ln(</m:t>
        </m:r>
        <m:sSub>
          <m:sSubPr>
            <m:ctrlPr>
              <w:rPr>
                <w:rFonts w:ascii="Cambria Math" w:hAnsi="Cambria Math"/>
              </w:rPr>
            </m:ctrlPr>
          </m:sSubPr>
          <m:e>
            <m:r>
              <w:rPr>
                <w:rFonts w:ascii="Cambria Math" w:hAnsi="Cambria Math"/>
              </w:rPr>
              <m:t>W</m:t>
            </m:r>
          </m:e>
          <m:sub>
            <m:r>
              <w:rPr>
                <w:rFonts w:ascii="Cambria Math" w:hAnsi="Cambria Math"/>
              </w:rPr>
              <m:t>t-2</m:t>
            </m:r>
          </m:sub>
        </m:sSub>
        <m:r>
          <w:rPr>
            <w:rFonts w:ascii="Cambria Math" w:hAnsi="Cambria Math"/>
          </w:rPr>
          <m:t>)</m:t>
        </m:r>
      </m:oMath>
      <w:r w:rsidRPr="003E2A48">
        <w:t>.</w:t>
      </w:r>
    </w:p>
    <w:p w14:paraId="3C8B142A" w14:textId="7BD4E663" w:rsidR="008062F9" w:rsidRPr="003E2A48" w:rsidRDefault="00806920" w:rsidP="00CA5105">
      <w:pPr>
        <w:pStyle w:val="BodyText"/>
        <w:spacing w:before="0" w:after="0" w:line="480" w:lineRule="auto"/>
        <w:jc w:val="center"/>
      </w:pPr>
      <m:oMath>
        <m:r>
          <w:rPr>
            <w:rFonts w:ascii="Cambria Math" w:hAnsi="Cambria Math"/>
          </w:rPr>
          <m:t>M0:ln(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175FED">
        <w:rPr>
          <w:rFonts w:eastAsiaTheme="minorEastAsia"/>
        </w:rPr>
        <w:t xml:space="preserve"> (adj. </w:t>
      </w:r>
      <w:r w:rsidR="00175FED">
        <w:rPr>
          <w:rFonts w:eastAsiaTheme="minorEastAsia"/>
          <w:i/>
          <w:iCs/>
        </w:rPr>
        <w:t>R</w:t>
      </w:r>
      <w:r w:rsidR="00175FED">
        <w:rPr>
          <w:rFonts w:eastAsiaTheme="minorEastAsia"/>
          <w:vertAlign w:val="superscript"/>
        </w:rPr>
        <w:t>2</w:t>
      </w:r>
      <w:r w:rsidR="00175FED" w:rsidRPr="00761F04">
        <w:rPr>
          <w:rFonts w:eastAsiaTheme="minorEastAsia"/>
        </w:rPr>
        <w:t xml:space="preserve"> = </w:t>
      </w:r>
      <w:r w:rsidR="00175FED">
        <w:rPr>
          <w:rFonts w:eastAsiaTheme="minorEastAsia"/>
        </w:rPr>
        <w:t>21.7</w:t>
      </w:r>
      <w:r w:rsidR="00175FED" w:rsidRPr="00761F04">
        <w:rPr>
          <w:rFonts w:eastAsiaTheme="minorEastAsia"/>
        </w:rPr>
        <w:t>)</w:t>
      </w:r>
    </w:p>
    <w:p w14:paraId="3E91759C" w14:textId="173F8432" w:rsidR="008062F9" w:rsidRPr="003E2A48" w:rsidRDefault="00806920" w:rsidP="00354701">
      <w:pPr>
        <w:pStyle w:val="FirstParagraph"/>
        <w:spacing w:before="0" w:after="0" w:line="480" w:lineRule="auto"/>
      </w:pPr>
      <w:r w:rsidRPr="003E2A48">
        <w:t xml:space="preserve">Two non-linear </w:t>
      </w:r>
      <w:r w:rsidR="00952A52">
        <w:t xml:space="preserve">base </w:t>
      </w:r>
      <w:r w:rsidRPr="003E2A48">
        <w:t>models were chosen for</w:t>
      </w:r>
      <w:r w:rsidR="00952A52">
        <w:t xml:space="preserve"> the</w:t>
      </w:r>
      <w:r w:rsidRPr="003E2A48">
        <w:t xml:space="preserve"> Oct</w:t>
      </w:r>
      <w:r w:rsidR="00952A52">
        <w:t>ober–</w:t>
      </w:r>
      <w:r w:rsidRPr="003E2A48">
        <w:t>Mar</w:t>
      </w:r>
      <w:r w:rsidR="00952A52">
        <w:t>ch</w:t>
      </w:r>
      <w:r w:rsidRPr="003E2A48">
        <w:t xml:space="preserve"> catch:</w:t>
      </w:r>
    </w:p>
    <w:p w14:paraId="6D59C027" w14:textId="14474146" w:rsidR="008062F9" w:rsidRPr="003E2A48" w:rsidRDefault="00806920" w:rsidP="00761F04">
      <w:pPr>
        <w:pStyle w:val="BodyText"/>
        <w:spacing w:before="0" w:after="0" w:line="480" w:lineRule="auto"/>
        <w:jc w:val="center"/>
      </w:pPr>
      <m:oMath>
        <m:r>
          <w:rPr>
            <w:rFonts w:ascii="Cambria Math" w:hAnsi="Cambria Math"/>
          </w:rPr>
          <m:t>M1:ln(</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362866">
        <w:rPr>
          <w:rFonts w:eastAsiaTheme="minorEastAsia"/>
        </w:rPr>
        <w:t xml:space="preserve">adj. </w:t>
      </w:r>
      <w:r w:rsidR="00CB5B53">
        <w:rPr>
          <w:rFonts w:eastAsiaTheme="minorEastAsia"/>
          <w:i/>
          <w:iCs/>
        </w:rPr>
        <w:t>R</w:t>
      </w:r>
      <w:r w:rsidR="00CB5B53">
        <w:rPr>
          <w:rFonts w:eastAsiaTheme="minorEastAsia"/>
          <w:vertAlign w:val="superscript"/>
        </w:rPr>
        <w:t>2</w:t>
      </w:r>
      <w:r w:rsidR="00CB5B53" w:rsidRPr="00761F04">
        <w:rPr>
          <w:rFonts w:eastAsiaTheme="minorEastAsia"/>
        </w:rPr>
        <w:t xml:space="preserve"> = </w:t>
      </w:r>
      <w:r w:rsidR="003A6D12" w:rsidRPr="00761F04">
        <w:rPr>
          <w:rFonts w:eastAsiaTheme="minorEastAsia"/>
        </w:rPr>
        <w:t>4</w:t>
      </w:r>
      <w:r w:rsidR="003A6D12">
        <w:rPr>
          <w:rFonts w:eastAsiaTheme="minorEastAsia"/>
        </w:rPr>
        <w:t>5</w:t>
      </w:r>
      <w:r w:rsidR="00CB5B53" w:rsidRPr="00761F04">
        <w:rPr>
          <w:rFonts w:eastAsiaTheme="minorEastAsia"/>
        </w:rPr>
        <w:t>.</w:t>
      </w:r>
      <w:r w:rsidR="003A6D12">
        <w:rPr>
          <w:rFonts w:eastAsiaTheme="minorEastAsia"/>
        </w:rPr>
        <w:t>9</w:t>
      </w:r>
      <w:r w:rsidR="00CB5B53" w:rsidRPr="00761F04">
        <w:rPr>
          <w:rFonts w:eastAsiaTheme="minorEastAsia"/>
        </w:rPr>
        <w:t>)</w:t>
      </w:r>
    </w:p>
    <w:p w14:paraId="272D9A3F" w14:textId="6985B0A2" w:rsidR="008062F9" w:rsidRPr="003E2A48" w:rsidRDefault="00806920" w:rsidP="00761F04">
      <w:pPr>
        <w:pStyle w:val="FirstParagraph"/>
        <w:spacing w:before="0" w:after="0" w:line="480" w:lineRule="auto"/>
        <w:jc w:val="center"/>
      </w:pPr>
      <m:oMath>
        <m:r>
          <w:rPr>
            <w:rFonts w:ascii="Cambria Math" w:hAnsi="Cambria Math"/>
          </w:rPr>
          <m:t>M2:ln(</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362866">
        <w:rPr>
          <w:rFonts w:eastAsiaTheme="minorEastAsia"/>
        </w:rPr>
        <w:t xml:space="preserve">adj. </w:t>
      </w:r>
      <w:r w:rsidR="00CB5B53">
        <w:rPr>
          <w:rFonts w:eastAsiaTheme="minorEastAsia"/>
          <w:i/>
          <w:iCs/>
        </w:rPr>
        <w:t>R</w:t>
      </w:r>
      <w:r w:rsidR="00CB5B53">
        <w:rPr>
          <w:rFonts w:eastAsiaTheme="minorEastAsia"/>
          <w:vertAlign w:val="superscript"/>
        </w:rPr>
        <w:t>2</w:t>
      </w:r>
      <w:r w:rsidR="00CB5B53">
        <w:rPr>
          <w:rFonts w:eastAsiaTheme="minorEastAsia"/>
        </w:rPr>
        <w:t xml:space="preserve"> = </w:t>
      </w:r>
      <w:r w:rsidR="00E87F94">
        <w:rPr>
          <w:rFonts w:eastAsiaTheme="minorEastAsia"/>
        </w:rPr>
        <w:t>57</w:t>
      </w:r>
      <w:r w:rsidR="00CB5B53">
        <w:rPr>
          <w:rFonts w:eastAsiaTheme="minorEastAsia"/>
        </w:rPr>
        <w:t>.</w:t>
      </w:r>
      <w:r w:rsidR="003A6D12">
        <w:rPr>
          <w:rFonts w:eastAsiaTheme="minorEastAsia"/>
        </w:rPr>
        <w:t>3</w:t>
      </w:r>
      <w:r w:rsidR="00CB5B53">
        <w:rPr>
          <w:rFonts w:eastAsiaTheme="minorEastAsia"/>
        </w:rPr>
        <w:t>)</w:t>
      </w:r>
    </w:p>
    <w:p w14:paraId="62CBAE0E" w14:textId="2EC78DA6" w:rsidR="00175FED" w:rsidRPr="003E2A48" w:rsidRDefault="00175FED" w:rsidP="00175FED">
      <w:pPr>
        <w:pStyle w:val="FirstParagraph"/>
        <w:spacing w:before="0" w:after="0" w:line="480" w:lineRule="auto"/>
      </w:pPr>
      <w:bookmarkStart w:id="13" w:name="Xf6511f321aed37503c202c95076a5251ef972a9"/>
      <w:r>
        <w:t>Both</w:t>
      </w:r>
      <w:r w:rsidRPr="003E2A48">
        <w:t xml:space="preserve"> model</w:t>
      </w:r>
      <w:r>
        <w:t>s</w:t>
      </w:r>
      <w:r w:rsidRPr="003E2A48">
        <w:t xml:space="preserve"> w</w:t>
      </w:r>
      <w:r>
        <w:t xml:space="preserve">ere </w:t>
      </w:r>
      <w:r w:rsidRPr="003E2A48">
        <w:t>included as base model</w:t>
      </w:r>
      <w:r>
        <w:t>s</w:t>
      </w:r>
      <w:r w:rsidRPr="003E2A48">
        <w:t xml:space="preserve"> for the Oct</w:t>
      </w:r>
      <w:r>
        <w:t>ober–</w:t>
      </w:r>
      <w:r w:rsidRPr="003E2A48">
        <w:t>Mar</w:t>
      </w:r>
      <w:r>
        <w:t>ch</w:t>
      </w:r>
      <w:r w:rsidRPr="003E2A48">
        <w:t xml:space="preserve"> catch</w:t>
      </w:r>
      <w:r>
        <w:t xml:space="preserve"> as one had </w:t>
      </w:r>
      <w:r w:rsidR="000609CA">
        <w:t xml:space="preserve">the </w:t>
      </w:r>
      <w:r>
        <w:t xml:space="preserve">best model fit while the other had better out-of-sample prediction. Both were supported </w:t>
      </w:r>
      <w:r w:rsidRPr="003E2A48">
        <w:t>based</w:t>
      </w:r>
      <w:r>
        <w:t xml:space="preserve"> </w:t>
      </w:r>
      <w:r w:rsidR="006560BC">
        <w:t>on</w:t>
      </w:r>
      <w:r>
        <w:t xml:space="preserve"> the influential years analysis</w:t>
      </w:r>
      <w:r w:rsidRPr="003E2A48">
        <w:t xml:space="preserve"> (</w:t>
      </w:r>
      <w:r>
        <w:t>Supporting Information; Figures S1-S5</w:t>
      </w:r>
      <w:r w:rsidRPr="003E2A48">
        <w:t>)</w:t>
      </w:r>
      <w:r>
        <w:t>.</w:t>
      </w:r>
    </w:p>
    <w:p w14:paraId="3E8F9E6A" w14:textId="77777777" w:rsidR="00185159" w:rsidRDefault="00185159" w:rsidP="00354701">
      <w:pPr>
        <w:pStyle w:val="Heading2"/>
        <w:spacing w:before="0" w:line="480" w:lineRule="auto"/>
        <w:rPr>
          <w:rFonts w:asciiTheme="minorHAnsi" w:hAnsiTheme="minorHAnsi"/>
          <w:i/>
          <w:color w:val="auto"/>
          <w:sz w:val="24"/>
          <w:szCs w:val="24"/>
        </w:rPr>
      </w:pPr>
    </w:p>
    <w:p w14:paraId="10E0A9BC" w14:textId="4B4A787E" w:rsidR="008062F9" w:rsidRPr="00AB4FA7" w:rsidRDefault="00185159" w:rsidP="00354701">
      <w:pPr>
        <w:pStyle w:val="Heading2"/>
        <w:spacing w:before="0" w:line="480" w:lineRule="auto"/>
        <w:rPr>
          <w:rFonts w:asciiTheme="minorHAnsi" w:hAnsiTheme="minorHAnsi"/>
          <w:iCs/>
          <w:color w:val="auto"/>
          <w:sz w:val="24"/>
          <w:szCs w:val="24"/>
        </w:rPr>
      </w:pPr>
      <w:r w:rsidRPr="00AB4FA7">
        <w:rPr>
          <w:rFonts w:asciiTheme="minorHAnsi" w:hAnsiTheme="minorHAnsi"/>
          <w:iCs/>
          <w:color w:val="auto"/>
          <w:sz w:val="24"/>
          <w:szCs w:val="24"/>
        </w:rPr>
        <w:t xml:space="preserve">3.2 </w:t>
      </w:r>
      <w:r w:rsidR="00806920" w:rsidRPr="00AB4FA7">
        <w:rPr>
          <w:rFonts w:asciiTheme="minorHAnsi" w:hAnsiTheme="minorHAnsi"/>
          <w:iCs/>
          <w:color w:val="auto"/>
          <w:sz w:val="24"/>
          <w:szCs w:val="24"/>
        </w:rPr>
        <w:t>Environmental covariate</w:t>
      </w:r>
      <w:bookmarkEnd w:id="13"/>
      <w:r w:rsidR="00952A52">
        <w:rPr>
          <w:rFonts w:asciiTheme="minorHAnsi" w:hAnsiTheme="minorHAnsi"/>
          <w:iCs/>
          <w:color w:val="auto"/>
          <w:sz w:val="24"/>
          <w:szCs w:val="24"/>
        </w:rPr>
        <w:t xml:space="preserve"> selection</w:t>
      </w:r>
    </w:p>
    <w:p w14:paraId="2C95B65E" w14:textId="3FE2FCE1" w:rsidR="00F820ED" w:rsidRPr="003E2A48" w:rsidRDefault="00F820ED" w:rsidP="00F820ED">
      <w:pPr>
        <w:pStyle w:val="FirstParagraph"/>
        <w:spacing w:before="0" w:after="0" w:line="480" w:lineRule="auto"/>
      </w:pPr>
      <w:r>
        <w:t xml:space="preserve">The covariate analysis was able to rule out a number of the </w:t>
      </w:r>
      <w:r w:rsidR="00624CB1">
        <w:t xml:space="preserve">tested </w:t>
      </w:r>
      <w:r>
        <w:t>covariates.</w:t>
      </w:r>
      <w:r w:rsidR="00185501">
        <w:t xml:space="preserve"> </w:t>
      </w:r>
      <w:r>
        <w:t>Specifically</w:t>
      </w:r>
      <w:r w:rsidR="00B06C49">
        <w:t xml:space="preserve">, </w:t>
      </w:r>
      <w:r>
        <w:t>we found</w:t>
      </w:r>
      <w:r w:rsidR="00806920" w:rsidRPr="003E2A48">
        <w:t xml:space="preserve"> no support for </w:t>
      </w:r>
      <w:r w:rsidR="008D39A8">
        <w:t xml:space="preserve">the </w:t>
      </w:r>
      <w:r w:rsidR="008D39A8" w:rsidRPr="003E2A48">
        <w:t>us</w:t>
      </w:r>
      <w:r w:rsidR="008D39A8">
        <w:t>e of April–May or June–July</w:t>
      </w:r>
      <w:r w:rsidR="008D39A8" w:rsidRPr="003E2A48">
        <w:t xml:space="preserve"> </w:t>
      </w:r>
      <w:r w:rsidR="00806920" w:rsidRPr="003E2A48">
        <w:t>precipitation</w:t>
      </w:r>
      <w:r w:rsidR="00300F17">
        <w:t xml:space="preserve"> over the ocean</w:t>
      </w:r>
      <w:r w:rsidR="00AE4D4A">
        <w:t xml:space="preserve">, </w:t>
      </w:r>
      <w:r w:rsidR="008D39A8">
        <w:t>in the current or prior season or as a linear or non-linear effect</w:t>
      </w:r>
      <w:r w:rsidR="00AE4D4A">
        <w:t>,</w:t>
      </w:r>
      <w:r w:rsidR="008D39A8">
        <w:t xml:space="preserve"> </w:t>
      </w:r>
      <w:r w:rsidR="00806920" w:rsidRPr="003E2A48">
        <w:t>as an explanatory variable for the Jul</w:t>
      </w:r>
      <w:r w:rsidR="008D39A8">
        <w:t>y–</w:t>
      </w:r>
      <w:r w:rsidR="00806920" w:rsidRPr="003E2A48">
        <w:t>Sep</w:t>
      </w:r>
      <w:r w:rsidR="008D39A8">
        <w:t>tember</w:t>
      </w:r>
      <w:r w:rsidR="00806920" w:rsidRPr="003E2A48">
        <w:t xml:space="preserve"> or Oct</w:t>
      </w:r>
      <w:r w:rsidR="008D39A8">
        <w:t>ober–</w:t>
      </w:r>
      <w:r w:rsidR="00806920" w:rsidRPr="003E2A48">
        <w:t>Mar</w:t>
      </w:r>
      <w:r w:rsidR="008D39A8">
        <w:t>ch</w:t>
      </w:r>
      <w:r w:rsidR="00806920" w:rsidRPr="003E2A48">
        <w:t xml:space="preserve"> catch (</w:t>
      </w:r>
      <w:r w:rsidR="004C4E60">
        <w:t>Tables A1</w:t>
      </w:r>
      <w:r w:rsidR="00AE4D4A">
        <w:t>,</w:t>
      </w:r>
      <w:r w:rsidR="004C4E60">
        <w:t xml:space="preserve"> A2</w:t>
      </w:r>
      <w:r w:rsidR="00AE4D4A">
        <w:t xml:space="preserve">, </w:t>
      </w:r>
      <w:r w:rsidR="003A0D96">
        <w:t xml:space="preserve">and </w:t>
      </w:r>
      <w:r w:rsidR="00AE4D4A">
        <w:t>S7</w:t>
      </w:r>
      <w:r w:rsidR="00806920" w:rsidRPr="003E2A48">
        <w:t xml:space="preserve">). </w:t>
      </w:r>
      <w:r w:rsidR="008D39A8">
        <w:t>W</w:t>
      </w:r>
      <w:r w:rsidR="00806920" w:rsidRPr="003E2A48">
        <w:t xml:space="preserve">e </w:t>
      </w:r>
      <w:r w:rsidR="004571DF">
        <w:t xml:space="preserve">also </w:t>
      </w:r>
      <w:r w:rsidR="00806920" w:rsidRPr="003E2A48">
        <w:t>found no support for</w:t>
      </w:r>
      <w:r w:rsidR="008D39A8">
        <w:t xml:space="preserve"> the use of March–May (current or prior year) or October–December </w:t>
      </w:r>
      <w:r w:rsidR="00806920" w:rsidRPr="003E2A48">
        <w:t xml:space="preserve">SST as </w:t>
      </w:r>
      <w:r w:rsidR="008D39A8">
        <w:t xml:space="preserve">an </w:t>
      </w:r>
      <w:r w:rsidR="00806920" w:rsidRPr="003E2A48">
        <w:t>explanatory variable for the Jul</w:t>
      </w:r>
      <w:r w:rsidR="0018399F">
        <w:t>y–</w:t>
      </w:r>
      <w:r w:rsidR="00806920" w:rsidRPr="003E2A48">
        <w:t>Sep</w:t>
      </w:r>
      <w:r w:rsidR="0018399F">
        <w:t>tember</w:t>
      </w:r>
      <w:r w:rsidR="00806920" w:rsidRPr="003E2A48">
        <w:t xml:space="preserve"> </w:t>
      </w:r>
      <w:r w:rsidR="004C4E60">
        <w:t>or</w:t>
      </w:r>
      <w:r w:rsidR="00806920" w:rsidRPr="003E2A48">
        <w:t xml:space="preserve"> Oct</w:t>
      </w:r>
      <w:r w:rsidR="0018399F">
        <w:t>ober–</w:t>
      </w:r>
      <w:r w:rsidR="00806920" w:rsidRPr="003E2A48">
        <w:t>Mar</w:t>
      </w:r>
      <w:r w:rsidR="0018399F">
        <w:t>ch</w:t>
      </w:r>
      <w:r w:rsidR="00806920" w:rsidRPr="003E2A48">
        <w:t xml:space="preserve"> catch</w:t>
      </w:r>
      <w:r w:rsidR="00E57B0C">
        <w:t xml:space="preserve"> </w:t>
      </w:r>
      <w:r w:rsidR="00E57B0C" w:rsidRPr="003E2A48">
        <w:t>(</w:t>
      </w:r>
      <w:r w:rsidR="00E57B0C">
        <w:t xml:space="preserve">Tables A1, A2, </w:t>
      </w:r>
      <w:r w:rsidR="003A0D96">
        <w:t xml:space="preserve">and </w:t>
      </w:r>
      <w:r w:rsidR="00E57B0C">
        <w:t>S7</w:t>
      </w:r>
      <w:r w:rsidR="00E57B0C" w:rsidRPr="003E2A48">
        <w:t>)</w:t>
      </w:r>
      <w:r w:rsidR="00806920" w:rsidRPr="003E2A48">
        <w:t xml:space="preserve">. </w:t>
      </w:r>
      <w:r w:rsidR="008A5EED">
        <w:t>In general</w:t>
      </w:r>
      <w:r w:rsidR="00A859E5">
        <w:t>,</w:t>
      </w:r>
      <w:r w:rsidR="008A5EED">
        <w:t xml:space="preserve"> </w:t>
      </w:r>
      <w:r w:rsidR="00E57B0C">
        <w:t xml:space="preserve">all </w:t>
      </w:r>
      <w:r w:rsidR="008A5EED">
        <w:t>the</w:t>
      </w:r>
      <w:r w:rsidR="008A5EED" w:rsidRPr="003E2A48">
        <w:t xml:space="preserve"> </w:t>
      </w:r>
      <w:r w:rsidR="004F1ED9">
        <w:t>indices of u</w:t>
      </w:r>
      <w:r w:rsidR="007233EB" w:rsidRPr="003E2A48">
        <w:t xml:space="preserve">pwelling </w:t>
      </w:r>
      <w:r w:rsidR="00806920" w:rsidRPr="003E2A48">
        <w:t xml:space="preserve">in the current </w:t>
      </w:r>
      <w:r w:rsidR="008A5EED">
        <w:t xml:space="preserve">or prior </w:t>
      </w:r>
      <w:r w:rsidR="005136A0">
        <w:t xml:space="preserve">year </w:t>
      </w:r>
      <w:r w:rsidR="008A5EED">
        <w:t xml:space="preserve">were </w:t>
      </w:r>
      <w:r w:rsidR="00B50B79">
        <w:t xml:space="preserve">either </w:t>
      </w:r>
      <w:r w:rsidR="008A5EED">
        <w:t xml:space="preserve">not or </w:t>
      </w:r>
      <w:r w:rsidR="008A5EED">
        <w:lastRenderedPageBreak/>
        <w:t xml:space="preserve">only weakly supported (based on </w:t>
      </w:r>
      <w:proofErr w:type="spellStart"/>
      <w:r w:rsidR="008A5EED">
        <w:t>AICc</w:t>
      </w:r>
      <w:proofErr w:type="spellEnd"/>
      <w:r w:rsidR="008A5EED">
        <w:t>) and did not improve out</w:t>
      </w:r>
      <w:r w:rsidR="00CD66B4">
        <w:t>-</w:t>
      </w:r>
      <w:r w:rsidR="008A5EED">
        <w:t>of</w:t>
      </w:r>
      <w:r w:rsidR="00CD66B4">
        <w:t>-</w:t>
      </w:r>
      <w:r w:rsidR="008A5EED">
        <w:t xml:space="preserve">sample prediction (LOOCV RMSE or </w:t>
      </w:r>
      <w:proofErr w:type="spellStart"/>
      <w:r w:rsidR="008A5EED">
        <w:t>MdAE</w:t>
      </w:r>
      <w:proofErr w:type="spellEnd"/>
      <w:r w:rsidR="008A5EED">
        <w:t xml:space="preserve">) (Tables A1, A2, </w:t>
      </w:r>
      <w:r w:rsidR="003A0D96">
        <w:t xml:space="preserve">and </w:t>
      </w:r>
      <w:r w:rsidR="008A5EED">
        <w:t>S7).</w:t>
      </w:r>
      <w:r w:rsidR="00185501">
        <w:t xml:space="preserve"> </w:t>
      </w:r>
      <w:r w:rsidR="008A5EED">
        <w:t xml:space="preserve">The one </w:t>
      </w:r>
      <w:r>
        <w:t xml:space="preserve">exception </w:t>
      </w:r>
      <w:r w:rsidR="008A5EED">
        <w:t>was the</w:t>
      </w:r>
      <w:r w:rsidR="00E57B0C">
        <w:t xml:space="preserve"> July-September catch and the </w:t>
      </w:r>
      <w:r w:rsidR="008A5EED">
        <w:t xml:space="preserve">June-September nearshore SST upwelling index </w:t>
      </w:r>
      <w:r w:rsidR="00E57B0C">
        <w:t>in the current year and Ekman Pumping in the prior year</w:t>
      </w:r>
      <w:r w:rsidR="008A5EED">
        <w:t>. Th</w:t>
      </w:r>
      <w:r w:rsidR="00E57B0C">
        <w:t>ese</w:t>
      </w:r>
      <w:r w:rsidR="008A5EED">
        <w:t xml:space="preserve"> reduced the LOOCV </w:t>
      </w:r>
      <w:proofErr w:type="spellStart"/>
      <w:r w:rsidR="008A5EED">
        <w:t>MdAE</w:t>
      </w:r>
      <w:proofErr w:type="spellEnd"/>
      <w:r w:rsidR="008A5EED">
        <w:t xml:space="preserve"> prediction errors </w:t>
      </w:r>
      <w:r w:rsidR="00E57B0C">
        <w:t xml:space="preserve">but did not reduce the LOOCV RMSE errors or </w:t>
      </w:r>
      <w:proofErr w:type="spellStart"/>
      <w:r w:rsidR="00E57B0C">
        <w:t>AICc</w:t>
      </w:r>
      <w:proofErr w:type="spellEnd"/>
      <w:r w:rsidR="00E57B0C">
        <w:t xml:space="preserve"> </w:t>
      </w:r>
      <w:r w:rsidR="00B50B79">
        <w:t xml:space="preserve">for the July-September catch </w:t>
      </w:r>
      <w:r w:rsidR="008A5EED">
        <w:t>(Table A1).</w:t>
      </w:r>
      <w:r>
        <w:t xml:space="preserve"> The </w:t>
      </w:r>
      <w:r w:rsidR="00E57B0C">
        <w:t>Ekman Mass Transport (EMT)</w:t>
      </w:r>
      <w:r>
        <w:t xml:space="preserve"> upwelling index did not </w:t>
      </w:r>
      <w:r w:rsidR="003A0D96">
        <w:t>improve</w:t>
      </w:r>
      <w:r>
        <w:t xml:space="preserve"> the </w:t>
      </w:r>
      <w:r w:rsidR="00E57B0C">
        <w:t>model fit (</w:t>
      </w:r>
      <w:proofErr w:type="spellStart"/>
      <w:r w:rsidR="00E57B0C">
        <w:t>AICc</w:t>
      </w:r>
      <w:proofErr w:type="spellEnd"/>
      <w:r w:rsidR="00E57B0C">
        <w:t xml:space="preserve">) or </w:t>
      </w:r>
      <w:r>
        <w:t>prediction errors</w:t>
      </w:r>
      <w:r w:rsidR="00E57B0C">
        <w:t xml:space="preserve"> (Table A1</w:t>
      </w:r>
      <w:r w:rsidR="00C564B8">
        <w:t xml:space="preserve"> and A2</w:t>
      </w:r>
      <w:r w:rsidR="00E57B0C">
        <w:t>)</w:t>
      </w:r>
      <w:r>
        <w:t>.</w:t>
      </w:r>
      <w:r w:rsidR="009F4D6D">
        <w:t xml:space="preserve"> </w:t>
      </w:r>
      <w:r w:rsidR="00733C2D">
        <w:t>Recent research (</w:t>
      </w:r>
      <w:proofErr w:type="spellStart"/>
      <w:r w:rsidR="00733C2D">
        <w:t>Shafeeque</w:t>
      </w:r>
      <w:proofErr w:type="spellEnd"/>
      <w:r w:rsidR="00733C2D">
        <w:t xml:space="preserve"> et al.</w:t>
      </w:r>
      <w:r w:rsidR="003A0D96">
        <w:t>,</w:t>
      </w:r>
      <w:r w:rsidR="00733C2D">
        <w:t xml:space="preserve"> 2019) suggests that there is an interaction between upwelling and precipitation, such that both anomalous precipitation over land and upwelling intensity during the summer monsoon is needed for strong chlorophyll-a blooms. Our tests </w:t>
      </w:r>
      <w:r w:rsidR="00DE6134">
        <w:t xml:space="preserve">using a </w:t>
      </w:r>
      <w:r w:rsidR="00733C2D">
        <w:t xml:space="preserve">variety of interaction models showed that while models with interactions increased the </w:t>
      </w:r>
      <w:r w:rsidR="00733C2D" w:rsidRPr="00733C2D">
        <w:rPr>
          <w:i/>
          <w:iCs/>
        </w:rPr>
        <w:t>R</w:t>
      </w:r>
      <w:r w:rsidR="00733C2D" w:rsidRPr="00733C2D">
        <w:rPr>
          <w:i/>
          <w:iCs/>
          <w:vertAlign w:val="superscript"/>
        </w:rPr>
        <w:t>2</w:t>
      </w:r>
      <w:r w:rsidR="003A0D96">
        <w:t>,</w:t>
      </w:r>
      <w:r w:rsidR="00733C2D">
        <w:t xml:space="preserve"> the increased parameter cost led to higher </w:t>
      </w:r>
      <w:proofErr w:type="spellStart"/>
      <w:r w:rsidR="00733C2D">
        <w:t>AICc</w:t>
      </w:r>
      <w:proofErr w:type="spellEnd"/>
      <w:r w:rsidR="00733C2D">
        <w:t xml:space="preserve"> and higher out-of-sample prediction errors (Table A8). </w:t>
      </w:r>
      <w:r w:rsidR="005077CE">
        <w:t xml:space="preserve">Note, </w:t>
      </w:r>
      <w:r w:rsidR="00DE6134">
        <w:t xml:space="preserve">the </w:t>
      </w:r>
      <w:r w:rsidR="00C564B8">
        <w:t xml:space="preserve">July-September </w:t>
      </w:r>
      <w:r w:rsidR="00DE6134">
        <w:t>upwelling indices</w:t>
      </w:r>
      <w:r w:rsidR="005077CE">
        <w:t xml:space="preserve"> overlap with </w:t>
      </w:r>
      <w:r w:rsidR="00DE6134">
        <w:t xml:space="preserve">the </w:t>
      </w:r>
      <w:r w:rsidR="005077CE">
        <w:t xml:space="preserve">July-September </w:t>
      </w:r>
      <w:r w:rsidR="00C564B8">
        <w:t xml:space="preserve">catch </w:t>
      </w:r>
      <w:r w:rsidR="005077CE">
        <w:t xml:space="preserve">and thus would not be useful for forecasting </w:t>
      </w:r>
      <w:r w:rsidR="00C564B8">
        <w:t>July-September catch</w:t>
      </w:r>
      <w:r w:rsidR="00AA22D5">
        <w:t xml:space="preserve"> but were tested to understand the utility of the upwelling indices</w:t>
      </w:r>
      <w:r w:rsidR="005077CE">
        <w:t xml:space="preserve">. </w:t>
      </w:r>
      <w:r w:rsidR="00AA7728">
        <w:t>W</w:t>
      </w:r>
      <w:r w:rsidRPr="00AA7728">
        <w:t xml:space="preserve">e </w:t>
      </w:r>
      <w:r w:rsidR="00B50B79">
        <w:t xml:space="preserve">also </w:t>
      </w:r>
      <w:r w:rsidRPr="00AA7728">
        <w:t xml:space="preserve">found no </w:t>
      </w:r>
      <w:r w:rsidR="00B06C49" w:rsidRPr="00AA7728">
        <w:t>support</w:t>
      </w:r>
      <w:r w:rsidR="00B06C49">
        <w:t xml:space="preserve"> for using</w:t>
      </w:r>
      <w:r w:rsidRPr="003E2A48">
        <w:t xml:space="preserve"> the ONI</w:t>
      </w:r>
      <w:r w:rsidR="00AA7728">
        <w:t xml:space="preserve"> or PDO </w:t>
      </w:r>
      <w:r w:rsidR="00620894">
        <w:t xml:space="preserve">index </w:t>
      </w:r>
      <w:r w:rsidR="00B06C49">
        <w:t xml:space="preserve">to </w:t>
      </w:r>
      <w:r w:rsidR="00AA7728">
        <w:t>improve</w:t>
      </w:r>
      <w:r w:rsidR="00B06C49">
        <w:t xml:space="preserve"> either</w:t>
      </w:r>
      <w:r w:rsidRPr="003E2A48">
        <w:t xml:space="preserve"> the Jul</w:t>
      </w:r>
      <w:r>
        <w:t>y–</w:t>
      </w:r>
      <w:r w:rsidRPr="003E2A48">
        <w:t>Sep</w:t>
      </w:r>
      <w:r>
        <w:t>tember</w:t>
      </w:r>
      <w:r w:rsidRPr="003E2A48">
        <w:t xml:space="preserve"> or Oct</w:t>
      </w:r>
      <w:r>
        <w:t>ober–</w:t>
      </w:r>
      <w:r w:rsidRPr="003E2A48">
        <w:t>Mar</w:t>
      </w:r>
      <w:r>
        <w:t>ch</w:t>
      </w:r>
      <w:r w:rsidRPr="003E2A48">
        <w:t xml:space="preserve"> </w:t>
      </w:r>
      <w:r w:rsidR="00AA7728">
        <w:t>catch predictions</w:t>
      </w:r>
      <w:r w:rsidRPr="003E2A48">
        <w:t>.</w:t>
      </w:r>
      <w:r w:rsidR="00B06C49">
        <w:t xml:space="preserve"> The fall DMI </w:t>
      </w:r>
      <w:r w:rsidR="005136A0">
        <w:t xml:space="preserve">in the prior year </w:t>
      </w:r>
      <w:r w:rsidR="00B06C49">
        <w:t xml:space="preserve">reduced </w:t>
      </w:r>
      <w:proofErr w:type="spellStart"/>
      <w:r w:rsidR="00B06C49">
        <w:t>AICc</w:t>
      </w:r>
      <w:proofErr w:type="spellEnd"/>
      <w:r w:rsidR="00B06C49">
        <w:t xml:space="preserve"> and LOOCV RMSE and </w:t>
      </w:r>
      <w:proofErr w:type="spellStart"/>
      <w:r w:rsidR="00B06C49">
        <w:t>MdAE</w:t>
      </w:r>
      <w:proofErr w:type="spellEnd"/>
      <w:r w:rsidR="00B06C49">
        <w:t xml:space="preserve"> but only for October-March catch with the more complex model (Table </w:t>
      </w:r>
      <w:r w:rsidR="00B77E64">
        <w:t>2</w:t>
      </w:r>
      <w:r w:rsidR="00B06C49">
        <w:t xml:space="preserve"> and S7).</w:t>
      </w:r>
    </w:p>
    <w:p w14:paraId="67021985" w14:textId="421357DA" w:rsidR="00F820ED" w:rsidRPr="003E2A48" w:rsidRDefault="00B06C49" w:rsidP="001A401E">
      <w:pPr>
        <w:pStyle w:val="BodyText"/>
        <w:spacing w:before="0" w:after="0" w:line="480" w:lineRule="auto"/>
        <w:ind w:firstLine="360"/>
      </w:pPr>
      <w:r>
        <w:t xml:space="preserve">Only </w:t>
      </w:r>
      <w:r w:rsidR="00AA7728">
        <w:t>three</w:t>
      </w:r>
      <w:r>
        <w:t xml:space="preserve"> covariates emerged as explanatory variables that both explained catch variance </w:t>
      </w:r>
      <w:r w:rsidR="003A0D96">
        <w:t xml:space="preserve">(lower </w:t>
      </w:r>
      <w:proofErr w:type="spellStart"/>
      <w:r w:rsidR="003A0D96">
        <w:t>AICc</w:t>
      </w:r>
      <w:proofErr w:type="spellEnd"/>
      <w:r w:rsidR="003A0D96">
        <w:t xml:space="preserve">) </w:t>
      </w:r>
      <w:r>
        <w:t>and reduced out</w:t>
      </w:r>
      <w:r w:rsidR="00CD66B4">
        <w:t>-</w:t>
      </w:r>
      <w:r>
        <w:t>of</w:t>
      </w:r>
      <w:r w:rsidR="00CD66B4">
        <w:t>-</w:t>
      </w:r>
      <w:r>
        <w:t>sample predictions errors</w:t>
      </w:r>
      <w:r w:rsidR="00AA7728">
        <w:t xml:space="preserve"> across models and </w:t>
      </w:r>
      <w:r w:rsidR="00B50B79">
        <w:t xml:space="preserve">across </w:t>
      </w:r>
      <w:r w:rsidR="003A0D96">
        <w:t xml:space="preserve">different </w:t>
      </w:r>
      <w:r w:rsidR="00B50B79">
        <w:t>time-periods</w:t>
      </w:r>
      <w:r>
        <w:t>: the June-July precipitation over land</w:t>
      </w:r>
      <w:r w:rsidR="00AA7728">
        <w:t xml:space="preserve">, </w:t>
      </w:r>
      <w:r>
        <w:t>the 2.5-year average regional SS</w:t>
      </w:r>
      <w:r w:rsidR="00AA7728">
        <w:t>T, and the AMO index</w:t>
      </w:r>
      <w:r>
        <w:t>. T</w:t>
      </w:r>
      <w:r w:rsidR="00806920" w:rsidRPr="003E2A48">
        <w:t xml:space="preserve">he </w:t>
      </w:r>
      <w:r w:rsidR="00143284">
        <w:t>best models included</w:t>
      </w:r>
      <w:r w:rsidR="00B77E64" w:rsidRPr="003E2A48">
        <w:t xml:space="preserve"> </w:t>
      </w:r>
      <w:r w:rsidR="000E0650">
        <w:t xml:space="preserve">non-linear </w:t>
      </w:r>
      <w:r w:rsidR="00B77E64">
        <w:t>response</w:t>
      </w:r>
      <w:r w:rsidR="00143284">
        <w:t xml:space="preserve"> curves (Figure 6). For the July–September catch</w:t>
      </w:r>
      <w:r w:rsidR="00DE6134">
        <w:t>,</w:t>
      </w:r>
      <w:r w:rsidR="00B77E64">
        <w:t xml:space="preserve"> </w:t>
      </w:r>
      <w:r w:rsidR="00143284">
        <w:t xml:space="preserve">the best models had an </w:t>
      </w:r>
      <w:r w:rsidR="000E0650">
        <w:t xml:space="preserve">adjusted </w:t>
      </w:r>
      <w:r w:rsidR="000E0650">
        <w:rPr>
          <w:i/>
          <w:iCs/>
        </w:rPr>
        <w:t>R</w:t>
      </w:r>
      <w:r w:rsidR="000E0650" w:rsidRPr="001B1B67">
        <w:rPr>
          <w:vertAlign w:val="superscript"/>
        </w:rPr>
        <w:t>2</w:t>
      </w:r>
      <w:r w:rsidR="00143284">
        <w:t xml:space="preserve"> </w:t>
      </w:r>
      <w:r w:rsidR="003A0D96">
        <w:t>of</w:t>
      </w:r>
      <w:r w:rsidR="000E0650">
        <w:t xml:space="preserve"> </w:t>
      </w:r>
      <w:r w:rsidR="003A0D96">
        <w:t>29.</w:t>
      </w:r>
      <w:r w:rsidR="00922AFC">
        <w:t>9</w:t>
      </w:r>
      <w:r w:rsidR="003A0D96">
        <w:t xml:space="preserve">, </w:t>
      </w:r>
      <w:r w:rsidR="00AA22D5">
        <w:t xml:space="preserve">47 </w:t>
      </w:r>
      <w:r w:rsidR="00AA22D5">
        <w:lastRenderedPageBreak/>
        <w:t>and 47.5</w:t>
      </w:r>
      <w:r w:rsidR="00B77E64" w:rsidRPr="003E2A48">
        <w:t xml:space="preserve"> </w:t>
      </w:r>
      <w:r w:rsidR="00143284">
        <w:t>(</w:t>
      </w:r>
      <w:r w:rsidR="003A0D96">
        <w:t xml:space="preserve">precipitation, </w:t>
      </w:r>
      <w:r w:rsidR="00143284">
        <w:t xml:space="preserve">SST and AMO, respectively) </w:t>
      </w:r>
      <w:r w:rsidR="000E0650" w:rsidRPr="003E2A48">
        <w:t xml:space="preserve">versus </w:t>
      </w:r>
      <w:r w:rsidR="00B77E64" w:rsidRPr="003E2A48">
        <w:t>2</w:t>
      </w:r>
      <w:r w:rsidR="00B77E64">
        <w:t>1</w:t>
      </w:r>
      <w:r w:rsidR="000E0650" w:rsidRPr="003E2A48">
        <w:t>.</w:t>
      </w:r>
      <w:r w:rsidR="00B77E64">
        <w:t xml:space="preserve">7 </w:t>
      </w:r>
      <w:r w:rsidR="000E0650">
        <w:t>for the model without</w:t>
      </w:r>
      <w:r w:rsidR="00143284">
        <w:t xml:space="preserve"> the</w:t>
      </w:r>
      <w:r w:rsidR="000E0650">
        <w:t xml:space="preserve"> covariate</w:t>
      </w:r>
      <w:r w:rsidR="003A0D96">
        <w:t xml:space="preserve"> (Tables 2 and A1)</w:t>
      </w:r>
      <w:r w:rsidR="00143284">
        <w:t>,</w:t>
      </w:r>
      <w:r w:rsidR="000E0650">
        <w:t xml:space="preserve"> and </w:t>
      </w:r>
      <w:r w:rsidR="00143284">
        <w:t xml:space="preserve">for the </w:t>
      </w:r>
      <w:r w:rsidR="000E0650">
        <w:t xml:space="preserve">October–March </w:t>
      </w:r>
      <w:r w:rsidR="00624CB1">
        <w:t>catch</w:t>
      </w:r>
      <w:r w:rsidR="00143284">
        <w:t xml:space="preserve">, the </w:t>
      </w:r>
      <w:r w:rsidR="000E0650" w:rsidRPr="000E0650">
        <w:t>a</w:t>
      </w:r>
      <m:oMath>
        <m:r>
          <m:rPr>
            <m:sty m:val="p"/>
          </m:rPr>
          <w:rPr>
            <w:rFonts w:ascii="Cambria Math" w:hAnsi="Cambria Math"/>
          </w:rPr>
          <m:t>djusted</m:t>
        </m:r>
        <m: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2</m:t>
            </m:r>
          </m:sup>
        </m:sSup>
      </m:oMath>
      <w:r w:rsidR="00143284">
        <w:t xml:space="preserve"> was</w:t>
      </w:r>
      <w:r w:rsidR="000E0650">
        <w:t xml:space="preserve"> </w:t>
      </w:r>
      <w:r w:rsidR="003A0D96">
        <w:t>59.</w:t>
      </w:r>
      <w:r w:rsidR="001D622D">
        <w:t>6</w:t>
      </w:r>
      <w:r w:rsidR="003A0D96">
        <w:t xml:space="preserve">, </w:t>
      </w:r>
      <w:r w:rsidR="00AA22D5">
        <w:t>6</w:t>
      </w:r>
      <w:r w:rsidR="00B75CC5">
        <w:t>5</w:t>
      </w:r>
      <w:r w:rsidR="001D622D">
        <w:t>.</w:t>
      </w:r>
      <w:r w:rsidR="00B75CC5">
        <w:t>9</w:t>
      </w:r>
      <w:r w:rsidR="00AA22D5">
        <w:t xml:space="preserve"> and 6</w:t>
      </w:r>
      <w:r w:rsidR="00B75CC5">
        <w:t>3</w:t>
      </w:r>
      <w:r w:rsidR="001D622D">
        <w:t>.</w:t>
      </w:r>
      <w:r w:rsidR="00B75CC5">
        <w:t>8</w:t>
      </w:r>
      <w:r w:rsidR="00B77E64" w:rsidRPr="003E2A48">
        <w:t xml:space="preserve"> </w:t>
      </w:r>
      <w:r w:rsidR="003A0D96">
        <w:t xml:space="preserve">(precipitation, SST and AMO) </w:t>
      </w:r>
      <w:r w:rsidR="000E0650" w:rsidRPr="003E2A48">
        <w:t>v</w:t>
      </w:r>
      <w:r w:rsidR="00CD66B4">
        <w:t>ersus</w:t>
      </w:r>
      <w:r w:rsidR="000E0650" w:rsidRPr="003E2A48">
        <w:t xml:space="preserve"> </w:t>
      </w:r>
      <w:r w:rsidR="00AA22D5">
        <w:t>45.9</w:t>
      </w:r>
      <w:r w:rsidR="00CD66B4">
        <w:t xml:space="preserve"> </w:t>
      </w:r>
      <w:r w:rsidR="005077CE">
        <w:t xml:space="preserve">using the </w:t>
      </w:r>
      <w:r w:rsidR="003A0D96">
        <w:t xml:space="preserve">simpler base </w:t>
      </w:r>
      <w:r w:rsidR="005077CE">
        <w:t xml:space="preserve">model </w:t>
      </w:r>
      <w:r w:rsidR="00CD66B4">
        <w:t>without covariate</w:t>
      </w:r>
      <w:r w:rsidR="003A0D96">
        <w:t>s</w:t>
      </w:r>
      <w:r w:rsidR="00143284">
        <w:t xml:space="preserve"> </w:t>
      </w:r>
      <w:r w:rsidR="003A0D96">
        <w:t>and 70.5, 69.</w:t>
      </w:r>
      <w:r w:rsidR="00B75CC5">
        <w:t>5</w:t>
      </w:r>
      <w:r w:rsidR="003A0D96">
        <w:t xml:space="preserve"> and 65.6 versus 57.3 with the more complex base model </w:t>
      </w:r>
      <w:r w:rsidR="00143284">
        <w:t>(</w:t>
      </w:r>
      <w:r w:rsidR="00806920" w:rsidRPr="003E2A48">
        <w:t>Table</w:t>
      </w:r>
      <w:r w:rsidR="000E0650">
        <w:t>s</w:t>
      </w:r>
      <w:r w:rsidR="00806920" w:rsidRPr="003E2A48">
        <w:t xml:space="preserve"> 2</w:t>
      </w:r>
      <w:r w:rsidR="00CD66B4">
        <w:t xml:space="preserve">, </w:t>
      </w:r>
      <w:r w:rsidR="00B77E64">
        <w:t xml:space="preserve">A2, </w:t>
      </w:r>
      <w:r w:rsidR="00CD66B4">
        <w:t xml:space="preserve">and </w:t>
      </w:r>
      <w:r w:rsidR="00B77E64">
        <w:t>S7</w:t>
      </w:r>
      <w:r w:rsidR="00806920" w:rsidRPr="003E2A48">
        <w:t xml:space="preserve">). </w:t>
      </w:r>
      <w:r w:rsidR="00B77E64">
        <w:t>Th</w:t>
      </w:r>
      <w:r w:rsidR="00B50B79">
        <w:t>ese</w:t>
      </w:r>
      <w:r w:rsidR="00B77E64">
        <w:t xml:space="preserve"> covariate</w:t>
      </w:r>
      <w:r w:rsidR="00B50B79">
        <w:t>s</w:t>
      </w:r>
      <w:r w:rsidR="00B77E64">
        <w:t xml:space="preserve"> reduced the </w:t>
      </w:r>
      <w:r w:rsidR="00786217">
        <w:t xml:space="preserve">median </w:t>
      </w:r>
      <w:r w:rsidR="008464F2">
        <w:t>out</w:t>
      </w:r>
      <w:r w:rsidR="00CD66B4">
        <w:t>-</w:t>
      </w:r>
      <w:r w:rsidR="008464F2">
        <w:t>of</w:t>
      </w:r>
      <w:r w:rsidR="00CD66B4">
        <w:t>-</w:t>
      </w:r>
      <w:r w:rsidR="008464F2">
        <w:t>sample prediction error (</w:t>
      </w:r>
      <w:r w:rsidR="00B77E64">
        <w:t xml:space="preserve">LOOCV </w:t>
      </w:r>
      <w:proofErr w:type="spellStart"/>
      <w:r w:rsidR="008464F2">
        <w:t>MdAE</w:t>
      </w:r>
      <w:proofErr w:type="spellEnd"/>
      <w:r w:rsidR="008464F2">
        <w:t xml:space="preserve">) </w:t>
      </w:r>
      <w:r w:rsidR="00786217">
        <w:t xml:space="preserve">by </w:t>
      </w:r>
      <w:r w:rsidR="009E4B9F">
        <w:t xml:space="preserve">up to </w:t>
      </w:r>
      <w:r w:rsidR="00786217">
        <w:t xml:space="preserve">19% </w:t>
      </w:r>
      <w:r w:rsidR="008464F2">
        <w:t>for the July-September</w:t>
      </w:r>
      <w:r w:rsidR="00FE6751">
        <w:t xml:space="preserve"> catch and </w:t>
      </w:r>
      <w:r w:rsidR="00786217">
        <w:t xml:space="preserve">the median and root mean-squared out-of-sample prediction errors (LOOCV RMSE and </w:t>
      </w:r>
      <w:proofErr w:type="spellStart"/>
      <w:r w:rsidR="00786217">
        <w:t>MdAE</w:t>
      </w:r>
      <w:proofErr w:type="spellEnd"/>
      <w:r w:rsidR="00786217">
        <w:t xml:space="preserve">) by up to 22% for the </w:t>
      </w:r>
      <w:r w:rsidR="00FE6751">
        <w:t xml:space="preserve">October-March </w:t>
      </w:r>
      <w:r w:rsidR="008464F2">
        <w:t>catch relative to the base model without environmental covariates (Table</w:t>
      </w:r>
      <w:r w:rsidR="009E4B9F">
        <w:t>s</w:t>
      </w:r>
      <w:r w:rsidR="008464F2">
        <w:t xml:space="preserve"> 2</w:t>
      </w:r>
      <w:r w:rsidR="00AA22D5">
        <w:t>, A1, A2, and S7</w:t>
      </w:r>
      <w:r w:rsidR="008464F2">
        <w:t xml:space="preserve">). </w:t>
      </w:r>
      <w:r w:rsidR="00143284">
        <w:t>Figure 7</w:t>
      </w:r>
      <w:r w:rsidR="003574A5">
        <w:t xml:space="preserve"> illustrates the reduction in prediction errors using the 2.5-year average regional SST as an example</w:t>
      </w:r>
      <w:r w:rsidR="00620894">
        <w:t xml:space="preserve"> (the other covariates are shown in Figures A1 and A2)</w:t>
      </w:r>
      <w:r w:rsidR="008464F2">
        <w:t>.</w:t>
      </w:r>
    </w:p>
    <w:p w14:paraId="6861CD47" w14:textId="1200F3F0" w:rsidR="00F820ED" w:rsidRDefault="00F820ED" w:rsidP="001A401E">
      <w:pPr>
        <w:pStyle w:val="BodyText"/>
        <w:spacing w:before="0" w:after="0" w:line="480" w:lineRule="auto"/>
        <w:ind w:firstLine="360"/>
      </w:pPr>
      <w:r w:rsidRPr="001B1B67">
        <w:t>Our examination of the chlorophyll</w:t>
      </w:r>
      <w:r w:rsidR="00AF6F27">
        <w:t xml:space="preserve">-a </w:t>
      </w:r>
      <w:r w:rsidRPr="001B1B67">
        <w:t>cov</w:t>
      </w:r>
      <w:r>
        <w:t>a</w:t>
      </w:r>
      <w:r w:rsidRPr="001B1B67">
        <w:t>riate was limited, as t</w:t>
      </w:r>
      <w:r w:rsidRPr="004571DF">
        <w:t>he simp</w:t>
      </w:r>
      <w:r w:rsidRPr="003E2A48">
        <w:t xml:space="preserve">lest model </w:t>
      </w:r>
      <w:r>
        <w:t xml:space="preserve">including the chlorophyll-a concentration </w:t>
      </w:r>
      <w:r w:rsidRPr="003E2A48">
        <w:t xml:space="preserve">required </w:t>
      </w:r>
      <w:r>
        <w:t>five</w:t>
      </w:r>
      <w:r w:rsidRPr="003E2A48">
        <w:t xml:space="preserve"> degrees of freedom, </w:t>
      </w:r>
      <w:r>
        <w:t>and catch size varied little in the period for which we had chlorophyll</w:t>
      </w:r>
      <w:r w:rsidR="00620894">
        <w:t>-a</w:t>
      </w:r>
      <w:r>
        <w:t xml:space="preserve"> data</w:t>
      </w:r>
      <w:r w:rsidRPr="003E2A48">
        <w:t xml:space="preserve">. </w:t>
      </w:r>
      <w:r>
        <w:t>The fitting of s</w:t>
      </w:r>
      <w:r w:rsidRPr="003E2A48">
        <w:t>econd</w:t>
      </w:r>
      <w:r>
        <w:t>-</w:t>
      </w:r>
      <w:r w:rsidRPr="003E2A48">
        <w:t>degree polynomial models to the average log chlorophyll-a concentration</w:t>
      </w:r>
      <w:r>
        <w:t>s</w:t>
      </w:r>
      <w:r w:rsidRPr="003E2A48">
        <w:t xml:space="preserve"> in July</w:t>
      </w:r>
      <w:r>
        <w:t>–</w:t>
      </w:r>
      <w:r w:rsidRPr="003E2A48">
        <w:t>September</w:t>
      </w:r>
      <w:r w:rsidR="00AF6F27">
        <w:t xml:space="preserve"> and </w:t>
      </w:r>
      <w:r w:rsidRPr="003E2A48">
        <w:t>October</w:t>
      </w:r>
      <w:r>
        <w:t>–</w:t>
      </w:r>
      <w:r w:rsidRPr="003E2A48">
        <w:t xml:space="preserve">December </w:t>
      </w:r>
      <w:r>
        <w:t>of</w:t>
      </w:r>
      <w:r w:rsidRPr="003E2A48">
        <w:t xml:space="preserve"> the current and prior year</w:t>
      </w:r>
      <w:r>
        <w:t xml:space="preserve">s yielded no significant result </w:t>
      </w:r>
      <w:r w:rsidRPr="003E2A48">
        <w:t>for the Jul</w:t>
      </w:r>
      <w:r>
        <w:t>y–</w:t>
      </w:r>
      <w:r w:rsidRPr="003E2A48">
        <w:t>Sep</w:t>
      </w:r>
      <w:r>
        <w:t>tember</w:t>
      </w:r>
      <w:r w:rsidRPr="003E2A48">
        <w:t xml:space="preserve"> catch</w:t>
      </w:r>
      <w:r>
        <w:t xml:space="preserve">, </w:t>
      </w:r>
      <w:r w:rsidR="005077CE">
        <w:t>but</w:t>
      </w:r>
      <w:r>
        <w:t xml:space="preserve"> </w:t>
      </w:r>
      <w:r w:rsidR="00DE6134">
        <w:t>we found a</w:t>
      </w:r>
      <w:r w:rsidRPr="003E2A48">
        <w:t xml:space="preserve"> significant effect </w:t>
      </w:r>
      <w:r>
        <w:t>of the prior-year</w:t>
      </w:r>
      <w:r w:rsidRPr="003E2A48">
        <w:t xml:space="preserve"> </w:t>
      </w:r>
      <w:r>
        <w:t xml:space="preserve">October–December chlorophyll-a concentration on the </w:t>
      </w:r>
      <w:r w:rsidRPr="003E2A48">
        <w:t>Oct</w:t>
      </w:r>
      <w:r>
        <w:t>ober–</w:t>
      </w:r>
      <w:r w:rsidRPr="003E2A48">
        <w:t>Mar</w:t>
      </w:r>
      <w:r>
        <w:t>ch</w:t>
      </w:r>
      <w:r w:rsidRPr="003E2A48">
        <w:t xml:space="preserve"> catch (Table</w:t>
      </w:r>
      <w:r>
        <w:t>s</w:t>
      </w:r>
      <w:r w:rsidRPr="003E2A48">
        <w:t xml:space="preserve"> </w:t>
      </w:r>
      <w:r w:rsidR="001A401E">
        <w:t>A</w:t>
      </w:r>
      <w:r w:rsidRPr="003E2A48">
        <w:t>1</w:t>
      </w:r>
      <w:r w:rsidR="001A401E">
        <w:t>, A2 and S7</w:t>
      </w:r>
      <w:r w:rsidRPr="003E2A48">
        <w:t>).</w:t>
      </w:r>
    </w:p>
    <w:p w14:paraId="37FDFCF8" w14:textId="7B1E1744" w:rsidR="00A407D2" w:rsidRDefault="00A407D2" w:rsidP="001B1B67">
      <w:pPr>
        <w:pStyle w:val="BodyText"/>
        <w:spacing w:before="0" w:after="0" w:line="480" w:lineRule="auto"/>
        <w:ind w:firstLine="360"/>
      </w:pPr>
      <w:r>
        <w:t>We identified</w:t>
      </w:r>
      <w:r w:rsidRPr="003E2A48">
        <w:t xml:space="preserve"> four outlier years </w:t>
      </w:r>
      <w:r>
        <w:t>in which</w:t>
      </w:r>
      <w:r w:rsidRPr="003E2A48">
        <w:t xml:space="preserve"> Oct</w:t>
      </w:r>
      <w:r>
        <w:t>ober–</w:t>
      </w:r>
      <w:r w:rsidRPr="003E2A48">
        <w:t>Mar</w:t>
      </w:r>
      <w:r>
        <w:t>ch</w:t>
      </w:r>
      <w:r w:rsidRPr="003E2A48">
        <w:t xml:space="preserve"> oil sardine landings were much lower than </w:t>
      </w:r>
      <w:r w:rsidR="000E696D">
        <w:t>predicted</w:t>
      </w:r>
      <w:r w:rsidR="000E696D" w:rsidRPr="003E2A48">
        <w:t xml:space="preserve"> </w:t>
      </w:r>
      <w:r w:rsidRPr="003E2A48">
        <w:t>based on prior catches: 1986, 1991, 1994</w:t>
      </w:r>
      <w:r>
        <w:t>,</w:t>
      </w:r>
      <w:r w:rsidRPr="003E2A48">
        <w:t xml:space="preserve"> and 2013 (Figure </w:t>
      </w:r>
      <w:r w:rsidR="00905F2F">
        <w:t>7</w:t>
      </w:r>
      <w:r>
        <w:t>c</w:t>
      </w:r>
      <w:r w:rsidRPr="003E2A48">
        <w:t xml:space="preserve">). </w:t>
      </w:r>
      <w:r w:rsidR="000E696D">
        <w:t xml:space="preserve">In the figure, the y-axis is the predicted catch in a LOOCV analysis thus is the ‘left-out’ year. </w:t>
      </w:r>
      <w:r w:rsidRPr="003E2A48">
        <w:t xml:space="preserve">The </w:t>
      </w:r>
      <w:r w:rsidR="000E696D">
        <w:t xml:space="preserve">model with </w:t>
      </w:r>
      <w:r w:rsidRPr="003E2A48">
        <w:t xml:space="preserve">2.5-year average </w:t>
      </w:r>
      <w:r w:rsidR="00CD66B4">
        <w:t xml:space="preserve">regional </w:t>
      </w:r>
      <w:r w:rsidRPr="003E2A48">
        <w:t xml:space="preserve">SST </w:t>
      </w:r>
      <w:r w:rsidR="000E696D">
        <w:t>predicted</w:t>
      </w:r>
      <w:r w:rsidR="000E696D" w:rsidRPr="003E2A48">
        <w:t xml:space="preserve"> </w:t>
      </w:r>
      <w:r w:rsidRPr="003E2A48">
        <w:t xml:space="preserve">the collapses in 1986 and 1991; the </w:t>
      </w:r>
      <w:r w:rsidR="000E696D">
        <w:t xml:space="preserve">predicted </w:t>
      </w:r>
      <w:r>
        <w:t xml:space="preserve">catch </w:t>
      </w:r>
      <w:r w:rsidRPr="003E2A48">
        <w:t>size</w:t>
      </w:r>
      <w:r>
        <w:t>s with this covariate</w:t>
      </w:r>
      <w:r w:rsidRPr="003E2A48">
        <w:t xml:space="preserve"> </w:t>
      </w:r>
      <w:r w:rsidR="000E696D">
        <w:t xml:space="preserve">in the model </w:t>
      </w:r>
      <w:r>
        <w:t>were</w:t>
      </w:r>
      <w:r w:rsidRPr="003E2A48">
        <w:t xml:space="preserve"> much closer to the observed catch</w:t>
      </w:r>
      <w:r>
        <w:t>es</w:t>
      </w:r>
      <w:r w:rsidRPr="003E2A48">
        <w:t xml:space="preserve"> (Figure </w:t>
      </w:r>
      <w:r w:rsidR="00905F2F">
        <w:t>7</w:t>
      </w:r>
      <w:r>
        <w:t>d</w:t>
      </w:r>
      <w:r w:rsidRPr="003E2A48">
        <w:t>). The 2.5-year average</w:t>
      </w:r>
      <w:r w:rsidR="000E696D">
        <w:t xml:space="preserve"> regional</w:t>
      </w:r>
      <w:r w:rsidRPr="003E2A48">
        <w:t xml:space="preserve"> SST did not explain the 1994</w:t>
      </w:r>
      <w:r>
        <w:t xml:space="preserve"> </w:t>
      </w:r>
      <w:r>
        <w:lastRenderedPageBreak/>
        <w:t>collapse, the largest during the study period,</w:t>
      </w:r>
      <w:r w:rsidRPr="003E2A48">
        <w:t xml:space="preserve"> or </w:t>
      </w:r>
      <w:r>
        <w:t xml:space="preserve">the </w:t>
      </w:r>
      <w:r w:rsidRPr="003E2A48">
        <w:t>2013 collapse. The same pattern was seen for the Jul</w:t>
      </w:r>
      <w:r>
        <w:t>y–</w:t>
      </w:r>
      <w:r w:rsidRPr="003E2A48">
        <w:t>Sep</w:t>
      </w:r>
      <w:r>
        <w:t>tember</w:t>
      </w:r>
      <w:r w:rsidRPr="003E2A48">
        <w:t xml:space="preserve"> catch, with the exception that </w:t>
      </w:r>
      <w:r>
        <w:t xml:space="preserve">this catch was not unusually low in </w:t>
      </w:r>
      <w:r w:rsidRPr="003E2A48">
        <w:t>1991</w:t>
      </w:r>
      <w:r w:rsidR="00624CB1">
        <w:t xml:space="preserve"> (Figure </w:t>
      </w:r>
      <w:r w:rsidR="00905F2F">
        <w:t>7</w:t>
      </w:r>
      <w:r w:rsidR="00624CB1">
        <w:t>a)</w:t>
      </w:r>
      <w:r w:rsidRPr="003E2A48">
        <w:t xml:space="preserve">. The 2.5-year average </w:t>
      </w:r>
      <w:r w:rsidR="000E696D">
        <w:t>regional</w:t>
      </w:r>
      <w:r w:rsidR="00007FDB">
        <w:t xml:space="preserve"> </w:t>
      </w:r>
      <w:r w:rsidRPr="003E2A48">
        <w:t xml:space="preserve">SST reduced the </w:t>
      </w:r>
      <w:r w:rsidR="000E696D">
        <w:t>prediction errors</w:t>
      </w:r>
      <w:r w:rsidRPr="003E2A48">
        <w:t xml:space="preserve"> for </w:t>
      </w:r>
      <w:r>
        <w:t xml:space="preserve">this catch in </w:t>
      </w:r>
      <w:r w:rsidR="00DD5689" w:rsidRPr="003E2A48">
        <w:t>1986 but</w:t>
      </w:r>
      <w:r w:rsidRPr="003E2A48">
        <w:t xml:space="preserve"> did not (appreciably) </w:t>
      </w:r>
      <w:r>
        <w:t xml:space="preserve">reduce it </w:t>
      </w:r>
      <w:r w:rsidRPr="003E2A48">
        <w:t>for 1994 or 2013</w:t>
      </w:r>
      <w:r w:rsidR="00624CB1">
        <w:t xml:space="preserve"> (Figure </w:t>
      </w:r>
      <w:r w:rsidR="00905F2F">
        <w:t>7</w:t>
      </w:r>
      <w:r w:rsidR="00624CB1">
        <w:t>b)</w:t>
      </w:r>
      <w:r w:rsidRPr="003E2A48">
        <w:t xml:space="preserve">. </w:t>
      </w:r>
      <w:r w:rsidR="00DE6134">
        <w:t>In fact, n</w:t>
      </w:r>
      <w:r w:rsidRPr="003E2A48">
        <w:t>o covariate tested</w:t>
      </w:r>
      <w:r>
        <w:t xml:space="preserve"> in this study</w:t>
      </w:r>
      <w:r w:rsidRPr="003E2A48">
        <w:t xml:space="preserve"> explained </w:t>
      </w:r>
      <w:r w:rsidR="000035C3">
        <w:t xml:space="preserve">the </w:t>
      </w:r>
      <w:r w:rsidRPr="003E2A48">
        <w:t xml:space="preserve">1994 </w:t>
      </w:r>
      <w:r w:rsidR="0001367A">
        <w:t xml:space="preserve">fishery collapse </w:t>
      </w:r>
      <w:r w:rsidR="000035C3">
        <w:t>(</w:t>
      </w:r>
      <w:r w:rsidR="00F37AB2">
        <w:t>Figure</w:t>
      </w:r>
      <w:r w:rsidR="000035C3">
        <w:t>s</w:t>
      </w:r>
      <w:r w:rsidR="00F37AB2">
        <w:t xml:space="preserve"> </w:t>
      </w:r>
      <w:r w:rsidR="004003B2">
        <w:t>A1 and A2)</w:t>
      </w:r>
      <w:r w:rsidR="00007FDB">
        <w:t>; the</w:t>
      </w:r>
      <w:r w:rsidR="000E696D">
        <w:t xml:space="preserve"> prediction error </w:t>
      </w:r>
      <w:r w:rsidR="00007FDB">
        <w:t xml:space="preserve">for </w:t>
      </w:r>
      <w:r w:rsidR="0001367A">
        <w:t>this year was</w:t>
      </w:r>
      <w:r w:rsidR="00007FDB">
        <w:t xml:space="preserve"> </w:t>
      </w:r>
      <w:r w:rsidR="0001367A">
        <w:t xml:space="preserve">very </w:t>
      </w:r>
      <w:r w:rsidR="00007FDB">
        <w:t>high regardless of any covariate that was included in the model</w:t>
      </w:r>
      <w:r w:rsidRPr="003E2A48">
        <w:t>.</w:t>
      </w:r>
    </w:p>
    <w:p w14:paraId="41321E72" w14:textId="4F14C6AA" w:rsidR="00551BCB" w:rsidRDefault="00551BCB" w:rsidP="00551BCB">
      <w:pPr>
        <w:pStyle w:val="BodyText"/>
        <w:spacing w:before="0" w:after="0" w:line="480" w:lineRule="auto"/>
      </w:pPr>
    </w:p>
    <w:p w14:paraId="6B163921" w14:textId="4C6F7A12" w:rsidR="00551BCB" w:rsidRPr="00551BCB" w:rsidRDefault="00551BCB" w:rsidP="00551BCB">
      <w:pPr>
        <w:pStyle w:val="Heading2"/>
        <w:spacing w:before="0" w:line="480" w:lineRule="auto"/>
        <w:rPr>
          <w:rFonts w:asciiTheme="minorHAnsi" w:hAnsiTheme="minorHAnsi"/>
          <w:iCs/>
          <w:color w:val="auto"/>
          <w:sz w:val="24"/>
          <w:szCs w:val="24"/>
        </w:rPr>
      </w:pPr>
      <w:r w:rsidRPr="00AB4FA7">
        <w:rPr>
          <w:rFonts w:asciiTheme="minorHAnsi" w:hAnsiTheme="minorHAnsi"/>
          <w:iCs/>
          <w:color w:val="auto"/>
          <w:sz w:val="24"/>
          <w:szCs w:val="24"/>
        </w:rPr>
        <w:t>3.</w:t>
      </w:r>
      <w:r>
        <w:rPr>
          <w:rFonts w:asciiTheme="minorHAnsi" w:hAnsiTheme="minorHAnsi"/>
          <w:iCs/>
          <w:color w:val="auto"/>
          <w:sz w:val="24"/>
          <w:szCs w:val="24"/>
        </w:rPr>
        <w:t>3</w:t>
      </w:r>
      <w:r w:rsidRPr="00AB4FA7">
        <w:rPr>
          <w:rFonts w:asciiTheme="minorHAnsi" w:hAnsiTheme="minorHAnsi"/>
          <w:iCs/>
          <w:color w:val="auto"/>
          <w:sz w:val="24"/>
          <w:szCs w:val="24"/>
        </w:rPr>
        <w:t xml:space="preserve"> </w:t>
      </w:r>
      <w:r>
        <w:rPr>
          <w:rFonts w:asciiTheme="minorHAnsi" w:hAnsiTheme="minorHAnsi"/>
          <w:iCs/>
          <w:color w:val="auto"/>
          <w:sz w:val="24"/>
          <w:szCs w:val="24"/>
        </w:rPr>
        <w:t xml:space="preserve">Dynamic linear modeling </w:t>
      </w:r>
      <w:r w:rsidR="0014506D">
        <w:rPr>
          <w:rFonts w:asciiTheme="minorHAnsi" w:hAnsiTheme="minorHAnsi"/>
          <w:iCs/>
          <w:color w:val="auto"/>
          <w:sz w:val="24"/>
          <w:szCs w:val="24"/>
        </w:rPr>
        <w:t>with</w:t>
      </w:r>
      <w:r>
        <w:rPr>
          <w:rFonts w:asciiTheme="minorHAnsi" w:hAnsiTheme="minorHAnsi"/>
          <w:iCs/>
          <w:color w:val="auto"/>
          <w:sz w:val="24"/>
          <w:szCs w:val="24"/>
        </w:rPr>
        <w:t xml:space="preserve"> SST</w:t>
      </w:r>
      <w:r w:rsidR="00816FF5">
        <w:rPr>
          <w:rFonts w:asciiTheme="minorHAnsi" w:hAnsiTheme="minorHAnsi"/>
          <w:iCs/>
          <w:color w:val="auto"/>
          <w:sz w:val="24"/>
          <w:szCs w:val="24"/>
        </w:rPr>
        <w:t>, AMO</w:t>
      </w:r>
      <w:r>
        <w:rPr>
          <w:rFonts w:asciiTheme="minorHAnsi" w:hAnsiTheme="minorHAnsi"/>
          <w:iCs/>
          <w:color w:val="auto"/>
          <w:sz w:val="24"/>
          <w:szCs w:val="24"/>
        </w:rPr>
        <w:t xml:space="preserve"> and precipitation</w:t>
      </w:r>
    </w:p>
    <w:p w14:paraId="39DE9EDD" w14:textId="616C55F1" w:rsidR="00FB7067" w:rsidRDefault="00007FDB" w:rsidP="00D96167">
      <w:pPr>
        <w:pStyle w:val="BodyText"/>
        <w:spacing w:before="0" w:after="0" w:line="480" w:lineRule="auto"/>
        <w:rPr>
          <w:rFonts w:eastAsiaTheme="minorEastAsia"/>
        </w:rPr>
      </w:pPr>
      <w:r>
        <w:t>T</w:t>
      </w:r>
      <w:r w:rsidR="00C63CB5">
        <w:t>he ICOADS SST data set does not capture the nearshore SST as accurately</w:t>
      </w:r>
      <w:r>
        <w:t xml:space="preserve"> as AVHRR</w:t>
      </w:r>
      <w:r w:rsidR="00C63CB5">
        <w:t xml:space="preserve">, and thus was not used for our main analyses. Nonetheless </w:t>
      </w:r>
      <w:r>
        <w:t xml:space="preserve">the </w:t>
      </w:r>
      <w:r w:rsidR="00624CB1">
        <w:t xml:space="preserve">ICOADS </w:t>
      </w:r>
      <w:r>
        <w:t xml:space="preserve">regional SST (as opposed to nearshore) </w:t>
      </w:r>
      <w:r w:rsidR="00C63CB5">
        <w:t xml:space="preserve">is highly correlated with the AVHRR </w:t>
      </w:r>
      <w:r>
        <w:t xml:space="preserve">regional </w:t>
      </w:r>
      <w:r w:rsidR="00C63CB5">
        <w:t>SST data (</w:t>
      </w:r>
      <w:r w:rsidR="00673C1D">
        <w:t xml:space="preserve">Supporting Information; </w:t>
      </w:r>
      <w:r w:rsidR="00C63CB5">
        <w:t>Figure S7)</w:t>
      </w:r>
      <w:r>
        <w:t xml:space="preserve">, </w:t>
      </w:r>
      <w:r w:rsidR="00C63CB5">
        <w:t xml:space="preserve">and </w:t>
      </w:r>
      <w:r>
        <w:t xml:space="preserve">the ICOADS SST data </w:t>
      </w:r>
      <w:r w:rsidR="00C63CB5">
        <w:t xml:space="preserve">extend almost </w:t>
      </w:r>
      <w:r w:rsidR="005B18FC">
        <w:t xml:space="preserve">to </w:t>
      </w:r>
      <w:r w:rsidR="00C63CB5">
        <w:t>the start of the catch time series (to 1960).</w:t>
      </w:r>
      <w:r w:rsidR="00185501">
        <w:t xml:space="preserve"> </w:t>
      </w:r>
      <w:r w:rsidR="00C71171">
        <w:t xml:space="preserve">The precipitation </w:t>
      </w:r>
      <w:r w:rsidR="0014506D">
        <w:t xml:space="preserve">data </w:t>
      </w:r>
      <w:r w:rsidR="00816FF5">
        <w:t xml:space="preserve">and AMO </w:t>
      </w:r>
      <w:r w:rsidR="0014506D">
        <w:t>index</w:t>
      </w:r>
      <w:r w:rsidR="00C71171">
        <w:t xml:space="preserve"> also extend to 1960. </w:t>
      </w:r>
      <w:r w:rsidR="00AD4FFD">
        <w:t xml:space="preserve">Using </w:t>
      </w:r>
      <w:r w:rsidR="00551BCB">
        <w:t xml:space="preserve">the </w:t>
      </w:r>
      <w:r w:rsidR="00AD4FFD">
        <w:t xml:space="preserve">dynamic linear model </w:t>
      </w:r>
      <w:r w:rsidR="00551BCB">
        <w:t>for</w:t>
      </w:r>
      <w:r w:rsidR="00AD4FFD">
        <w:t xml:space="preserve"> the October-Ma</w:t>
      </w:r>
      <w:r w:rsidR="00293521">
        <w:t>rch</w:t>
      </w:r>
      <w:r w:rsidR="00AD4FFD">
        <w:t xml:space="preserve"> catch, we examined whether the </w:t>
      </w:r>
      <w:r>
        <w:t xml:space="preserve">explanatory power (as measured by </w:t>
      </w:r>
      <w:r w:rsidR="000E696D">
        <w:t xml:space="preserve">model </w:t>
      </w:r>
      <w:r>
        <w:t>residual errors</w:t>
      </w:r>
      <w:r w:rsidR="000E696D">
        <w:t xml:space="preserve">, </w:t>
      </w:r>
      <w:r w:rsidR="00C62033">
        <w:t>i.e.,</w:t>
      </w:r>
      <w:r w:rsidR="000E696D">
        <w:t xml:space="preserve"> model fit</w:t>
      </w:r>
      <w:r>
        <w:t xml:space="preserve">) </w:t>
      </w:r>
      <w:r w:rsidR="00AD4FFD">
        <w:t>of</w:t>
      </w:r>
      <w:r w:rsidR="005D32F2">
        <w:t xml:space="preserve"> these</w:t>
      </w:r>
      <w:r w:rsidR="00AD4FFD">
        <w:t xml:space="preserve"> </w:t>
      </w:r>
      <w:r w:rsidR="00620894">
        <w:t>three covariates</w:t>
      </w:r>
      <w:r w:rsidR="00AD4FFD">
        <w:t xml:space="preserve"> changed over time.</w:t>
      </w:r>
      <w:r w:rsidR="00FB7067">
        <w:t xml:space="preserve"> T</w:t>
      </w:r>
      <w:r w:rsidR="004B5216">
        <w:t xml:space="preserve">ime-varying covariate </w:t>
      </w:r>
      <w:r w:rsidR="00AD4FFD">
        <w:t>models were fit to the residuals of the simpler base October-Ma</w:t>
      </w:r>
      <w:r w:rsidR="00293521">
        <w:t xml:space="preserve">rch </w:t>
      </w:r>
      <w:r w:rsidR="00AD4FFD">
        <w:t>catch model</w:t>
      </w:r>
      <w:r w:rsidR="00C71171">
        <w:t xml:space="preserve">; the results were very similar with the more complex October-March catch model thus </w:t>
      </w:r>
      <w:r>
        <w:t xml:space="preserve">results using </w:t>
      </w:r>
      <w:r w:rsidR="00C71171">
        <w:t xml:space="preserve">only one </w:t>
      </w:r>
      <w:r>
        <w:t xml:space="preserve">of the October-March base </w:t>
      </w:r>
      <w:r w:rsidR="00C71171">
        <w:t>model</w:t>
      </w:r>
      <w:r>
        <w:t>s</w:t>
      </w:r>
      <w:r w:rsidR="00C71171">
        <w:t xml:space="preserve"> </w:t>
      </w:r>
      <w:r w:rsidR="00624CB1">
        <w:t>are</w:t>
      </w:r>
      <w:r w:rsidR="00C71171">
        <w:t xml:space="preserve"> shown. T</w:t>
      </w:r>
      <w:r w:rsidR="00AD4FFD">
        <w:t>he covariates were z-scored (mean removed and variance standardized to 1)</w:t>
      </w:r>
      <w:r w:rsidR="000F5A5C">
        <w:t xml:space="preserve"> and included as third-order polynomial</w:t>
      </w:r>
      <w:r w:rsidR="00ED2401">
        <w:t>s</w:t>
      </w:r>
      <w:r w:rsidR="000F5A5C">
        <w:t xml:space="preserve"> to allow a non-linear response</w:t>
      </w:r>
      <w:r w:rsidR="00AD4FFD">
        <w:t xml:space="preserve">. The models took the form  </w:t>
      </w: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1,t</m:t>
            </m:r>
          </m:sub>
        </m:sSub>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β</m:t>
                </m:r>
              </m:e>
              <m:sub>
                <m:r>
                  <w:rPr>
                    <w:rFonts w:ascii="Cambria Math" w:hAnsi="Cambria Math"/>
                  </w:rPr>
                  <m:t>2,t</m:t>
                </m:r>
              </m:sub>
            </m:sSub>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3,t</m:t>
                </m:r>
              </m:sub>
            </m:sSub>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3</m:t>
                </m:r>
              </m:sup>
            </m:sSubSup>
            <m:r>
              <w:rPr>
                <w:rFonts w:ascii="Cambria Math" w:hAnsi="Cambria Math"/>
              </w:rPr>
              <m:t>+ϵ</m:t>
            </m:r>
          </m:e>
          <m:sub>
            <m:r>
              <w:rPr>
                <w:rFonts w:ascii="Cambria Math" w:hAnsi="Cambria Math"/>
              </w:rPr>
              <m:t>t</m:t>
            </m:r>
          </m:sub>
        </m:sSub>
      </m:oMath>
      <w:r w:rsidR="00AD4FFD">
        <w:rPr>
          <w:rFonts w:eastAsiaTheme="minorEastAsia"/>
        </w:rPr>
        <w:t xml:space="preserve"> </w:t>
      </w:r>
      <w:r w:rsidR="000F5A5C">
        <w:rPr>
          <w:rFonts w:eastAsiaTheme="minorEastAsia"/>
        </w:rPr>
        <w:t xml:space="preserve">where </w:t>
      </w:r>
      <w:r w:rsidR="000F5A5C" w:rsidRPr="00A40966">
        <w:rPr>
          <w:rFonts w:eastAsiaTheme="minorEastAsia"/>
          <w:i/>
        </w:rPr>
        <w:t>r</w:t>
      </w:r>
      <w:r w:rsidR="000F5A5C">
        <w:rPr>
          <w:rFonts w:eastAsiaTheme="minorEastAsia"/>
        </w:rPr>
        <w:t xml:space="preserve"> is the </w:t>
      </w:r>
      <w:r>
        <w:rPr>
          <w:rFonts w:eastAsiaTheme="minorEastAsia"/>
        </w:rPr>
        <w:t xml:space="preserve">catch </w:t>
      </w:r>
      <w:r w:rsidR="000F5A5C">
        <w:rPr>
          <w:rFonts w:eastAsiaTheme="minorEastAsia"/>
        </w:rPr>
        <w:t xml:space="preserve">residual and </w:t>
      </w:r>
      <w:r w:rsidR="000F5A5C" w:rsidRPr="00A40966">
        <w:rPr>
          <w:rFonts w:eastAsiaTheme="minorEastAsia"/>
          <w:i/>
        </w:rPr>
        <w:t>V</w:t>
      </w:r>
      <w:r w:rsidR="000F5A5C">
        <w:rPr>
          <w:rFonts w:eastAsiaTheme="minorEastAsia"/>
        </w:rPr>
        <w:t xml:space="preserve"> is the covariate</w:t>
      </w:r>
      <w:r w:rsidR="00AD4FFD">
        <w:rPr>
          <w:rFonts w:eastAsiaTheme="minorEastAsia"/>
        </w:rPr>
        <w:t xml:space="preserve">. </w:t>
      </w:r>
      <w:proofErr w:type="spellStart"/>
      <w:r w:rsidR="000C700D">
        <w:rPr>
          <w:rFonts w:eastAsiaTheme="minorEastAsia"/>
        </w:rPr>
        <w:t>The</w:t>
      </w:r>
      <w:proofErr w:type="spellEnd"/>
      <w:r w:rsidR="000C700D">
        <w:rPr>
          <w:rFonts w:eastAsiaTheme="minorEastAsia"/>
        </w:rPr>
        <w:t xml:space="preserve"> </w:t>
      </w:r>
      <w:r w:rsidR="000C700D" w:rsidRPr="00A40966">
        <w:rPr>
          <w:rFonts w:ascii="Symbol" w:eastAsiaTheme="minorEastAsia" w:hAnsi="Symbol"/>
          <w:i/>
        </w:rPr>
        <w:t></w:t>
      </w:r>
      <w:r w:rsidR="000C700D">
        <w:rPr>
          <w:rFonts w:eastAsiaTheme="minorEastAsia"/>
        </w:rPr>
        <w:t xml:space="preserve"> </w:t>
      </w:r>
      <w:r w:rsidR="00DD5689">
        <w:rPr>
          <w:rFonts w:eastAsiaTheme="minorEastAsia"/>
        </w:rPr>
        <w:t xml:space="preserve"> </w:t>
      </w:r>
      <w:r w:rsidR="000C700D">
        <w:rPr>
          <w:rFonts w:eastAsiaTheme="minorEastAsia"/>
        </w:rPr>
        <w:t>were allowed to evolve as a</w:t>
      </w:r>
      <w:r w:rsidR="00641DEC">
        <w:rPr>
          <w:rFonts w:eastAsiaTheme="minorEastAsia"/>
        </w:rPr>
        <w:t>n</w:t>
      </w:r>
      <w:r w:rsidR="000C700D">
        <w:rPr>
          <w:rFonts w:eastAsiaTheme="minorEastAsia"/>
        </w:rPr>
        <w:t xml:space="preserve"> autoregressive process</w:t>
      </w:r>
      <w:r w:rsidR="00641DEC">
        <w:rPr>
          <w:rFonts w:eastAsiaTheme="minorEastAsia"/>
        </w:rPr>
        <w:t xml:space="preserve">, </w:t>
      </w:r>
      <m:oMath>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t-1</m:t>
            </m:r>
          </m:sub>
        </m:sSub>
        <m:sSub>
          <m:sSubPr>
            <m:ctrlPr>
              <w:rPr>
                <w:rFonts w:ascii="Cambria Math" w:hAnsi="Cambria Math"/>
              </w:rPr>
            </m:ctrlPr>
          </m:sSubPr>
          <m:e>
            <m:r>
              <w:rPr>
                <w:rFonts w:ascii="Cambria Math" w:hAnsi="Cambria Math"/>
              </w:rPr>
              <m:t>+e</m:t>
            </m:r>
          </m:e>
          <m:sub>
            <m:r>
              <w:rPr>
                <w:rFonts w:ascii="Cambria Math" w:hAnsi="Cambria Math"/>
              </w:rPr>
              <m:t>t</m:t>
            </m:r>
          </m:sub>
        </m:sSub>
      </m:oMath>
      <w:r w:rsidR="00641DEC">
        <w:rPr>
          <w:rFonts w:eastAsiaTheme="minorEastAsia"/>
        </w:rPr>
        <w:t xml:space="preserve">, with </w:t>
      </w:r>
      <w:r w:rsidR="00641DEC" w:rsidRPr="00A40966">
        <w:rPr>
          <w:rFonts w:eastAsiaTheme="minorEastAsia"/>
          <w:i/>
        </w:rPr>
        <w:t>e</w:t>
      </w:r>
      <w:r w:rsidR="00641DEC" w:rsidRPr="00A40966">
        <w:rPr>
          <w:rFonts w:eastAsiaTheme="minorEastAsia"/>
          <w:i/>
          <w:vertAlign w:val="subscript"/>
        </w:rPr>
        <w:t xml:space="preserve">t </w:t>
      </w:r>
      <w:r w:rsidR="00641DEC">
        <w:rPr>
          <w:rFonts w:eastAsiaTheme="minorEastAsia"/>
        </w:rPr>
        <w:lastRenderedPageBreak/>
        <w:t>~ N(0,</w:t>
      </w:r>
      <w:r w:rsidR="00ED2401">
        <w:rPr>
          <w:rFonts w:eastAsiaTheme="minorEastAsia"/>
        </w:rPr>
        <w:t xml:space="preserve"> </w:t>
      </w:r>
      <w:r w:rsidR="00ED2401" w:rsidRPr="00A40966">
        <w:rPr>
          <w:rFonts w:ascii="Symbol" w:eastAsiaTheme="minorEastAsia" w:hAnsi="Symbol"/>
          <w:i/>
        </w:rPr>
        <w:t></w:t>
      </w:r>
      <w:r w:rsidR="00641DEC">
        <w:rPr>
          <w:rFonts w:eastAsiaTheme="minorEastAsia"/>
        </w:rPr>
        <w:t>)</w:t>
      </w:r>
      <w:r w:rsidR="000C700D">
        <w:rPr>
          <w:rFonts w:eastAsiaTheme="minorEastAsia"/>
        </w:rPr>
        <w:t xml:space="preserve">. </w:t>
      </w:r>
      <w:r w:rsidR="00D62708">
        <w:rPr>
          <w:rFonts w:eastAsiaTheme="minorEastAsia"/>
        </w:rPr>
        <w:t xml:space="preserve">The </w:t>
      </w:r>
      <w:r w:rsidR="00D62708" w:rsidRPr="00A40966">
        <w:rPr>
          <w:rFonts w:ascii="Symbol" w:eastAsiaTheme="minorEastAsia" w:hAnsi="Symbol"/>
          <w:i/>
        </w:rPr>
        <w:t></w:t>
      </w:r>
      <w:r w:rsidR="00D62708">
        <w:rPr>
          <w:rFonts w:eastAsiaTheme="minorEastAsia"/>
        </w:rPr>
        <w:t xml:space="preserve"> </w:t>
      </w:r>
      <w:r w:rsidR="0076025F">
        <w:rPr>
          <w:rFonts w:eastAsiaTheme="minorEastAsia"/>
        </w:rPr>
        <w:t xml:space="preserve"> </w:t>
      </w:r>
      <w:r w:rsidR="00D62708">
        <w:rPr>
          <w:rFonts w:eastAsiaTheme="minorEastAsia"/>
        </w:rPr>
        <w:t xml:space="preserve">was chosen such that the model complexity (time-variation) did not </w:t>
      </w:r>
      <w:r w:rsidR="00AF6F27">
        <w:rPr>
          <w:rFonts w:eastAsiaTheme="minorEastAsia"/>
        </w:rPr>
        <w:t>increase</w:t>
      </w:r>
      <w:r w:rsidR="00D62708">
        <w:rPr>
          <w:rFonts w:eastAsiaTheme="minorEastAsia"/>
        </w:rPr>
        <w:t xml:space="preserve"> out-sample-prediction error</w:t>
      </w:r>
      <w:r w:rsidR="00AF6F27">
        <w:rPr>
          <w:rFonts w:eastAsiaTheme="minorEastAsia"/>
        </w:rPr>
        <w:t xml:space="preserve"> over the base catch model (with no </w:t>
      </w:r>
      <w:r w:rsidR="00C71171">
        <w:rPr>
          <w:rFonts w:eastAsiaTheme="minorEastAsia"/>
        </w:rPr>
        <w:t xml:space="preserve">environmental </w:t>
      </w:r>
      <w:r w:rsidR="00AF6F27">
        <w:rPr>
          <w:rFonts w:eastAsiaTheme="minorEastAsia"/>
        </w:rPr>
        <w:t>covariates)</w:t>
      </w:r>
      <w:r w:rsidR="00C71171">
        <w:rPr>
          <w:rFonts w:eastAsiaTheme="minorEastAsia"/>
        </w:rPr>
        <w:t>.</w:t>
      </w:r>
      <w:r w:rsidR="00D62708">
        <w:rPr>
          <w:rFonts w:eastAsiaTheme="minorEastAsia"/>
        </w:rPr>
        <w:t xml:space="preserve"> </w:t>
      </w:r>
    </w:p>
    <w:p w14:paraId="313BE700" w14:textId="54C1959E" w:rsidR="00EB56CB" w:rsidRPr="00A40966" w:rsidRDefault="00641DEC" w:rsidP="006750A6">
      <w:pPr>
        <w:pStyle w:val="BodyText"/>
        <w:spacing w:before="0" w:after="0" w:line="480" w:lineRule="auto"/>
        <w:ind w:firstLine="360"/>
        <w:rPr>
          <w:rFonts w:eastAsiaTheme="minorEastAsia"/>
        </w:rPr>
      </w:pPr>
      <w:r>
        <w:rPr>
          <w:rFonts w:eastAsiaTheme="minorEastAsia"/>
        </w:rPr>
        <w:t>The explanatory power of the covariates</w:t>
      </w:r>
      <w:r w:rsidR="005C1A85">
        <w:rPr>
          <w:rFonts w:eastAsiaTheme="minorEastAsia"/>
        </w:rPr>
        <w:t>,</w:t>
      </w:r>
      <w:r w:rsidR="00D62708">
        <w:rPr>
          <w:rFonts w:eastAsiaTheme="minorEastAsia"/>
        </w:rPr>
        <w:t xml:space="preserve"> even when allowed to be time-varying</w:t>
      </w:r>
      <w:r w:rsidR="00C71171">
        <w:rPr>
          <w:rFonts w:eastAsiaTheme="minorEastAsia"/>
        </w:rPr>
        <w:t xml:space="preserve"> and thus flexible enough to fit </w:t>
      </w:r>
      <w:r w:rsidR="005C1A85">
        <w:rPr>
          <w:rFonts w:eastAsiaTheme="minorEastAsia"/>
        </w:rPr>
        <w:t xml:space="preserve">temporally </w:t>
      </w:r>
      <w:r w:rsidR="00C71171">
        <w:rPr>
          <w:rFonts w:eastAsiaTheme="minorEastAsia"/>
        </w:rPr>
        <w:t xml:space="preserve">local conditions, </w:t>
      </w:r>
      <w:r>
        <w:rPr>
          <w:rFonts w:eastAsiaTheme="minorEastAsia"/>
        </w:rPr>
        <w:t xml:space="preserve">changed over time. </w:t>
      </w:r>
      <w:r w:rsidR="00C71171">
        <w:rPr>
          <w:rFonts w:eastAsiaTheme="minorEastAsia"/>
        </w:rPr>
        <w:t>Up to 1990, the land precipitation did not increase model fit but did afterwards.</w:t>
      </w:r>
      <w:r w:rsidR="00D8282F">
        <w:rPr>
          <w:rFonts w:eastAsiaTheme="minorEastAsia"/>
        </w:rPr>
        <w:t xml:space="preserve"> </w:t>
      </w:r>
      <w:r w:rsidR="00C71171">
        <w:rPr>
          <w:rFonts w:eastAsiaTheme="minorEastAsia"/>
        </w:rPr>
        <w:t xml:space="preserve">The 2.5-year average regional SST </w:t>
      </w:r>
      <w:r w:rsidR="00421408">
        <w:rPr>
          <w:rFonts w:eastAsiaTheme="minorEastAsia"/>
        </w:rPr>
        <w:t xml:space="preserve">and AMO </w:t>
      </w:r>
      <w:r w:rsidR="0014506D">
        <w:rPr>
          <w:rFonts w:eastAsiaTheme="minorEastAsia"/>
        </w:rPr>
        <w:t xml:space="preserve">index </w:t>
      </w:r>
      <w:r w:rsidR="00C71171">
        <w:rPr>
          <w:rFonts w:eastAsiaTheme="minorEastAsia"/>
        </w:rPr>
        <w:t>improved the model fit over the entire time series (</w:t>
      </w:r>
      <w:r w:rsidR="00B360D9">
        <w:rPr>
          <w:rFonts w:eastAsiaTheme="minorEastAsia"/>
        </w:rPr>
        <w:t xml:space="preserve">meaning </w:t>
      </w:r>
      <w:r w:rsidR="00C71171">
        <w:rPr>
          <w:rFonts w:eastAsiaTheme="minorEastAsia"/>
        </w:rPr>
        <w:t xml:space="preserve">the covariate RMSE line was below that of the model with no covariates), but especially so from the </w:t>
      </w:r>
      <w:r w:rsidR="006750A6">
        <w:rPr>
          <w:rFonts w:eastAsiaTheme="minorEastAsia"/>
        </w:rPr>
        <w:t xml:space="preserve">mid-1980s to late-1990s (Figure </w:t>
      </w:r>
      <w:r w:rsidR="00421408">
        <w:rPr>
          <w:rFonts w:eastAsiaTheme="minorEastAsia"/>
        </w:rPr>
        <w:t>8</w:t>
      </w:r>
      <w:r w:rsidR="006750A6">
        <w:rPr>
          <w:rFonts w:eastAsiaTheme="minorEastAsia"/>
        </w:rPr>
        <w:t>).</w:t>
      </w:r>
    </w:p>
    <w:p w14:paraId="4BFF7638" w14:textId="77777777" w:rsidR="00185159" w:rsidRDefault="00185159" w:rsidP="00354701">
      <w:pPr>
        <w:pStyle w:val="Heading1"/>
        <w:spacing w:before="0" w:line="480" w:lineRule="auto"/>
        <w:rPr>
          <w:rFonts w:asciiTheme="minorHAnsi" w:hAnsiTheme="minorHAnsi"/>
          <w:color w:val="auto"/>
          <w:sz w:val="24"/>
          <w:szCs w:val="24"/>
        </w:rPr>
      </w:pPr>
      <w:bookmarkStart w:id="14" w:name="discussion"/>
    </w:p>
    <w:p w14:paraId="5CA8FAD1" w14:textId="223D9687"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4 </w:t>
      </w:r>
      <w:r w:rsidRPr="003E2A48">
        <w:rPr>
          <w:rFonts w:asciiTheme="minorHAnsi" w:hAnsiTheme="minorHAnsi"/>
          <w:color w:val="auto"/>
          <w:sz w:val="24"/>
          <w:szCs w:val="24"/>
        </w:rPr>
        <w:t>DISCUSSION</w:t>
      </w:r>
      <w:bookmarkEnd w:id="14"/>
    </w:p>
    <w:p w14:paraId="402A71A4" w14:textId="6C64070B" w:rsidR="00641D83" w:rsidRDefault="008030A4" w:rsidP="008D7994">
      <w:pPr>
        <w:pStyle w:val="BodyText"/>
        <w:spacing w:before="0" w:after="0" w:line="480" w:lineRule="auto"/>
      </w:pPr>
      <w:r>
        <w:t xml:space="preserve">Our results indicate that successful modeling of </w:t>
      </w:r>
      <w:r w:rsidR="009408CC">
        <w:t xml:space="preserve">Indian </w:t>
      </w:r>
      <w:r>
        <w:t xml:space="preserve">oil sardine catch depends on the </w:t>
      </w:r>
      <w:r w:rsidR="0076025F">
        <w:t xml:space="preserve">catch </w:t>
      </w:r>
      <w:r>
        <w:t>season of interest (monsoon versus post-monsoon) and selection of the environmental covariate to use in the model. All the covariates we tested were tied to environmental conditions known to impact key life</w:t>
      </w:r>
      <w:r w:rsidR="00F27F87">
        <w:t>-stages</w:t>
      </w:r>
      <w:r>
        <w:t xml:space="preserve"> of the oil sardine. </w:t>
      </w:r>
      <w:r w:rsidR="004D1AC1">
        <w:t xml:space="preserve">However only two </w:t>
      </w:r>
      <w:r w:rsidR="00905F2F">
        <w:t xml:space="preserve">regional </w:t>
      </w:r>
      <w:r w:rsidR="004D1AC1">
        <w:t>covariates, the multiyear average regional SST and the monsoon rainfall over land</w:t>
      </w:r>
      <w:r w:rsidR="00985099">
        <w:t>, and</w:t>
      </w:r>
      <w:r w:rsidR="004D1AC1">
        <w:t xml:space="preserve"> </w:t>
      </w:r>
      <w:r w:rsidR="00905F2F">
        <w:t>one ocean climate index, the Atlantic Multidecadal Oscillation</w:t>
      </w:r>
      <w:r w:rsidR="00985099">
        <w:t xml:space="preserve"> index</w:t>
      </w:r>
      <w:r w:rsidR="00601B5C">
        <w:t xml:space="preserve">, improved </w:t>
      </w:r>
      <w:r w:rsidR="00985099">
        <w:t xml:space="preserve">both model fit and </w:t>
      </w:r>
      <w:r w:rsidR="004D1AC1">
        <w:t>out</w:t>
      </w:r>
      <w:r w:rsidR="00CD66B4">
        <w:t>-</w:t>
      </w:r>
      <w:r w:rsidR="004D1AC1">
        <w:t>of</w:t>
      </w:r>
      <w:r w:rsidR="00CD66B4">
        <w:t>-</w:t>
      </w:r>
      <w:r w:rsidR="004D1AC1">
        <w:t xml:space="preserve">sample prediction. </w:t>
      </w:r>
    </w:p>
    <w:p w14:paraId="3C1ADD6E" w14:textId="77777777" w:rsidR="004D1AC1" w:rsidRDefault="004D1AC1" w:rsidP="008D7994">
      <w:pPr>
        <w:pStyle w:val="BodyText"/>
        <w:spacing w:before="0" w:after="0" w:line="480" w:lineRule="auto"/>
      </w:pPr>
    </w:p>
    <w:p w14:paraId="315F0CFE" w14:textId="143AEC55" w:rsidR="008030A4" w:rsidRPr="00A40966" w:rsidRDefault="008030A4" w:rsidP="008D7994">
      <w:pPr>
        <w:pStyle w:val="BodyText"/>
        <w:spacing w:before="0" w:after="0" w:line="480" w:lineRule="auto"/>
        <w:rPr>
          <w:b/>
        </w:rPr>
      </w:pPr>
      <w:r w:rsidRPr="00A40966">
        <w:rPr>
          <w:b/>
        </w:rPr>
        <w:t>4.1 Monsoon versus post-monsoon model performance</w:t>
      </w:r>
    </w:p>
    <w:p w14:paraId="6C2739D4" w14:textId="5289DB22" w:rsidR="0082679E" w:rsidRDefault="0082679E" w:rsidP="008D7994">
      <w:pPr>
        <w:pStyle w:val="BodyText"/>
        <w:spacing w:before="0" w:after="0" w:line="480" w:lineRule="auto"/>
      </w:pPr>
      <w:r>
        <w:t>The Ju</w:t>
      </w:r>
      <w:r w:rsidR="00C81382">
        <w:t>ly</w:t>
      </w:r>
      <w:r>
        <w:t xml:space="preserve">-September catch, which overlaps with the </w:t>
      </w:r>
      <w:r w:rsidR="00FF7DA9">
        <w:t xml:space="preserve">summer </w:t>
      </w:r>
      <w:r>
        <w:t xml:space="preserve">monsoon and a seasonal fishery closure, is difficult to model. The best </w:t>
      </w:r>
      <w:r w:rsidR="001E6089">
        <w:t xml:space="preserve">July-September </w:t>
      </w:r>
      <w:r>
        <w:t xml:space="preserve">models with </w:t>
      </w:r>
      <w:r w:rsidR="005A53C7">
        <w:t xml:space="preserve">only </w:t>
      </w:r>
      <w:r>
        <w:t xml:space="preserve">prior catch as a covariate explained less than </w:t>
      </w:r>
      <w:r w:rsidR="002622DC">
        <w:t>22</w:t>
      </w:r>
      <w:r>
        <w:t>% of the variation</w:t>
      </w:r>
      <w:r w:rsidR="0034471F">
        <w:t xml:space="preserve"> while t</w:t>
      </w:r>
      <w:r>
        <w:t xml:space="preserve">he best model with </w:t>
      </w:r>
      <w:r>
        <w:lastRenderedPageBreak/>
        <w:t xml:space="preserve">environmental covariates </w:t>
      </w:r>
      <w:r w:rsidR="0034471F">
        <w:t xml:space="preserve">explained </w:t>
      </w:r>
      <w:r w:rsidR="001E6089">
        <w:t xml:space="preserve">only </w:t>
      </w:r>
      <w:r w:rsidR="0034471F">
        <w:t>4</w:t>
      </w:r>
      <w:r w:rsidR="00141852">
        <w:t>7</w:t>
      </w:r>
      <w:r w:rsidR="0034471F">
        <w:t xml:space="preserve">% of the variation </w:t>
      </w:r>
      <w:r w:rsidR="005F20FB">
        <w:t>and had</w:t>
      </w:r>
      <w:r w:rsidR="0034471F">
        <w:t xml:space="preserve"> median out</w:t>
      </w:r>
      <w:r w:rsidR="00CD66B4">
        <w:t>-</w:t>
      </w:r>
      <w:r w:rsidR="009408CC">
        <w:t>of</w:t>
      </w:r>
      <w:r w:rsidR="00CD66B4">
        <w:t>-</w:t>
      </w:r>
      <w:r w:rsidR="0034471F">
        <w:t xml:space="preserve">sample </w:t>
      </w:r>
      <w:r w:rsidR="009408CC">
        <w:t>prediction</w:t>
      </w:r>
      <w:r w:rsidR="0034471F">
        <w:t xml:space="preserve"> errors of +/-65% (of </w:t>
      </w:r>
      <w:r w:rsidR="00C4548C">
        <w:t>raw, not log-transformed,</w:t>
      </w:r>
      <w:r w:rsidR="0034471F">
        <w:t xml:space="preserve"> catch).</w:t>
      </w:r>
      <w:r w:rsidR="00D8282F">
        <w:t xml:space="preserve"> </w:t>
      </w:r>
      <w:r w:rsidR="00C81382">
        <w:t xml:space="preserve">We found </w:t>
      </w:r>
      <w:r w:rsidR="00141852">
        <w:t>only one</w:t>
      </w:r>
      <w:r w:rsidR="00C81382">
        <w:t xml:space="preserve"> covariate that improved the </w:t>
      </w:r>
      <w:r w:rsidR="009408CC">
        <w:t>root mean squared</w:t>
      </w:r>
      <w:r w:rsidR="00C81382">
        <w:t xml:space="preserve"> </w:t>
      </w:r>
      <w:r w:rsidR="009408CC">
        <w:t>out</w:t>
      </w:r>
      <w:r w:rsidR="00CD66B4">
        <w:t>-</w:t>
      </w:r>
      <w:r w:rsidR="009408CC">
        <w:t>of</w:t>
      </w:r>
      <w:r w:rsidR="00CD66B4">
        <w:t>-</w:t>
      </w:r>
      <w:r w:rsidR="009408CC">
        <w:t xml:space="preserve">sample </w:t>
      </w:r>
      <w:r w:rsidR="00C81382">
        <w:t>prediction error</w:t>
      </w:r>
      <w:r w:rsidR="009408CC">
        <w:t xml:space="preserve"> </w:t>
      </w:r>
      <w:r w:rsidR="00B36260">
        <w:t xml:space="preserve">for the July-September catch </w:t>
      </w:r>
      <w:r w:rsidR="009408CC">
        <w:t>(</w:t>
      </w:r>
      <w:r w:rsidR="0014506D">
        <w:t xml:space="preserve">the </w:t>
      </w:r>
      <w:r w:rsidR="00141852">
        <w:t>AMO i</w:t>
      </w:r>
      <w:r w:rsidR="0014506D">
        <w:t>ndex</w:t>
      </w:r>
      <w:r w:rsidR="009408CC">
        <w:t>)</w:t>
      </w:r>
      <w:r w:rsidR="00141852">
        <w:t>, though a number improved median out-of-sample prediction error</w:t>
      </w:r>
      <w:r w:rsidR="00C81382">
        <w:t xml:space="preserve">. </w:t>
      </w:r>
      <w:r w:rsidR="0034471F">
        <w:t>In contrast</w:t>
      </w:r>
      <w:r w:rsidR="005F20FB">
        <w:t>,</w:t>
      </w:r>
      <w:r w:rsidR="0034471F">
        <w:t xml:space="preserve"> </w:t>
      </w:r>
      <w:r w:rsidR="0056224A">
        <w:t>variation in the</w:t>
      </w:r>
      <w:r w:rsidR="0034471F">
        <w:t xml:space="preserve"> post-monsoon catch (October-Ma</w:t>
      </w:r>
      <w:r w:rsidR="00293521">
        <w:t>rch</w:t>
      </w:r>
      <w:r w:rsidR="0034471F">
        <w:t xml:space="preserve">) was much better explained. The </w:t>
      </w:r>
      <w:r w:rsidR="00B36260">
        <w:t xml:space="preserve">simpler </w:t>
      </w:r>
      <w:r w:rsidR="0034471F">
        <w:t xml:space="preserve">model with only prior catch as a covariate explained </w:t>
      </w:r>
      <w:r w:rsidR="00B36260">
        <w:t>4</w:t>
      </w:r>
      <w:r w:rsidR="009C717A">
        <w:t>5.9</w:t>
      </w:r>
      <w:r w:rsidR="0034471F">
        <w:t xml:space="preserve">% of the variation and </w:t>
      </w:r>
      <w:r w:rsidR="005F20FB">
        <w:t xml:space="preserve">the model </w:t>
      </w:r>
      <w:r w:rsidR="0034471F">
        <w:t xml:space="preserve">with the best covariate, explained </w:t>
      </w:r>
      <w:r w:rsidR="006C178B">
        <w:t>6</w:t>
      </w:r>
      <w:r w:rsidR="009C717A">
        <w:t>5.9</w:t>
      </w:r>
      <w:r w:rsidR="0034471F">
        <w:t xml:space="preserve">%. </w:t>
      </w:r>
      <w:r w:rsidR="00C81382">
        <w:t xml:space="preserve">The best environmental covariate reduced the </w:t>
      </w:r>
      <w:r w:rsidR="00FF7DA9">
        <w:t xml:space="preserve">out-of-sample </w:t>
      </w:r>
      <w:r w:rsidR="00C81382">
        <w:t xml:space="preserve">prediction errors </w:t>
      </w:r>
      <w:r w:rsidR="00141852">
        <w:t xml:space="preserve">(RMSE and </w:t>
      </w:r>
      <w:proofErr w:type="spellStart"/>
      <w:r w:rsidR="00753F61">
        <w:t>MdAE</w:t>
      </w:r>
      <w:proofErr w:type="spellEnd"/>
      <w:r w:rsidR="00141852">
        <w:t xml:space="preserve">) </w:t>
      </w:r>
      <w:r w:rsidR="00C81382">
        <w:t xml:space="preserve">by </w:t>
      </w:r>
      <w:r w:rsidR="006C178B">
        <w:t>ca.</w:t>
      </w:r>
      <w:r w:rsidR="00C81382">
        <w:t xml:space="preserve"> 20%</w:t>
      </w:r>
      <w:r w:rsidR="00F05183">
        <w:t xml:space="preserve"> and explained two of the four recent catch collapses</w:t>
      </w:r>
      <w:r w:rsidR="004337C3">
        <w:t>.</w:t>
      </w:r>
    </w:p>
    <w:p w14:paraId="4FFCA86B" w14:textId="44734591" w:rsidR="004D1AC1" w:rsidRDefault="004D1AC1" w:rsidP="00641D83">
      <w:pPr>
        <w:pStyle w:val="BodyText"/>
        <w:spacing w:before="0" w:after="0" w:line="480" w:lineRule="auto"/>
        <w:ind w:firstLine="360"/>
      </w:pPr>
      <w:r>
        <w:t xml:space="preserve">This result cautions against modeling </w:t>
      </w:r>
      <w:r w:rsidR="00D943D1">
        <w:t>all quarters of</w:t>
      </w:r>
      <w:r>
        <w:t xml:space="preserve"> oil sardine catch </w:t>
      </w:r>
      <w:r w:rsidR="00D943D1">
        <w:t>together (</w:t>
      </w:r>
      <w:r w:rsidR="00641D83">
        <w:t xml:space="preserve">as </w:t>
      </w:r>
      <w:r w:rsidR="00FF7DA9">
        <w:t xml:space="preserve">one </w:t>
      </w:r>
      <w:r w:rsidR="00D943D1">
        <w:t>yearly catch)</w:t>
      </w:r>
      <w:r w:rsidR="00641D83">
        <w:t xml:space="preserve">. </w:t>
      </w:r>
      <w:r w:rsidR="00641D83" w:rsidRPr="00413B3A">
        <w:t>The J</w:t>
      </w:r>
      <w:r w:rsidR="00641D83" w:rsidRPr="003E2A48">
        <w:t>ul</w:t>
      </w:r>
      <w:r w:rsidR="00641D83">
        <w:t>y–</w:t>
      </w:r>
      <w:r w:rsidR="00641D83" w:rsidRPr="003E2A48">
        <w:t>Sep</w:t>
      </w:r>
      <w:r w:rsidR="00641D83">
        <w:t>tember</w:t>
      </w:r>
      <w:r w:rsidR="00641D83" w:rsidRPr="003E2A48">
        <w:t xml:space="preserve"> catch is difficult to </w:t>
      </w:r>
      <w:r w:rsidR="00641D83">
        <w:t>model, as it exhibits</w:t>
      </w:r>
      <w:r w:rsidR="00641D83" w:rsidRPr="003E2A48">
        <w:t xml:space="preserve"> high variability that is poorly explained by past catch</w:t>
      </w:r>
      <w:r w:rsidR="00641D83">
        <w:t>es</w:t>
      </w:r>
      <w:r w:rsidR="00641D83" w:rsidRPr="003E2A48">
        <w:t xml:space="preserve"> or environment</w:t>
      </w:r>
      <w:r w:rsidR="00641D83">
        <w:t>al factors</w:t>
      </w:r>
      <w:r w:rsidR="00641D83" w:rsidRPr="003E2A48">
        <w:t xml:space="preserve">. </w:t>
      </w:r>
      <w:r w:rsidR="00395DCC">
        <w:t>The reasons for this are likely a combination of variable spawning timing which affects the timing of movement of adults into the nearshore where they are exposed to the fishery, the summer monsoon which affects fishing operations, and the fishery closure</w:t>
      </w:r>
      <w:r w:rsidR="00901CDC">
        <w:t xml:space="preserve"> during part of this period. </w:t>
      </w:r>
      <w:r w:rsidR="00641D83" w:rsidRPr="003E2A48">
        <w:t>In contrast, the Oct</w:t>
      </w:r>
      <w:r w:rsidR="00641D83">
        <w:t>ober–</w:t>
      </w:r>
      <w:r w:rsidR="00641D83" w:rsidRPr="003E2A48">
        <w:t>Mar</w:t>
      </w:r>
      <w:r w:rsidR="00641D83">
        <w:t>ch</w:t>
      </w:r>
      <w:r w:rsidR="00641D83" w:rsidRPr="003E2A48">
        <w:t xml:space="preserve"> catch</w:t>
      </w:r>
      <w:r w:rsidR="00901CDC">
        <w:t>, which comprises 60-80% of the catch from July to June,</w:t>
      </w:r>
      <w:r w:rsidR="00641D83" w:rsidRPr="003E2A48">
        <w:t xml:space="preserve"> is much better explained</w:t>
      </w:r>
      <w:r w:rsidR="00FF7DA9">
        <w:t>,</w:t>
      </w:r>
      <w:r w:rsidR="00641D83" w:rsidRPr="003E2A48">
        <w:t xml:space="preserve"> </w:t>
      </w:r>
      <w:r w:rsidR="0056224A">
        <w:t xml:space="preserve">and </w:t>
      </w:r>
      <w:r w:rsidR="00901CDC">
        <w:t>i</w:t>
      </w:r>
      <w:r w:rsidR="00985099">
        <w:t>t</w:t>
      </w:r>
      <w:r w:rsidR="00901CDC">
        <w:t>s</w:t>
      </w:r>
      <w:r w:rsidR="0056224A">
        <w:t xml:space="preserve"> forecasts have </w:t>
      </w:r>
      <w:r w:rsidR="00641D83">
        <w:t>smaller</w:t>
      </w:r>
      <w:r w:rsidR="00641D83" w:rsidRPr="003E2A48">
        <w:t xml:space="preserve"> </w:t>
      </w:r>
      <w:r w:rsidR="00641D83">
        <w:t>predictive</w:t>
      </w:r>
      <w:r w:rsidR="00641D83" w:rsidRPr="003E2A48">
        <w:t xml:space="preserve"> errors.</w:t>
      </w:r>
      <w:r w:rsidR="00641D83">
        <w:t xml:space="preserve"> </w:t>
      </w:r>
      <w:r w:rsidR="00985099">
        <w:t>Forecasting all quarters</w:t>
      </w:r>
      <w:r w:rsidR="00641D83">
        <w:t xml:space="preserve"> together </w:t>
      </w:r>
      <w:r w:rsidR="00985099">
        <w:t xml:space="preserve">as a yearly catch </w:t>
      </w:r>
      <w:r w:rsidR="00641D83">
        <w:t xml:space="preserve">means that the high variability in the </w:t>
      </w:r>
      <w:r w:rsidR="001E6089">
        <w:t xml:space="preserve">July-September </w:t>
      </w:r>
      <w:r w:rsidR="00641D83">
        <w:t xml:space="preserve">catch will hide the predictability of the </w:t>
      </w:r>
      <w:r w:rsidR="00901CDC">
        <w:t xml:space="preserve">subsequent </w:t>
      </w:r>
      <w:r w:rsidR="00641D83">
        <w:t>October</w:t>
      </w:r>
      <w:r w:rsidR="006D7FDC">
        <w:t>-</w:t>
      </w:r>
      <w:r w:rsidR="00641D83">
        <w:t>Ma</w:t>
      </w:r>
      <w:r w:rsidR="00F05183">
        <w:t>rch catch</w:t>
      </w:r>
      <w:r w:rsidR="00901CDC">
        <w:t>.</w:t>
      </w:r>
    </w:p>
    <w:p w14:paraId="63FABF39" w14:textId="77777777" w:rsidR="00901E08" w:rsidRDefault="00901E08" w:rsidP="00A40966">
      <w:pPr>
        <w:pStyle w:val="BodyText"/>
        <w:spacing w:before="0" w:after="0" w:line="480" w:lineRule="auto"/>
        <w:ind w:firstLine="360"/>
      </w:pPr>
    </w:p>
    <w:p w14:paraId="49661E50" w14:textId="63A34D49" w:rsidR="0082679E" w:rsidRPr="00A40966" w:rsidRDefault="0082679E" w:rsidP="008D7994">
      <w:pPr>
        <w:pStyle w:val="BodyText"/>
        <w:spacing w:before="0" w:after="0" w:line="480" w:lineRule="auto"/>
        <w:rPr>
          <w:b/>
        </w:rPr>
      </w:pPr>
      <w:r w:rsidRPr="00A40966">
        <w:rPr>
          <w:b/>
        </w:rPr>
        <w:t>4.</w:t>
      </w:r>
      <w:r w:rsidR="00DF17F9">
        <w:rPr>
          <w:b/>
        </w:rPr>
        <w:t xml:space="preserve">2 </w:t>
      </w:r>
      <w:r w:rsidR="00114602">
        <w:rPr>
          <w:b/>
        </w:rPr>
        <w:t>Sea surface temperature</w:t>
      </w:r>
    </w:p>
    <w:p w14:paraId="7D722501" w14:textId="3535CA95" w:rsidR="008E2806" w:rsidRDefault="008E2806" w:rsidP="008E2806">
      <w:pPr>
        <w:pStyle w:val="BodyText"/>
        <w:spacing w:before="0" w:after="0" w:line="480" w:lineRule="auto"/>
      </w:pPr>
      <w:r w:rsidRPr="006A6A34">
        <w:t xml:space="preserve">The SST in October–December, the period of larval and early juvenile development, may affect survival and growth in multiple ways and thus correlate with biomass in future </w:t>
      </w:r>
      <w:r w:rsidRPr="006A6A34">
        <w:lastRenderedPageBreak/>
        <w:t>years.</w:t>
      </w:r>
      <w:r w:rsidRPr="003E2A48">
        <w:t xml:space="preserve"> </w:t>
      </w:r>
      <w:r>
        <w:t xml:space="preserve">In some years, extreme heat events occur in </w:t>
      </w:r>
      <w:r w:rsidRPr="006A6A34">
        <w:t>March–May</w:t>
      </w:r>
      <w:r>
        <w:t xml:space="preserve"> during the period of egg </w:t>
      </w:r>
      <w:r w:rsidR="00C4548C">
        <w:t>maturation</w:t>
      </w:r>
      <w:r>
        <w:t xml:space="preserve"> which may affect spawning and thus the current year and future biomass. However, w</w:t>
      </w:r>
      <w:r w:rsidRPr="006A6A34">
        <w:t>e found no correlation of th</w:t>
      </w:r>
      <w:r>
        <w:t>ese seasonal SST</w:t>
      </w:r>
      <w:r w:rsidRPr="006A6A34">
        <w:t xml:space="preserve"> covariate</w:t>
      </w:r>
      <w:r>
        <w:t>s</w:t>
      </w:r>
      <w:r w:rsidRPr="006A6A34">
        <w:t xml:space="preserve"> with the July–September </w:t>
      </w:r>
      <w:r>
        <w:t xml:space="preserve">or October-March </w:t>
      </w:r>
      <w:r w:rsidRPr="006A6A34">
        <w:t>catch</w:t>
      </w:r>
      <w:r>
        <w:t xml:space="preserve"> in the current or future years</w:t>
      </w:r>
      <w:r w:rsidRPr="006A6A34">
        <w:t xml:space="preserve">. </w:t>
      </w:r>
    </w:p>
    <w:p w14:paraId="70608CFB" w14:textId="3CF5A8BF" w:rsidR="00D943D1" w:rsidRDefault="0048723F" w:rsidP="008E2806">
      <w:pPr>
        <w:pStyle w:val="BodyText"/>
        <w:spacing w:before="0" w:after="0" w:line="480" w:lineRule="auto"/>
        <w:ind w:firstLine="360"/>
      </w:pPr>
      <w:r>
        <w:t>Instead</w:t>
      </w:r>
      <w:r w:rsidR="008E2806">
        <w:t xml:space="preserve">, we found that the </w:t>
      </w:r>
      <w:r w:rsidR="00985099">
        <w:t xml:space="preserve">regional </w:t>
      </w:r>
      <w:r w:rsidR="008E2806">
        <w:t xml:space="preserve">SST averaged over the prior 2.5 years (January </w:t>
      </w:r>
      <w:r w:rsidR="008E2806" w:rsidRPr="008E2806">
        <w:rPr>
          <w:i/>
          <w:iCs/>
        </w:rPr>
        <w:t>t-2</w:t>
      </w:r>
      <w:r w:rsidR="008E2806">
        <w:t xml:space="preserve"> to June </w:t>
      </w:r>
      <w:r w:rsidR="008E2806" w:rsidRPr="008E2806">
        <w:rPr>
          <w:i/>
          <w:iCs/>
        </w:rPr>
        <w:t>t</w:t>
      </w:r>
      <w:r w:rsidR="008E2806">
        <w:t xml:space="preserve">), corresponding to the lifespan of an oil sardine, emerged as a consistently informative SST covariate. </w:t>
      </w:r>
      <w:r w:rsidR="00FF7DA9">
        <w:t>T</w:t>
      </w:r>
      <w:r w:rsidR="00641D83">
        <w:t>he multi</w:t>
      </w:r>
      <w:r w:rsidR="009408CC">
        <w:t xml:space="preserve">year </w:t>
      </w:r>
      <w:r w:rsidR="00641D83">
        <w:t xml:space="preserve">average regional SST explained variability in </w:t>
      </w:r>
      <w:r w:rsidR="00A63A39">
        <w:t xml:space="preserve">the </w:t>
      </w:r>
      <w:r w:rsidR="00641D83">
        <w:t xml:space="preserve">oil sardine landings </w:t>
      </w:r>
      <w:r w:rsidR="00114602">
        <w:t xml:space="preserve">and improved out-of-sample catch prediction. </w:t>
      </w:r>
      <w:r w:rsidR="00901E08">
        <w:t>S</w:t>
      </w:r>
      <w:r w:rsidR="00641D83" w:rsidRPr="003E2A48">
        <w:t xml:space="preserve">tudies </w:t>
      </w:r>
      <w:r w:rsidR="00641D83">
        <w:t xml:space="preserve">conducted </w:t>
      </w:r>
      <w:r w:rsidR="00641D83" w:rsidRPr="003E2A48">
        <w:t xml:space="preserve">in the California Current System have </w:t>
      </w:r>
      <w:r w:rsidR="00901E08">
        <w:t>also found that</w:t>
      </w:r>
      <w:r w:rsidR="00641D83">
        <w:t xml:space="preserve"> the multiyear average SST</w:t>
      </w:r>
      <w:r w:rsidR="00641D83" w:rsidRPr="003E2A48">
        <w:t xml:space="preserve"> explains year-to-year variability in Pacific sardine recruitment (Checkley</w:t>
      </w:r>
      <w:r w:rsidR="00641D83">
        <w:t>,</w:t>
      </w:r>
      <w:r w:rsidR="00641D83" w:rsidRPr="0065024E">
        <w:t xml:space="preserve"> </w:t>
      </w:r>
      <w:proofErr w:type="spellStart"/>
      <w:r w:rsidR="00641D83" w:rsidRPr="003E2A48">
        <w:t>Alheit</w:t>
      </w:r>
      <w:proofErr w:type="spellEnd"/>
      <w:r w:rsidR="00641D83" w:rsidRPr="003E2A48">
        <w:t>, Oozeki, &amp; Roy</w:t>
      </w:r>
      <w:r w:rsidR="00641D83">
        <w:t>,</w:t>
      </w:r>
      <w:r w:rsidR="00641D83" w:rsidRPr="003E2A48">
        <w:t xml:space="preserve"> 2009</w:t>
      </w:r>
      <w:r w:rsidR="00641D83">
        <w:t>; Checkley et al.,</w:t>
      </w:r>
      <w:r w:rsidR="00641D83" w:rsidRPr="003E2A48">
        <w:t xml:space="preserve"> 2017; Jacobson &amp; </w:t>
      </w:r>
      <w:proofErr w:type="spellStart"/>
      <w:r w:rsidR="00641D83" w:rsidRPr="003E2A48">
        <w:t>MacCall</w:t>
      </w:r>
      <w:proofErr w:type="spellEnd"/>
      <w:r w:rsidR="00641D83" w:rsidRPr="003E2A48">
        <w:t xml:space="preserve">, 1995; </w:t>
      </w:r>
      <w:proofErr w:type="spellStart"/>
      <w:r w:rsidR="00641D83" w:rsidRPr="003E2A48">
        <w:t>Lindegren</w:t>
      </w:r>
      <w:proofErr w:type="spellEnd"/>
      <w:r w:rsidR="00641D83" w:rsidRPr="003E2A48">
        <w:t xml:space="preserve"> &amp; Checkley, 201</w:t>
      </w:r>
      <w:r w:rsidR="00C4548C">
        <w:t>3</w:t>
      </w:r>
      <w:r w:rsidR="00641D83" w:rsidRPr="003E2A48">
        <w:t xml:space="preserve">). </w:t>
      </w:r>
      <w:r w:rsidR="00641D83">
        <w:t>This covariate has also been found to correlate with southern African sardine recruitmen</w:t>
      </w:r>
      <w:r w:rsidR="00641D83" w:rsidRPr="00A7331B">
        <w:t>t (</w:t>
      </w:r>
      <w:r w:rsidR="00641D83" w:rsidRPr="008D7994">
        <w:t xml:space="preserve">Boyer, Boyer, Fossen, &amp; </w:t>
      </w:r>
      <w:proofErr w:type="spellStart"/>
      <w:r w:rsidR="00641D83" w:rsidRPr="008D7994">
        <w:t>Kreiner</w:t>
      </w:r>
      <w:proofErr w:type="spellEnd"/>
      <w:r w:rsidR="00641D83" w:rsidRPr="008D7994">
        <w:t>, 2001</w:t>
      </w:r>
      <w:r w:rsidR="00641D83" w:rsidRPr="00A7331B">
        <w:t xml:space="preserve">). </w:t>
      </w:r>
      <w:proofErr w:type="spellStart"/>
      <w:r w:rsidR="00641D83" w:rsidRPr="003E2A48">
        <w:t>McClatchie</w:t>
      </w:r>
      <w:proofErr w:type="spellEnd"/>
      <w:r w:rsidR="00641D83">
        <w:t>,</w:t>
      </w:r>
      <w:r w:rsidR="00641D83" w:rsidRPr="0065024E">
        <w:t xml:space="preserve"> </w:t>
      </w:r>
      <w:proofErr w:type="spellStart"/>
      <w:r w:rsidR="00641D83" w:rsidRPr="003E2A48">
        <w:t>Goericke</w:t>
      </w:r>
      <w:proofErr w:type="spellEnd"/>
      <w:r w:rsidR="00641D83" w:rsidRPr="003E2A48">
        <w:t xml:space="preserve">, </w:t>
      </w:r>
      <w:proofErr w:type="spellStart"/>
      <w:r w:rsidR="00641D83" w:rsidRPr="003E2A48">
        <w:t>Auad</w:t>
      </w:r>
      <w:proofErr w:type="spellEnd"/>
      <w:r w:rsidR="00641D83" w:rsidRPr="003E2A48">
        <w:t xml:space="preserve">, </w:t>
      </w:r>
      <w:r w:rsidR="00641D83">
        <w:t xml:space="preserve">and </w:t>
      </w:r>
      <w:r w:rsidR="00641D83" w:rsidRPr="003E2A48">
        <w:t xml:space="preserve">Hill (2010) found no relationship </w:t>
      </w:r>
      <w:r w:rsidR="00641D83">
        <w:t>between</w:t>
      </w:r>
      <w:r w:rsidR="00641D83" w:rsidRPr="003E2A48">
        <w:t xml:space="preserve"> SST and Pacific sardine recruitment</w:t>
      </w:r>
      <w:r w:rsidR="00DB7369">
        <w:t>;</w:t>
      </w:r>
      <w:r w:rsidR="00FF7DA9">
        <w:t xml:space="preserve"> </w:t>
      </w:r>
      <w:r w:rsidR="005F20FB">
        <w:t>however</w:t>
      </w:r>
      <w:r w:rsidR="00DB7369">
        <w:t>,</w:t>
      </w:r>
      <w:r w:rsidR="005F20FB">
        <w:t xml:space="preserve"> </w:t>
      </w:r>
      <w:r w:rsidR="00641D83">
        <w:t xml:space="preserve">they examined this relationship linearly; in the present study, as in the other cited studies, allowance of non-linearity </w:t>
      </w:r>
      <w:r w:rsidR="00CC53B1">
        <w:t>in the SST effect was important</w:t>
      </w:r>
      <w:r w:rsidR="00641D83" w:rsidRPr="003E2A48">
        <w:t>.</w:t>
      </w:r>
      <w:r w:rsidR="00641D83">
        <w:t xml:space="preserve"> </w:t>
      </w:r>
      <w:r w:rsidR="00D943D1" w:rsidRPr="003E2A48">
        <w:t xml:space="preserve">Both Jacobson and </w:t>
      </w:r>
      <w:proofErr w:type="spellStart"/>
      <w:r w:rsidR="00D943D1" w:rsidRPr="003E2A48">
        <w:t>MacCall</w:t>
      </w:r>
      <w:proofErr w:type="spellEnd"/>
      <w:r w:rsidR="00D943D1" w:rsidRPr="003E2A48">
        <w:t xml:space="preserve"> (1995) and </w:t>
      </w:r>
      <w:proofErr w:type="spellStart"/>
      <w:r w:rsidR="00DB7369">
        <w:t>Lindegren</w:t>
      </w:r>
      <w:proofErr w:type="spellEnd"/>
      <w:r w:rsidR="00DB7369">
        <w:t xml:space="preserve"> and Checkley</w:t>
      </w:r>
      <w:r w:rsidR="00D943D1" w:rsidRPr="003E2A48">
        <w:t> (201</w:t>
      </w:r>
      <w:r w:rsidR="00DB7369">
        <w:t>3</w:t>
      </w:r>
      <w:r w:rsidR="00D943D1" w:rsidRPr="003E2A48">
        <w:t xml:space="preserve">) found a step-like response function for temperature: below a threshold value the effect of temperature was linear </w:t>
      </w:r>
      <w:r w:rsidR="00CF5649">
        <w:t xml:space="preserve">(and positive) </w:t>
      </w:r>
      <w:r w:rsidR="00D943D1" w:rsidRPr="003E2A48">
        <w:t xml:space="preserve">and above the threshold, the effect was flat </w:t>
      </w:r>
      <w:r w:rsidR="00CF5649">
        <w:t>(no longer increased). In the linear portion of the effect curve, the point where the effect curve crosses from negative to positive represents an important biological threshold</w:t>
      </w:r>
      <w:r w:rsidR="00D943D1" w:rsidRPr="003E2A48">
        <w:t xml:space="preserve">. Our analysis found a similar </w:t>
      </w:r>
      <w:r w:rsidR="00CF5649">
        <w:t xml:space="preserve">effect curve </w:t>
      </w:r>
      <w:r w:rsidR="00D943D1" w:rsidRPr="003E2A48">
        <w:t xml:space="preserve">with a negative effect when the 2.5-year average </w:t>
      </w:r>
      <w:r w:rsidR="00FF7DA9">
        <w:t>regional SST</w:t>
      </w:r>
      <w:r w:rsidR="00FF7DA9" w:rsidRPr="003E2A48">
        <w:t xml:space="preserve"> </w:t>
      </w:r>
      <w:r w:rsidR="00D943D1" w:rsidRPr="003E2A48">
        <w:t xml:space="preserve">was below </w:t>
      </w:r>
      <m:oMath>
        <m:sSup>
          <m:sSupPr>
            <m:ctrlPr>
              <w:rPr>
                <w:rFonts w:ascii="Cambria Math" w:hAnsi="Cambria Math"/>
              </w:rPr>
            </m:ctrlPr>
          </m:sSupPr>
          <m:e>
            <m:r>
              <w:rPr>
                <w:rFonts w:ascii="Cambria Math" w:hAnsi="Cambria Math"/>
              </w:rPr>
              <m:t>28.37</m:t>
            </m:r>
          </m:e>
          <m:sup>
            <m:r>
              <w:rPr>
                <w:rFonts w:ascii="Cambria Math" w:hAnsi="Cambria Math"/>
              </w:rPr>
              <m:t>∘</m:t>
            </m:r>
          </m:sup>
        </m:sSup>
      </m:oMath>
      <w:r w:rsidR="00D943D1" w:rsidRPr="003E2A48">
        <w:t xml:space="preserve">C and positive above and with the positive effect leveling off above </w:t>
      </w:r>
      <m:oMath>
        <m:sSup>
          <m:sSupPr>
            <m:ctrlPr>
              <w:rPr>
                <w:rFonts w:ascii="Cambria Math" w:hAnsi="Cambria Math"/>
              </w:rPr>
            </m:ctrlPr>
          </m:sSupPr>
          <m:e>
            <m:r>
              <w:rPr>
                <w:rFonts w:ascii="Cambria Math" w:hAnsi="Cambria Math"/>
              </w:rPr>
              <m:t>28.5</m:t>
            </m:r>
          </m:e>
          <m:sup>
            <m:r>
              <w:rPr>
                <w:rFonts w:ascii="Cambria Math" w:hAnsi="Cambria Math"/>
              </w:rPr>
              <m:t>∘</m:t>
            </m:r>
          </m:sup>
        </m:sSup>
      </m:oMath>
      <w:r w:rsidR="00D943D1" w:rsidRPr="003E2A48">
        <w:t>C.</w:t>
      </w:r>
    </w:p>
    <w:p w14:paraId="6D059D8A" w14:textId="3C1D42FE" w:rsidR="006A3137" w:rsidRDefault="00D85560" w:rsidP="006A3137">
      <w:pPr>
        <w:pStyle w:val="BodyText"/>
        <w:spacing w:before="0" w:after="0" w:line="480" w:lineRule="auto"/>
        <w:ind w:firstLine="360"/>
      </w:pPr>
      <w:r>
        <w:lastRenderedPageBreak/>
        <w:t xml:space="preserve">The AMO index (July </w:t>
      </w:r>
      <w:r w:rsidRPr="00BA076B">
        <w:rPr>
          <w:i/>
          <w:iCs/>
        </w:rPr>
        <w:t>t-1</w:t>
      </w:r>
      <w:r>
        <w:t xml:space="preserve"> to June </w:t>
      </w:r>
      <w:r w:rsidRPr="00BA076B">
        <w:rPr>
          <w:i/>
          <w:iCs/>
        </w:rPr>
        <w:t>t</w:t>
      </w:r>
      <w:r>
        <w:t xml:space="preserve"> average) is highly correlated with the 2.5-year average </w:t>
      </w:r>
      <w:r w:rsidR="0071247A">
        <w:t xml:space="preserve">regional </w:t>
      </w:r>
      <w:r>
        <w:t>SST</w:t>
      </w:r>
      <w:r w:rsidR="0071247A">
        <w:t xml:space="preserve"> covariate used in our analyses</w:t>
      </w:r>
      <w:r>
        <w:t xml:space="preserve"> (Pearson correlation </w:t>
      </w:r>
      <w:r w:rsidR="006A3137" w:rsidRPr="00BA076B">
        <w:rPr>
          <w:rFonts w:ascii="Symbol" w:hAnsi="Symbol"/>
        </w:rPr>
        <w:t>r</w:t>
      </w:r>
      <w:r w:rsidR="006A3137">
        <w:t>=</w:t>
      </w:r>
      <w:r>
        <w:t>0.7</w:t>
      </w:r>
      <w:r w:rsidR="00766C52">
        <w:t>0</w:t>
      </w:r>
      <w:r w:rsidR="005746B2">
        <w:t xml:space="preserve"> 1983-2016</w:t>
      </w:r>
      <w:r>
        <w:t>)</w:t>
      </w:r>
      <w:r w:rsidR="0071247A">
        <w:t>,</w:t>
      </w:r>
      <w:r>
        <w:t xml:space="preserve"> unlike the other ocean climate indices</w:t>
      </w:r>
      <w:r w:rsidR="005746B2">
        <w:t>:</w:t>
      </w:r>
      <w:r w:rsidR="006A3137">
        <w:t xml:space="preserve"> ONI </w:t>
      </w:r>
      <w:r w:rsidR="006A3137" w:rsidRPr="00732193">
        <w:rPr>
          <w:rFonts w:ascii="Symbol" w:hAnsi="Symbol"/>
        </w:rPr>
        <w:t>r</w:t>
      </w:r>
      <w:r w:rsidR="006A3137">
        <w:t>=</w:t>
      </w:r>
      <w:r w:rsidR="00766C52">
        <w:t>0.16</w:t>
      </w:r>
      <w:r w:rsidR="006A3137">
        <w:t xml:space="preserve">, PDO index </w:t>
      </w:r>
      <w:r w:rsidR="006A3137" w:rsidRPr="00732193">
        <w:rPr>
          <w:rFonts w:ascii="Symbol" w:hAnsi="Symbol"/>
        </w:rPr>
        <w:t>r</w:t>
      </w:r>
      <w:r w:rsidR="006A3137">
        <w:t>=</w:t>
      </w:r>
      <w:r w:rsidR="00766C52">
        <w:t>-0.04</w:t>
      </w:r>
      <w:r w:rsidR="006A3137">
        <w:t xml:space="preserve"> and DMI </w:t>
      </w:r>
      <w:r w:rsidR="006A3137" w:rsidRPr="00732193">
        <w:rPr>
          <w:rFonts w:ascii="Symbol" w:hAnsi="Symbol"/>
        </w:rPr>
        <w:t>r</w:t>
      </w:r>
      <w:r w:rsidR="006A3137">
        <w:t>=0.</w:t>
      </w:r>
      <w:r w:rsidR="00766C52">
        <w:t>37</w:t>
      </w:r>
      <w:r w:rsidR="006A3137">
        <w:t xml:space="preserve"> </w:t>
      </w:r>
      <w:r w:rsidR="006A3137" w:rsidRPr="00387E66">
        <w:t>(Supporting</w:t>
      </w:r>
      <w:r w:rsidR="006A3137">
        <w:t xml:space="preserve"> Information; Figure S8</w:t>
      </w:r>
      <w:r w:rsidR="006A3137" w:rsidRPr="003E2A48">
        <w:t>)</w:t>
      </w:r>
      <w:r w:rsidR="006A3137">
        <w:t>. Thus</w:t>
      </w:r>
      <w:r w:rsidR="00D03D9B">
        <w:t>,</w:t>
      </w:r>
      <w:r w:rsidR="006A3137">
        <w:t xml:space="preserve"> not surprisingly, the AMO index also emerged as a consistently informative covariate and provided reductions in out-of-sample prediction error</w:t>
      </w:r>
      <w:r w:rsidR="0071247A">
        <w:t xml:space="preserve"> similar to the multiyear average SST</w:t>
      </w:r>
      <w:r w:rsidR="006A3137">
        <w:t xml:space="preserve">.  None of the other ocean climate indices were </w:t>
      </w:r>
      <w:r w:rsidR="006E0256">
        <w:t>informative, except the DMI</w:t>
      </w:r>
      <w:r w:rsidR="0071247A">
        <w:t xml:space="preserve"> but </w:t>
      </w:r>
      <w:r w:rsidR="006E0256">
        <w:t xml:space="preserve">only </w:t>
      </w:r>
      <w:r w:rsidR="0071247A">
        <w:t>in t</w:t>
      </w:r>
      <w:r w:rsidR="006E0256">
        <w:t>he most complex October-March catch model.</w:t>
      </w:r>
      <w:r w:rsidR="00D03D9B">
        <w:t xml:space="preserve"> T</w:t>
      </w:r>
      <w:r w:rsidR="00766C52">
        <w:t>ele</w:t>
      </w:r>
      <w:r w:rsidR="00D03D9B">
        <w:t xml:space="preserve">connection between the AMO and the Indian Ocean </w:t>
      </w:r>
      <w:r w:rsidR="00766C52">
        <w:t>has been shown in a number of papers (</w:t>
      </w:r>
      <w:r w:rsidR="0071247A">
        <w:t xml:space="preserve">reviewed in </w:t>
      </w:r>
      <w:r w:rsidR="00766C52">
        <w:t>Hu, Hu &amp; Hu</w:t>
      </w:r>
      <w:r w:rsidR="005746B2">
        <w:t>,</w:t>
      </w:r>
      <w:r w:rsidR="00766C52">
        <w:t xml:space="preserve"> 2018; Zhang et al., 2019). </w:t>
      </w:r>
      <w:r w:rsidR="00DA350D">
        <w:t xml:space="preserve">In particular, there appears to be a relationship between the intensity of the </w:t>
      </w:r>
      <w:r w:rsidR="00D03D9B">
        <w:t>Indian summer monsoon</w:t>
      </w:r>
      <w:r w:rsidR="00DA350D">
        <w:t xml:space="preserve"> and the AMO (</w:t>
      </w:r>
      <w:r w:rsidR="00DA350D" w:rsidRPr="006D566A">
        <w:t>Lu, Dong</w:t>
      </w:r>
      <w:r w:rsidR="00DA350D">
        <w:t xml:space="preserve"> &amp;</w:t>
      </w:r>
      <w:r w:rsidR="00DA350D" w:rsidRPr="006D566A">
        <w:t xml:space="preserve"> Ding</w:t>
      </w:r>
      <w:r w:rsidR="005746B2">
        <w:t>,</w:t>
      </w:r>
      <w:r w:rsidR="00DA350D">
        <w:t xml:space="preserve"> </w:t>
      </w:r>
      <w:r w:rsidR="00DA350D" w:rsidRPr="006D566A">
        <w:t>2006</w:t>
      </w:r>
      <w:r w:rsidR="00DA350D">
        <w:t xml:space="preserve">; Zhang &amp; </w:t>
      </w:r>
      <w:proofErr w:type="spellStart"/>
      <w:r w:rsidR="00DA350D">
        <w:t>Delworth</w:t>
      </w:r>
      <w:proofErr w:type="spellEnd"/>
      <w:r w:rsidR="005746B2">
        <w:t>,</w:t>
      </w:r>
      <w:r w:rsidR="00DA350D">
        <w:t xml:space="preserve"> 2006)</w:t>
      </w:r>
      <w:r w:rsidR="00D03D9B">
        <w:rPr>
          <w:rStyle w:val="Hyperlink"/>
          <w:color w:val="auto"/>
        </w:rPr>
        <w:t>.</w:t>
      </w:r>
      <w:r w:rsidR="00766C52">
        <w:rPr>
          <w:rStyle w:val="Hyperlink"/>
          <w:color w:val="auto"/>
        </w:rPr>
        <w:t xml:space="preserve"> The correlation between oil sardine landings and the AMO index that we </w:t>
      </w:r>
      <w:r w:rsidR="00985099">
        <w:rPr>
          <w:rStyle w:val="Hyperlink"/>
          <w:color w:val="auto"/>
        </w:rPr>
        <w:t>(</w:t>
      </w:r>
      <w:r w:rsidR="00766C52">
        <w:rPr>
          <w:rStyle w:val="Hyperlink"/>
          <w:color w:val="auto"/>
        </w:rPr>
        <w:t>and Hamza et al.</w:t>
      </w:r>
      <w:r w:rsidR="00985099">
        <w:rPr>
          <w:rStyle w:val="Hyperlink"/>
          <w:color w:val="auto"/>
        </w:rPr>
        <w:t>,</w:t>
      </w:r>
      <w:r w:rsidR="00766C52">
        <w:rPr>
          <w:rStyle w:val="Hyperlink"/>
          <w:color w:val="auto"/>
        </w:rPr>
        <w:t xml:space="preserve"> 2020) </w:t>
      </w:r>
      <w:r w:rsidR="005746B2">
        <w:rPr>
          <w:rStyle w:val="Hyperlink"/>
          <w:color w:val="auto"/>
        </w:rPr>
        <w:t xml:space="preserve">found </w:t>
      </w:r>
      <w:r w:rsidR="00DA350D">
        <w:rPr>
          <w:rStyle w:val="Hyperlink"/>
          <w:color w:val="auto"/>
        </w:rPr>
        <w:t xml:space="preserve">is likely a reflection of </w:t>
      </w:r>
      <w:r w:rsidR="0071247A">
        <w:rPr>
          <w:rStyle w:val="Hyperlink"/>
          <w:color w:val="auto"/>
        </w:rPr>
        <w:t xml:space="preserve">this </w:t>
      </w:r>
      <w:r w:rsidR="00DA350D">
        <w:rPr>
          <w:rStyle w:val="Hyperlink"/>
          <w:color w:val="auto"/>
        </w:rPr>
        <w:t>large-scale teleconnection that manifests, in part, as correlation between regional SST and the AMO index.</w:t>
      </w:r>
    </w:p>
    <w:p w14:paraId="422F3669" w14:textId="6586CD00" w:rsidR="00FD4AE7" w:rsidRDefault="00246D45" w:rsidP="00D943D1">
      <w:pPr>
        <w:pStyle w:val="BodyText"/>
        <w:spacing w:before="0" w:after="0" w:line="480" w:lineRule="auto"/>
      </w:pPr>
      <w:r>
        <w:tab/>
      </w:r>
    </w:p>
    <w:p w14:paraId="745463DE" w14:textId="79F6A118" w:rsidR="00641D83" w:rsidRPr="00A40966" w:rsidRDefault="00FD4AE7" w:rsidP="00D943D1">
      <w:pPr>
        <w:pStyle w:val="BodyText"/>
        <w:spacing w:before="0" w:after="0" w:line="480" w:lineRule="auto"/>
        <w:rPr>
          <w:b/>
        </w:rPr>
      </w:pPr>
      <w:r w:rsidRPr="00A40966">
        <w:rPr>
          <w:b/>
        </w:rPr>
        <w:t>4.3 Precipitation</w:t>
      </w:r>
    </w:p>
    <w:p w14:paraId="706A2305" w14:textId="2D1990A6" w:rsidR="00635877" w:rsidRPr="00562D15" w:rsidRDefault="00E53259" w:rsidP="00F84AA7">
      <w:pPr>
        <w:pStyle w:val="BodyText"/>
        <w:spacing w:before="0" w:after="0" w:line="480" w:lineRule="auto"/>
      </w:pPr>
      <w:r w:rsidRPr="00562D15">
        <w:t xml:space="preserve">Since </w:t>
      </w:r>
      <w:r w:rsidR="00385DA0" w:rsidRPr="00562D15">
        <w:t>early studies of oil sardines, p</w:t>
      </w:r>
      <w:r w:rsidR="00635877" w:rsidRPr="00562D15">
        <w:t xml:space="preserve">recipitation during the </w:t>
      </w:r>
      <w:r w:rsidR="00385DA0" w:rsidRPr="00562D15">
        <w:t xml:space="preserve">summer </w:t>
      </w:r>
      <w:r w:rsidR="00635877" w:rsidRPr="00562D15">
        <w:t xml:space="preserve">monsoon </w:t>
      </w:r>
      <w:r w:rsidR="00385DA0" w:rsidRPr="00562D15">
        <w:t>has been studied as a</w:t>
      </w:r>
      <w:r w:rsidR="00E16409" w:rsidRPr="00562D15">
        <w:t xml:space="preserve"> </w:t>
      </w:r>
      <w:r w:rsidR="00385DA0" w:rsidRPr="00562D15">
        <w:t>variable to explain catch fluctuations</w:t>
      </w:r>
      <w:r w:rsidR="00635877" w:rsidRPr="00562D15">
        <w:t xml:space="preserve"> (Antony Raja, 1969, 1974; </w:t>
      </w:r>
      <w:proofErr w:type="spellStart"/>
      <w:r w:rsidR="00635877" w:rsidRPr="00562D15">
        <w:t>Murty</w:t>
      </w:r>
      <w:proofErr w:type="spellEnd"/>
      <w:r w:rsidR="00635877" w:rsidRPr="00562D15">
        <w:t xml:space="preserve"> &amp; Edelman, 1966; Srinath, 1998). </w:t>
      </w:r>
      <w:r w:rsidR="00E16409" w:rsidRPr="00562D15">
        <w:rPr>
          <w:rFonts w:cs="Times"/>
        </w:rPr>
        <w:t>While correlations have been found, the i</w:t>
      </w:r>
      <w:r w:rsidR="00385DA0" w:rsidRPr="00562D15">
        <w:rPr>
          <w:rFonts w:cs="Times"/>
        </w:rPr>
        <w:t>dentified correlations between precipitation and oil sardine landings have been positive in some studies and negative in others (</w:t>
      </w:r>
      <w:proofErr w:type="spellStart"/>
      <w:r w:rsidR="00385DA0" w:rsidRPr="00562D15">
        <w:rPr>
          <w:rFonts w:cs="Times"/>
        </w:rPr>
        <w:t>Madhupratap</w:t>
      </w:r>
      <w:proofErr w:type="spellEnd"/>
      <w:r w:rsidR="005736CF" w:rsidRPr="00562D15">
        <w:rPr>
          <w:rFonts w:cs="Times"/>
        </w:rPr>
        <w:t xml:space="preserve"> et al.</w:t>
      </w:r>
      <w:r w:rsidR="00385DA0" w:rsidRPr="00562D15">
        <w:rPr>
          <w:rFonts w:cs="Times"/>
        </w:rPr>
        <w:t>, 1994) and varied depending on the time</w:t>
      </w:r>
      <w:r w:rsidR="009408CC" w:rsidRPr="00562D15">
        <w:rPr>
          <w:rFonts w:cs="Times"/>
        </w:rPr>
        <w:t xml:space="preserve"> period</w:t>
      </w:r>
      <w:r w:rsidR="00385DA0" w:rsidRPr="00562D15">
        <w:rPr>
          <w:rFonts w:cs="Times"/>
        </w:rPr>
        <w:t xml:space="preserve"> studied. In general, the correlation was assumed to be positive as rainfall is correlated with monsoon intensity which is in turn correlated with </w:t>
      </w:r>
      <w:r w:rsidR="009408CC" w:rsidRPr="00562D15">
        <w:rPr>
          <w:rFonts w:cs="Times"/>
        </w:rPr>
        <w:t xml:space="preserve">upwelling and </w:t>
      </w:r>
      <w:r w:rsidR="00385DA0" w:rsidRPr="00562D15">
        <w:rPr>
          <w:rFonts w:cs="Times"/>
        </w:rPr>
        <w:lastRenderedPageBreak/>
        <w:t xml:space="preserve">productivity. </w:t>
      </w:r>
      <w:r w:rsidR="00E16409" w:rsidRPr="00562D15">
        <w:t>But h</w:t>
      </w:r>
      <w:r w:rsidR="00635877" w:rsidRPr="00562D15">
        <w:t xml:space="preserve">eavy monsoon rain </w:t>
      </w:r>
      <w:r w:rsidR="00385DA0" w:rsidRPr="00562D15">
        <w:t xml:space="preserve">also has negative effects. During heavy rainfall, </w:t>
      </w:r>
      <w:r w:rsidR="00635877" w:rsidRPr="00562D15">
        <w:t xml:space="preserve">nutrient </w:t>
      </w:r>
      <w:r w:rsidR="00385DA0" w:rsidRPr="00562D15">
        <w:t>and sediments flow into the nearshore region f</w:t>
      </w:r>
      <w:r w:rsidR="00635877" w:rsidRPr="00562D15">
        <w:t>rom rivers</w:t>
      </w:r>
      <w:r w:rsidR="00385DA0" w:rsidRPr="00562D15">
        <w:t xml:space="preserve">, which leads to short-term </w:t>
      </w:r>
      <w:r w:rsidR="00635877" w:rsidRPr="00562D15">
        <w:t>eutrophication and anoxia</w:t>
      </w:r>
      <w:r w:rsidR="00385DA0" w:rsidRPr="00562D15">
        <w:t xml:space="preserve"> </w:t>
      </w:r>
      <w:r w:rsidR="00FF7DA9" w:rsidRPr="00562D15">
        <w:t xml:space="preserve">in coastal waters </w:t>
      </w:r>
      <w:r w:rsidR="00385DA0" w:rsidRPr="00562D15">
        <w:t>(Chauhan et al., 2011)</w:t>
      </w:r>
      <w:r w:rsidR="00635877" w:rsidRPr="00562D15">
        <w:t xml:space="preserve">. </w:t>
      </w:r>
    </w:p>
    <w:p w14:paraId="40A2628E" w14:textId="7F737394" w:rsidR="00E16409" w:rsidRDefault="00E16409" w:rsidP="00A40966">
      <w:pPr>
        <w:pStyle w:val="BodyText"/>
        <w:spacing w:before="0" w:after="0" w:line="480" w:lineRule="auto"/>
        <w:ind w:firstLine="360"/>
      </w:pPr>
      <w:r>
        <w:t>In our study, we compared rainfall over the ocean (</w:t>
      </w:r>
      <w:r w:rsidR="006A698C">
        <w:t xml:space="preserve">using </w:t>
      </w:r>
      <w:r>
        <w:t>remote-sensing data) and over the land (</w:t>
      </w:r>
      <w:r w:rsidR="006A698C">
        <w:t xml:space="preserve">using </w:t>
      </w:r>
      <w:r>
        <w:t xml:space="preserve">land-gauge data). Though correlated, these are not identical. We found no correlation between rainfall over the ocean and catch in any combination of our statistical tests. Oceanic rainfall was uniformly </w:t>
      </w:r>
      <w:proofErr w:type="spellStart"/>
      <w:r>
        <w:t>disinformative</w:t>
      </w:r>
      <w:proofErr w:type="spellEnd"/>
      <w:r>
        <w:t xml:space="preserve">—increasing </w:t>
      </w:r>
      <w:r w:rsidR="005A1DAE">
        <w:t xml:space="preserve">both </w:t>
      </w:r>
      <w:proofErr w:type="spellStart"/>
      <w:r>
        <w:t>AICc</w:t>
      </w:r>
      <w:proofErr w:type="spellEnd"/>
      <w:r>
        <w:t xml:space="preserve"> and </w:t>
      </w:r>
      <w:r w:rsidR="005A1DAE">
        <w:t>out-of-sample</w:t>
      </w:r>
      <w:r>
        <w:t xml:space="preserve"> prediction errors</w:t>
      </w:r>
      <w:r w:rsidR="005A1DAE">
        <w:t>—</w:t>
      </w:r>
      <w:r>
        <w:t>across all combinations of models tested. In contrast the June-July precipitation over land in the current season was strongly informative</w:t>
      </w:r>
      <w:r w:rsidR="005A1DAE">
        <w:t xml:space="preserve"> and was the only covariate besides the multiyear average </w:t>
      </w:r>
      <w:r w:rsidR="00FF7DA9">
        <w:t xml:space="preserve">regional </w:t>
      </w:r>
      <w:r w:rsidR="005A1DAE">
        <w:t xml:space="preserve">SST </w:t>
      </w:r>
      <w:r w:rsidR="00475DEB">
        <w:t xml:space="preserve">and AMO </w:t>
      </w:r>
      <w:r w:rsidR="000D58B4">
        <w:t xml:space="preserve">index </w:t>
      </w:r>
      <w:r w:rsidR="005A1DAE">
        <w:t xml:space="preserve">that improved model fit and out-of-sample prediction. </w:t>
      </w:r>
      <w:r w:rsidR="00114602">
        <w:t xml:space="preserve">The effect of precipitation was non-linear; </w:t>
      </w:r>
      <w:r w:rsidR="00FF7DA9">
        <w:t xml:space="preserve">close to </w:t>
      </w:r>
      <w:r w:rsidR="00114602">
        <w:t>zero for low to moderate rain</w:t>
      </w:r>
      <w:r w:rsidR="00FF7DA9">
        <w:t>fall levels</w:t>
      </w:r>
      <w:r w:rsidR="00114602">
        <w:t xml:space="preserve"> and then negative at high precipitation. This suggests that the </w:t>
      </w:r>
      <w:r w:rsidR="00561BC2">
        <w:t xml:space="preserve">negative effect of high rainfall </w:t>
      </w:r>
      <w:r w:rsidR="00114602">
        <w:t>w</w:t>
      </w:r>
      <w:r w:rsidR="00561BC2">
        <w:t>as</w:t>
      </w:r>
      <w:r w:rsidR="00114602">
        <w:t xml:space="preserve"> the dominant impact. The effects were only seen </w:t>
      </w:r>
      <w:r w:rsidR="00561BC2">
        <w:t>o</w:t>
      </w:r>
      <w:r w:rsidR="00114602">
        <w:t xml:space="preserve">n the current </w:t>
      </w:r>
      <w:r w:rsidR="0001112B">
        <w:t xml:space="preserve">year </w:t>
      </w:r>
      <w:r w:rsidR="00561BC2">
        <w:t xml:space="preserve">catch </w:t>
      </w:r>
      <w:r w:rsidR="00114602">
        <w:t xml:space="preserve">and thus may reflect a temporary movement of fish offshore </w:t>
      </w:r>
      <w:r w:rsidR="000D58B4">
        <w:t>(</w:t>
      </w:r>
      <w:r w:rsidR="00114602">
        <w:t>away from the fishery</w:t>
      </w:r>
      <w:r w:rsidR="000D58B4">
        <w:t>) to avoid anoxia</w:t>
      </w:r>
      <w:r w:rsidR="00114602">
        <w:t xml:space="preserve"> rather than </w:t>
      </w:r>
      <w:r w:rsidR="000D58B4">
        <w:t xml:space="preserve">a </w:t>
      </w:r>
      <w:r w:rsidR="00114602">
        <w:t>lower cohort strength that would persist into the next season.</w:t>
      </w:r>
      <w:r w:rsidR="00475DEB">
        <w:t xml:space="preserve"> </w:t>
      </w:r>
    </w:p>
    <w:p w14:paraId="5B24F85D" w14:textId="140F43A7" w:rsidR="00D943D1" w:rsidRDefault="00D943D1" w:rsidP="00D943D1">
      <w:pPr>
        <w:pStyle w:val="BodyText"/>
        <w:spacing w:before="0" w:after="0" w:line="480" w:lineRule="auto"/>
      </w:pPr>
    </w:p>
    <w:p w14:paraId="43E501C3" w14:textId="3059540A" w:rsidR="00D943D1" w:rsidRPr="00A40966" w:rsidRDefault="00D943D1" w:rsidP="00481010">
      <w:pPr>
        <w:pStyle w:val="BodyText"/>
        <w:spacing w:before="0" w:after="0" w:line="480" w:lineRule="auto"/>
        <w:rPr>
          <w:b/>
        </w:rPr>
      </w:pPr>
      <w:r w:rsidRPr="00A40966">
        <w:rPr>
          <w:b/>
        </w:rPr>
        <w:t>4.</w:t>
      </w:r>
      <w:r w:rsidR="00DF17F9">
        <w:rPr>
          <w:b/>
        </w:rPr>
        <w:t>4</w:t>
      </w:r>
      <w:r w:rsidRPr="00A40966">
        <w:rPr>
          <w:b/>
        </w:rPr>
        <w:t xml:space="preserve"> </w:t>
      </w:r>
      <w:r w:rsidR="000857EA">
        <w:rPr>
          <w:b/>
        </w:rPr>
        <w:t>Upwelling</w:t>
      </w:r>
    </w:p>
    <w:p w14:paraId="0E3FEF8D" w14:textId="5024AA1C" w:rsidR="007C64AE" w:rsidRDefault="00806920" w:rsidP="00F84AA7">
      <w:pPr>
        <w:pStyle w:val="BodyText"/>
        <w:spacing w:before="0" w:after="0" w:line="480" w:lineRule="auto"/>
      </w:pPr>
      <w:r w:rsidRPr="003E2A48">
        <w:t>Despite the strong connection</w:t>
      </w:r>
      <w:r w:rsidR="00A74E0B">
        <w:t>s of upwelling with</w:t>
      </w:r>
      <w:r w:rsidRPr="003E2A48">
        <w:t xml:space="preserve"> </w:t>
      </w:r>
      <w:r w:rsidR="00F96F58">
        <w:t xml:space="preserve">productivity which positively impacts </w:t>
      </w:r>
      <w:r w:rsidRPr="003E2A48">
        <w:t>sardine recruitment, growth</w:t>
      </w:r>
      <w:r w:rsidR="00A74E0B">
        <w:t>,</w:t>
      </w:r>
      <w:r w:rsidRPr="003E2A48">
        <w:t xml:space="preserve"> and survival</w:t>
      </w:r>
      <w:r w:rsidR="00A74E0B">
        <w:t>,</w:t>
      </w:r>
      <w:r w:rsidRPr="003E2A48">
        <w:t xml:space="preserve"> none of </w:t>
      </w:r>
      <w:r w:rsidR="00A74E0B">
        <w:t xml:space="preserve">the </w:t>
      </w:r>
      <w:r w:rsidRPr="003E2A48">
        <w:t xml:space="preserve">upwelling indices </w:t>
      </w:r>
      <w:r w:rsidR="00A74E0B">
        <w:t>examined in this study</w:t>
      </w:r>
      <w:r w:rsidRPr="003E2A48">
        <w:t xml:space="preserve"> </w:t>
      </w:r>
      <w:r w:rsidR="00AB5281">
        <w:t xml:space="preserve">(SST-nearshore-offshore differential, </w:t>
      </w:r>
      <w:r w:rsidR="003F01E5">
        <w:t xml:space="preserve">Ekman Mass Transport, </w:t>
      </w:r>
      <w:r w:rsidR="00277278">
        <w:t>and</w:t>
      </w:r>
      <w:r w:rsidR="003F01E5">
        <w:t xml:space="preserve"> Ekman Pumping</w:t>
      </w:r>
      <w:r w:rsidR="00AB5281">
        <w:t xml:space="preserve">) </w:t>
      </w:r>
      <w:r w:rsidRPr="003E2A48">
        <w:t xml:space="preserve">explained year-to-year variation in </w:t>
      </w:r>
      <w:r w:rsidR="0001112B">
        <w:t xml:space="preserve">current-year or prior-year </w:t>
      </w:r>
      <w:r w:rsidRPr="003E2A48">
        <w:t>landings</w:t>
      </w:r>
      <w:r w:rsidR="00426333">
        <w:t xml:space="preserve"> or improved out-of-sample forecasts</w:t>
      </w:r>
      <w:r w:rsidRPr="003E2A48">
        <w:t xml:space="preserve">. </w:t>
      </w:r>
      <w:r w:rsidR="007C64AE" w:rsidRPr="003E2A48">
        <w:t>W</w:t>
      </w:r>
      <w:r w:rsidR="007C64AE">
        <w:t>hen w</w:t>
      </w:r>
      <w:r w:rsidR="007C64AE" w:rsidRPr="003E2A48">
        <w:t xml:space="preserve">e did find </w:t>
      </w:r>
      <w:r w:rsidR="007C64AE">
        <w:t xml:space="preserve">a </w:t>
      </w:r>
      <w:r w:rsidR="000D58B4">
        <w:t xml:space="preserve">(weak) </w:t>
      </w:r>
      <w:r w:rsidR="007C64AE">
        <w:t xml:space="preserve">relationship with </w:t>
      </w:r>
      <w:r w:rsidR="007C64AE" w:rsidRPr="003E2A48">
        <w:t xml:space="preserve">upwelling intensity </w:t>
      </w:r>
      <w:r w:rsidR="007C64AE">
        <w:t xml:space="preserve">and </w:t>
      </w:r>
      <w:r w:rsidR="007C64AE">
        <w:lastRenderedPageBreak/>
        <w:t>catch, the</w:t>
      </w:r>
      <w:r w:rsidR="007C64AE" w:rsidRPr="003E2A48">
        <w:t xml:space="preserve"> effect </w:t>
      </w:r>
      <w:r w:rsidR="007C64AE">
        <w:t xml:space="preserve">was for the current year only and </w:t>
      </w:r>
      <w:r w:rsidR="007C64AE" w:rsidRPr="003E2A48">
        <w:t>was negative</w:t>
      </w:r>
      <w:r w:rsidR="007C64AE">
        <w:t>, rather than</w:t>
      </w:r>
      <w:r w:rsidR="007C64AE" w:rsidRPr="003E2A48">
        <w:t xml:space="preserve"> positive</w:t>
      </w:r>
      <w:r w:rsidR="007C64AE">
        <w:t xml:space="preserve">. The negative effect </w:t>
      </w:r>
      <w:r w:rsidR="007C64AE" w:rsidRPr="003E2A48">
        <w:t xml:space="preserve">emerged </w:t>
      </w:r>
      <w:r w:rsidR="007C64AE">
        <w:t>at</w:t>
      </w:r>
      <w:r w:rsidR="007C64AE" w:rsidRPr="003E2A48">
        <w:t xml:space="preserve"> extremely high upwelling. This negative effect is not surprising. Extremely high upwelling transports larval sardines offshore and </w:t>
      </w:r>
      <w:r w:rsidR="005555A5">
        <w:t>brings to the surface poorly</w:t>
      </w:r>
      <w:r w:rsidR="007C64AE" w:rsidRPr="003E2A48">
        <w:t xml:space="preserve"> oxygen</w:t>
      </w:r>
      <w:r w:rsidR="005555A5">
        <w:t>ated water</w:t>
      </w:r>
      <w:r w:rsidR="007C64AE" w:rsidRPr="003E2A48">
        <w:t xml:space="preserve"> </w:t>
      </w:r>
      <w:r w:rsidR="005555A5">
        <w:t xml:space="preserve">which </w:t>
      </w:r>
      <w:r w:rsidR="007C64AE" w:rsidRPr="003E2A48">
        <w:t>sardines avoid (Gupta et al., 2016).</w:t>
      </w:r>
      <w:r w:rsidR="007C64AE">
        <w:t xml:space="preserve"> </w:t>
      </w:r>
    </w:p>
    <w:p w14:paraId="2BFB2192" w14:textId="299EC459" w:rsidR="00757B70" w:rsidRDefault="00426333" w:rsidP="007C64AE">
      <w:pPr>
        <w:pStyle w:val="BodyText"/>
        <w:spacing w:before="0" w:after="0" w:line="480" w:lineRule="auto"/>
        <w:ind w:firstLine="360"/>
      </w:pPr>
      <w:r>
        <w:t xml:space="preserve">Our tests looked at whether </w:t>
      </w:r>
      <w:r w:rsidR="007C64AE">
        <w:t>upwelling intensity</w:t>
      </w:r>
      <w:r>
        <w:t xml:space="preserve"> explained variation and future catch beyond what could be explained using a catch model with only prior catch as the covariate. It may be that upwelling affects the future abundance in a way that is already captured by using prior catch</w:t>
      </w:r>
      <w:r w:rsidR="007C64AE">
        <w:t>.</w:t>
      </w:r>
      <w:r w:rsidR="001E2F08">
        <w:t xml:space="preserve"> </w:t>
      </w:r>
      <w:r w:rsidR="007C64AE">
        <w:t xml:space="preserve">Conversely </w:t>
      </w:r>
      <w:r w:rsidR="001E2F08">
        <w:t>it may be that strong upwelling by itself is not sufficient for productivity</w:t>
      </w:r>
      <w:r>
        <w:t>.</w:t>
      </w:r>
      <w:r w:rsidR="001E2F08">
        <w:t xml:space="preserve"> </w:t>
      </w:r>
      <w:proofErr w:type="spellStart"/>
      <w:r w:rsidR="001E2F08">
        <w:t>Shafeeque</w:t>
      </w:r>
      <w:proofErr w:type="spellEnd"/>
      <w:r w:rsidR="001E2F08">
        <w:t xml:space="preserve"> et al. (2019) looked at the correlation between summer upwelling strength and precipitation and chlorophyll-a bloom intensity. They found that chlorophyll-a bloom anomalies were associated with years with both upwelling and precipitation anomalies, suggesting an interaction between these two environmental variables. While </w:t>
      </w:r>
      <w:r w:rsidR="0044590D">
        <w:t xml:space="preserve">we found that </w:t>
      </w:r>
      <w:r w:rsidR="001E2F08">
        <w:t>model</w:t>
      </w:r>
      <w:r w:rsidR="0044590D">
        <w:t>s</w:t>
      </w:r>
      <w:r w:rsidR="001E2F08">
        <w:t xml:space="preserve"> with an upwelling and precipitation interaction did have higher </w:t>
      </w:r>
      <w:r w:rsidR="001E2F08" w:rsidRPr="001E2F08">
        <w:rPr>
          <w:i/>
          <w:iCs/>
        </w:rPr>
        <w:t>R</w:t>
      </w:r>
      <w:r w:rsidR="001E2F08" w:rsidRPr="001E2F08">
        <w:rPr>
          <w:i/>
          <w:iCs/>
          <w:vertAlign w:val="superscript"/>
        </w:rPr>
        <w:t>2</w:t>
      </w:r>
      <w:r w:rsidR="001E2F08">
        <w:t xml:space="preserve"> relative to a</w:t>
      </w:r>
      <w:r w:rsidR="000D58B4">
        <w:t>n</w:t>
      </w:r>
      <w:r w:rsidR="001E2F08">
        <w:t xml:space="preserve"> upwelling</w:t>
      </w:r>
      <w:r w:rsidR="00277278">
        <w:t>-</w:t>
      </w:r>
      <w:r w:rsidR="001E2F08">
        <w:t>only or precipitation</w:t>
      </w:r>
      <w:r w:rsidR="00277278">
        <w:t>-</w:t>
      </w:r>
      <w:r w:rsidR="001E2F08">
        <w:t xml:space="preserve">only model, </w:t>
      </w:r>
      <w:r w:rsidR="0044590D">
        <w:t>they</w:t>
      </w:r>
      <w:r w:rsidR="001E2F08">
        <w:t xml:space="preserve"> had higher</w:t>
      </w:r>
      <w:r w:rsidR="0044590D">
        <w:t>, sometimes considerably higher,</w:t>
      </w:r>
      <w:r w:rsidR="001E2F08">
        <w:t xml:space="preserve"> out-of-sample prediction errors</w:t>
      </w:r>
      <w:r w:rsidR="004A3913">
        <w:t xml:space="preserve"> than the base catch model with no covariates </w:t>
      </w:r>
      <w:r w:rsidR="0044590D">
        <w:t xml:space="preserve">or the </w:t>
      </w:r>
      <w:r w:rsidR="004A3913">
        <w:t xml:space="preserve">base catch </w:t>
      </w:r>
      <w:r w:rsidR="0044590D">
        <w:t>model with</w:t>
      </w:r>
      <w:r w:rsidR="004A3913">
        <w:t xml:space="preserve"> </w:t>
      </w:r>
      <w:r w:rsidR="0044590D">
        <w:t xml:space="preserve">only </w:t>
      </w:r>
      <w:r w:rsidR="004A3913">
        <w:t>precipitat</w:t>
      </w:r>
      <w:r w:rsidR="0044590D">
        <w:t>i</w:t>
      </w:r>
      <w:r w:rsidR="004A3913">
        <w:t>on</w:t>
      </w:r>
      <w:r w:rsidR="001E2F08">
        <w:t>. This highlights one of the dilemmas of forecasting: increased complexity in a model often brings a high prediction cost.</w:t>
      </w:r>
      <w:r w:rsidR="007C64AE">
        <w:t xml:space="preserve"> </w:t>
      </w:r>
    </w:p>
    <w:p w14:paraId="0E583138" w14:textId="7E3E2F80" w:rsidR="008C2DB3" w:rsidRDefault="0044590D" w:rsidP="002A69B5">
      <w:pPr>
        <w:pStyle w:val="BodyText"/>
        <w:spacing w:before="0" w:after="0" w:line="480" w:lineRule="auto"/>
        <w:ind w:firstLine="360"/>
      </w:pPr>
      <w:r w:rsidRPr="00BA076B">
        <w:rPr>
          <w:color w:val="000000" w:themeColor="text1"/>
        </w:rPr>
        <w:t>T</w:t>
      </w:r>
      <w:r w:rsidR="00623177" w:rsidRPr="00BA076B">
        <w:rPr>
          <w:color w:val="000000" w:themeColor="text1"/>
        </w:rPr>
        <w:t>he monthly average upwelling metrics we used are those used in many other studies of upwelling and nearshore productivity in this region</w:t>
      </w:r>
      <w:r w:rsidR="00323F49" w:rsidRPr="00BA076B">
        <w:rPr>
          <w:color w:val="000000" w:themeColor="text1"/>
        </w:rPr>
        <w:t xml:space="preserve">. </w:t>
      </w:r>
      <w:r w:rsidR="002A69B5" w:rsidRPr="00BA076B">
        <w:rPr>
          <w:color w:val="000000" w:themeColor="text1"/>
        </w:rPr>
        <w:t xml:space="preserve">In most coastal upwelling systems, </w:t>
      </w:r>
      <w:r w:rsidR="000D58B4">
        <w:rPr>
          <w:color w:val="000000" w:themeColor="text1"/>
        </w:rPr>
        <w:t xml:space="preserve">local </w:t>
      </w:r>
      <w:r w:rsidR="002A69B5" w:rsidRPr="00BA076B">
        <w:rPr>
          <w:color w:val="000000" w:themeColor="text1"/>
        </w:rPr>
        <w:t>w</w:t>
      </w:r>
      <w:r w:rsidR="00323F49" w:rsidRPr="00BA076B">
        <w:rPr>
          <w:color w:val="000000" w:themeColor="text1"/>
        </w:rPr>
        <w:t>ind</w:t>
      </w:r>
      <w:r w:rsidR="000D58B4">
        <w:rPr>
          <w:color w:val="000000" w:themeColor="text1"/>
        </w:rPr>
        <w:t>-</w:t>
      </w:r>
      <w:r w:rsidR="00323F49" w:rsidRPr="00BA076B">
        <w:rPr>
          <w:color w:val="000000" w:themeColor="text1"/>
        </w:rPr>
        <w:t xml:space="preserve">stress </w:t>
      </w:r>
      <w:r w:rsidR="000D58B4">
        <w:rPr>
          <w:color w:val="000000" w:themeColor="text1"/>
        </w:rPr>
        <w:t>forces</w:t>
      </w:r>
      <w:r w:rsidR="002A69B5" w:rsidRPr="00BA076B">
        <w:rPr>
          <w:color w:val="000000" w:themeColor="text1"/>
        </w:rPr>
        <w:t xml:space="preserve"> </w:t>
      </w:r>
      <w:r w:rsidR="000D58B4">
        <w:rPr>
          <w:color w:val="000000" w:themeColor="text1"/>
        </w:rPr>
        <w:t xml:space="preserve">are </w:t>
      </w:r>
      <w:r w:rsidR="002A69B5" w:rsidRPr="00BA076B">
        <w:rPr>
          <w:color w:val="000000" w:themeColor="text1"/>
        </w:rPr>
        <w:t>the most important driver of upwelling, however the southwest coast of India is unique in that</w:t>
      </w:r>
      <w:r w:rsidR="00757B70" w:rsidRPr="00BA076B">
        <w:rPr>
          <w:color w:val="000000" w:themeColor="text1"/>
        </w:rPr>
        <w:t xml:space="preserve"> remote-forcing and local </w:t>
      </w:r>
      <w:r w:rsidR="00323F49" w:rsidRPr="00BA076B">
        <w:rPr>
          <w:color w:val="000000" w:themeColor="text1"/>
        </w:rPr>
        <w:t xml:space="preserve">currents and gyres play an unusually important role in driving </w:t>
      </w:r>
      <w:r w:rsidR="002A69B5" w:rsidRPr="00BA076B">
        <w:rPr>
          <w:color w:val="000000" w:themeColor="text1"/>
        </w:rPr>
        <w:t xml:space="preserve">the seasonal </w:t>
      </w:r>
      <w:r w:rsidR="00323F49" w:rsidRPr="00BA076B">
        <w:rPr>
          <w:color w:val="000000" w:themeColor="text1"/>
        </w:rPr>
        <w:t xml:space="preserve">upwelling </w:t>
      </w:r>
      <w:r w:rsidR="002A69B5" w:rsidRPr="00BA076B">
        <w:rPr>
          <w:color w:val="000000" w:themeColor="text1"/>
        </w:rPr>
        <w:t xml:space="preserve">intensity </w:t>
      </w:r>
      <w:r w:rsidR="00757B70" w:rsidRPr="00BA076B">
        <w:rPr>
          <w:color w:val="000000" w:themeColor="text1"/>
        </w:rPr>
        <w:t xml:space="preserve">(BR, 2010; BR et al., </w:t>
      </w:r>
      <w:r w:rsidR="00757B70" w:rsidRPr="00BA076B">
        <w:rPr>
          <w:color w:val="000000" w:themeColor="text1"/>
        </w:rPr>
        <w:lastRenderedPageBreak/>
        <w:t>2008; Rao et al., 2008; Shah et al., 2019)</w:t>
      </w:r>
      <w:r w:rsidR="002A69B5" w:rsidRPr="00BA076B">
        <w:rPr>
          <w:color w:val="000000" w:themeColor="text1"/>
        </w:rPr>
        <w:t xml:space="preserve">. Our nearshore-offshore SST differential </w:t>
      </w:r>
      <w:r w:rsidR="000D58B4">
        <w:rPr>
          <w:color w:val="000000" w:themeColor="text1"/>
        </w:rPr>
        <w:t xml:space="preserve">index </w:t>
      </w:r>
      <w:r w:rsidR="002A69B5" w:rsidRPr="00BA076B">
        <w:rPr>
          <w:color w:val="000000" w:themeColor="text1"/>
        </w:rPr>
        <w:t>should have captured upwelling intensity due to either wind</w:t>
      </w:r>
      <w:r w:rsidR="000D58B4">
        <w:rPr>
          <w:color w:val="000000" w:themeColor="text1"/>
        </w:rPr>
        <w:t xml:space="preserve"> </w:t>
      </w:r>
      <w:r w:rsidR="002A69B5" w:rsidRPr="00BA076B">
        <w:rPr>
          <w:color w:val="000000" w:themeColor="text1"/>
        </w:rPr>
        <w:t>stress or remote-forcing, and we expect</w:t>
      </w:r>
      <w:r w:rsidR="000D58B4">
        <w:rPr>
          <w:color w:val="000000" w:themeColor="text1"/>
        </w:rPr>
        <w:t>ed</w:t>
      </w:r>
      <w:r w:rsidR="002A69B5" w:rsidRPr="00BA076B">
        <w:rPr>
          <w:color w:val="000000" w:themeColor="text1"/>
        </w:rPr>
        <w:t xml:space="preserve"> that it </w:t>
      </w:r>
      <w:r w:rsidR="000D58B4">
        <w:rPr>
          <w:color w:val="000000" w:themeColor="text1"/>
        </w:rPr>
        <w:t xml:space="preserve">would </w:t>
      </w:r>
      <w:r w:rsidR="002A69B5" w:rsidRPr="00BA076B">
        <w:rPr>
          <w:color w:val="000000" w:themeColor="text1"/>
        </w:rPr>
        <w:t>perform better than the wind-based metrics. However, it was equally uninformative as a covariate. I</w:t>
      </w:r>
      <w:r w:rsidR="00475DEB" w:rsidRPr="00BA076B">
        <w:rPr>
          <w:color w:val="000000" w:themeColor="text1"/>
        </w:rPr>
        <w:t>t may</w:t>
      </w:r>
      <w:r w:rsidR="001E2F08" w:rsidRPr="00BA076B">
        <w:rPr>
          <w:color w:val="000000" w:themeColor="text1"/>
        </w:rPr>
        <w:t xml:space="preserve"> </w:t>
      </w:r>
      <w:r w:rsidR="00475DEB" w:rsidRPr="00BA076B">
        <w:rPr>
          <w:color w:val="000000" w:themeColor="text1"/>
        </w:rPr>
        <w:t xml:space="preserve">be that </w:t>
      </w:r>
      <w:r w:rsidR="007C64AE" w:rsidRPr="00BA076B">
        <w:rPr>
          <w:color w:val="000000" w:themeColor="text1"/>
        </w:rPr>
        <w:t>o</w:t>
      </w:r>
      <w:r w:rsidR="00481010" w:rsidRPr="00BA076B">
        <w:rPr>
          <w:color w:val="000000" w:themeColor="text1"/>
        </w:rPr>
        <w:t>ther</w:t>
      </w:r>
      <w:r w:rsidR="00481010" w:rsidRPr="003E2A48">
        <w:t xml:space="preserve"> aspects of upwelling</w:t>
      </w:r>
      <w:r w:rsidR="007C64AE">
        <w:t xml:space="preserve"> besides </w:t>
      </w:r>
      <w:r>
        <w:t xml:space="preserve">average </w:t>
      </w:r>
      <w:r w:rsidR="007C64AE">
        <w:t xml:space="preserve">nearshore intensity, </w:t>
      </w:r>
      <w:r w:rsidR="00481010" w:rsidRPr="003E2A48">
        <w:t xml:space="preserve">such as </w:t>
      </w:r>
      <w:r w:rsidR="00623177" w:rsidRPr="003E2A48">
        <w:t xml:space="preserve">the timing of </w:t>
      </w:r>
      <w:r w:rsidR="00623177">
        <w:t>its initiation (</w:t>
      </w:r>
      <w:r w:rsidR="00DD5689">
        <w:t>e.g.,</w:t>
      </w:r>
      <w:r w:rsidR="00623177">
        <w:t xml:space="preserve"> Barth et al., 2007), </w:t>
      </w:r>
      <w:r w:rsidR="00481010">
        <w:t>its</w:t>
      </w:r>
      <w:r w:rsidR="00481010" w:rsidRPr="003E2A48">
        <w:t xml:space="preserve"> spatial extent along the coast</w:t>
      </w:r>
      <w:r w:rsidR="00623177">
        <w:t xml:space="preserve"> or some metric of daily extreme events are </w:t>
      </w:r>
      <w:r>
        <w:t xml:space="preserve">necessary to capture the </w:t>
      </w:r>
      <w:r w:rsidR="00623177">
        <w:t>conditions relevant to oil sardine landings</w:t>
      </w:r>
      <w:r w:rsidR="00481010" w:rsidRPr="003E2A48">
        <w:t>.</w:t>
      </w:r>
      <w:r w:rsidR="006A698C">
        <w:t xml:space="preserve"> We did find </w:t>
      </w:r>
      <w:r w:rsidR="008C2DB3" w:rsidRPr="006A6A34">
        <w:t xml:space="preserve">support for </w:t>
      </w:r>
      <w:r w:rsidR="006A698C">
        <w:t>a more direct measure of productivity</w:t>
      </w:r>
      <w:r w:rsidR="006A698C" w:rsidRPr="006A6A34">
        <w:t xml:space="preserve"> and food availability</w:t>
      </w:r>
      <w:r w:rsidR="006A698C">
        <w:t>:</w:t>
      </w:r>
      <w:r w:rsidR="008C2DB3" w:rsidRPr="006A6A34">
        <w:t xml:space="preserve"> </w:t>
      </w:r>
      <w:r w:rsidR="006A698C">
        <w:t xml:space="preserve">the </w:t>
      </w:r>
      <w:r w:rsidR="0001112B">
        <w:t xml:space="preserve">nearshore </w:t>
      </w:r>
      <w:r w:rsidR="008C2DB3" w:rsidRPr="006A6A34">
        <w:t>surface chlorophyll-a concentration</w:t>
      </w:r>
      <w:r w:rsidR="006A698C">
        <w:t xml:space="preserve">. </w:t>
      </w:r>
      <w:r w:rsidR="00DF17F9">
        <w:t>C</w:t>
      </w:r>
      <w:r w:rsidR="00584594">
        <w:t>hlorophyll</w:t>
      </w:r>
      <w:r w:rsidR="0056224A">
        <w:t>-a</w:t>
      </w:r>
      <w:r w:rsidR="00584594">
        <w:t xml:space="preserve"> concentration in fall, the period of peak juvenile somatic growth, </w:t>
      </w:r>
      <w:r w:rsidR="00DF17F9">
        <w:t>explained</w:t>
      </w:r>
      <w:r w:rsidR="00584594">
        <w:t xml:space="preserve"> the October-March catch in the next </w:t>
      </w:r>
      <w:r w:rsidR="00E53259">
        <w:t>year</w:t>
      </w:r>
      <w:r w:rsidR="00DF17F9">
        <w:t xml:space="preserve">, reducing </w:t>
      </w:r>
      <w:r w:rsidR="00F96F58">
        <w:t>out</w:t>
      </w:r>
      <w:r w:rsidR="00CD66B4">
        <w:t>-</w:t>
      </w:r>
      <w:r w:rsidR="00F96F58">
        <w:t>of</w:t>
      </w:r>
      <w:r w:rsidR="00CD66B4">
        <w:t>-</w:t>
      </w:r>
      <w:r w:rsidR="00F96F58">
        <w:t xml:space="preserve">sample </w:t>
      </w:r>
      <w:r w:rsidR="00DF17F9">
        <w:t xml:space="preserve">prediction errors by 10% </w:t>
      </w:r>
      <w:r w:rsidR="00F96F58">
        <w:t>to</w:t>
      </w:r>
      <w:r w:rsidR="00DF17F9">
        <w:t xml:space="preserve"> 20%.</w:t>
      </w:r>
      <w:r w:rsidR="00D8282F">
        <w:t xml:space="preserve"> </w:t>
      </w:r>
      <w:r w:rsidR="00DF17F9">
        <w:t>With chlorophyll</w:t>
      </w:r>
      <w:r w:rsidR="000D58B4">
        <w:t>-a</w:t>
      </w:r>
      <w:r w:rsidR="00DF17F9">
        <w:t xml:space="preserve"> data only available after 1997, the power of our tests was limited</w:t>
      </w:r>
      <w:r w:rsidR="00F96F58">
        <w:t xml:space="preserve">, </w:t>
      </w:r>
      <w:r w:rsidR="00DF17F9">
        <w:t>but this suggests that fall chlorophyll</w:t>
      </w:r>
      <w:r w:rsidR="0056224A">
        <w:t>-a</w:t>
      </w:r>
      <w:r w:rsidR="00DF17F9">
        <w:t xml:space="preserve"> concentration</w:t>
      </w:r>
      <w:r w:rsidR="00F96F58">
        <w:t xml:space="preserve">, </w:t>
      </w:r>
      <w:r w:rsidR="00E53259">
        <w:t>after the summer peak chlorophyll</w:t>
      </w:r>
      <w:r w:rsidR="000D58B4">
        <w:t>-a</w:t>
      </w:r>
      <w:r w:rsidR="00E53259">
        <w:t xml:space="preserve"> blooms, </w:t>
      </w:r>
      <w:r w:rsidR="00F96F58">
        <w:t>may prove useful for improving forecasts</w:t>
      </w:r>
      <w:r w:rsidR="00DF17F9">
        <w:t>.</w:t>
      </w:r>
    </w:p>
    <w:p w14:paraId="426042EE" w14:textId="1B6E3B43" w:rsidR="00AB5281" w:rsidRPr="003E2A48" w:rsidRDefault="00AB5281" w:rsidP="00A40966">
      <w:pPr>
        <w:pStyle w:val="BodyText"/>
        <w:spacing w:before="0" w:after="0" w:line="480" w:lineRule="auto"/>
      </w:pPr>
    </w:p>
    <w:p w14:paraId="5A757FBF" w14:textId="0407D95C" w:rsidR="000857EA" w:rsidRPr="0083719D" w:rsidRDefault="000857EA" w:rsidP="000857EA">
      <w:pPr>
        <w:pStyle w:val="BodyText"/>
        <w:spacing w:before="0" w:after="0" w:line="480" w:lineRule="auto"/>
        <w:rPr>
          <w:b/>
        </w:rPr>
      </w:pPr>
      <w:r w:rsidRPr="0083719D">
        <w:rPr>
          <w:b/>
        </w:rPr>
        <w:t>4.</w:t>
      </w:r>
      <w:r w:rsidR="00DF17F9">
        <w:rPr>
          <w:b/>
        </w:rPr>
        <w:t>5</w:t>
      </w:r>
      <w:r w:rsidRPr="0083719D">
        <w:rPr>
          <w:b/>
        </w:rPr>
        <w:t xml:space="preserve"> Oil sardine collapses</w:t>
      </w:r>
    </w:p>
    <w:p w14:paraId="68B29E8C" w14:textId="32B12D9F" w:rsidR="000857EA" w:rsidRDefault="000857EA" w:rsidP="00E53259">
      <w:pPr>
        <w:pStyle w:val="BodyText"/>
        <w:spacing w:before="0" w:after="0" w:line="480" w:lineRule="auto"/>
      </w:pPr>
      <w:r w:rsidRPr="003E2A48">
        <w:t>There were four years when Oct</w:t>
      </w:r>
      <w:r>
        <w:t>ober</w:t>
      </w:r>
      <w:r w:rsidRPr="003E2A48">
        <w:t>-Ma</w:t>
      </w:r>
      <w:r>
        <w:t>rch</w:t>
      </w:r>
      <w:r w:rsidRPr="003E2A48">
        <w:t xml:space="preserve"> oil sardine landings were much lower than expected based on prior catches: 1986, 1991, 1994 and 2013. The 2.5-year average </w:t>
      </w:r>
      <w:r w:rsidR="00BA4484">
        <w:t xml:space="preserve">regional </w:t>
      </w:r>
      <w:r w:rsidRPr="003E2A48">
        <w:t xml:space="preserve">SST </w:t>
      </w:r>
      <w:r w:rsidR="00BA4484">
        <w:t xml:space="preserve">was able to </w:t>
      </w:r>
      <w:r w:rsidRPr="003E2A48">
        <w:t>explain the collapses in 1986 and 1991. The largest collapse was in 1994</w:t>
      </w:r>
      <w:r w:rsidR="00EA3167">
        <w:t>, when the catch was much lower than expected even taking into account the prior year declines. T</w:t>
      </w:r>
      <w:r w:rsidRPr="003E2A48">
        <w:t>he most recent</w:t>
      </w:r>
      <w:r w:rsidR="00EA3167">
        <w:t xml:space="preserve"> collapse</w:t>
      </w:r>
      <w:r w:rsidRPr="003E2A48">
        <w:t>, in our data</w:t>
      </w:r>
      <w:r w:rsidR="001F1C78">
        <w:t xml:space="preserve"> </w:t>
      </w:r>
      <w:r w:rsidRPr="003E2A48">
        <w:t xml:space="preserve">set, was 2013. The 2.5-year average </w:t>
      </w:r>
      <w:r w:rsidR="00BA4484">
        <w:t xml:space="preserve">regional </w:t>
      </w:r>
      <w:r w:rsidRPr="003E2A48">
        <w:t xml:space="preserve">SST did not </w:t>
      </w:r>
      <w:r>
        <w:t>successfully predict</w:t>
      </w:r>
      <w:r w:rsidRPr="003E2A48">
        <w:t xml:space="preserve"> the 1994 or 2013 collapses</w:t>
      </w:r>
      <w:r>
        <w:t>; although the prediction error was reduced for both years, it was still large</w:t>
      </w:r>
      <w:r w:rsidRPr="003E2A48">
        <w:t>. The same pattern was seen for the Jul</w:t>
      </w:r>
      <w:r>
        <w:t>y</w:t>
      </w:r>
      <w:r w:rsidRPr="003E2A48">
        <w:t>-Sep</w:t>
      </w:r>
      <w:r>
        <w:t>tember</w:t>
      </w:r>
      <w:r w:rsidRPr="003E2A48">
        <w:t xml:space="preserve"> catch, with the exception that 1991 </w:t>
      </w:r>
      <w:r w:rsidR="00F96F58">
        <w:t>was not</w:t>
      </w:r>
      <w:r w:rsidRPr="003E2A48">
        <w:t xml:space="preserve"> unusually low. The 2.5-</w:t>
      </w:r>
      <w:r w:rsidRPr="003E2A48">
        <w:lastRenderedPageBreak/>
        <w:t xml:space="preserve">year average </w:t>
      </w:r>
      <w:r w:rsidR="00BA4484">
        <w:t xml:space="preserve">regional </w:t>
      </w:r>
      <w:r w:rsidRPr="003E2A48">
        <w:t xml:space="preserve">SST reduced the prediction error for </w:t>
      </w:r>
      <w:r w:rsidR="00246D45" w:rsidRPr="003E2A48">
        <w:t>1986 but</w:t>
      </w:r>
      <w:r w:rsidRPr="003E2A48">
        <w:t xml:space="preserve"> did not (appreciably) for 1994 nor 2013. In fact, none of the covariates</w:t>
      </w:r>
      <w:r w:rsidR="00C92464">
        <w:t xml:space="preserve"> </w:t>
      </w:r>
      <w:r w:rsidRPr="003E2A48">
        <w:t>we tested explained the lower than expected 1994 catch</w:t>
      </w:r>
      <w:r>
        <w:t xml:space="preserve">; while only the precipitation over land in June-July </w:t>
      </w:r>
      <w:r w:rsidR="0056224A">
        <w:t>explained</w:t>
      </w:r>
      <w:r>
        <w:t xml:space="preserve"> the 2013 collapse (but not 1994, 1991, nor 1986)</w:t>
      </w:r>
      <w:r w:rsidRPr="003E2A48">
        <w:t xml:space="preserve">. </w:t>
      </w:r>
      <w:r w:rsidR="00D8154B">
        <w:t>The 1994 collapse was correlated with severe nearshore anoxia (Kripa et al., 2015)</w:t>
      </w:r>
      <w:r w:rsidR="001720FB">
        <w:t>. Since</w:t>
      </w:r>
      <w:r w:rsidR="00D8154B">
        <w:t xml:space="preserve"> none of </w:t>
      </w:r>
      <w:r w:rsidRPr="003E2A48">
        <w:t>the environmental factors we studied</w:t>
      </w:r>
      <w:r w:rsidR="00D8154B">
        <w:t xml:space="preserve"> captured th</w:t>
      </w:r>
      <w:r w:rsidR="00787E73">
        <w:t>e 1994 decline</w:t>
      </w:r>
      <w:r w:rsidRPr="003E2A48">
        <w:t xml:space="preserve">, </w:t>
      </w:r>
      <w:r w:rsidR="001720FB">
        <w:t xml:space="preserve">it </w:t>
      </w:r>
      <w:r w:rsidRPr="003E2A48">
        <w:t>suggest</w:t>
      </w:r>
      <w:r w:rsidR="001720FB">
        <w:t>s</w:t>
      </w:r>
      <w:r w:rsidRPr="003E2A48">
        <w:t xml:space="preserve"> </w:t>
      </w:r>
      <w:r w:rsidR="00D8154B">
        <w:t>that metrics that more directly measure nearshore anoxia may be necessary</w:t>
      </w:r>
      <w:r w:rsidR="00EF5279">
        <w:t>.</w:t>
      </w:r>
    </w:p>
    <w:p w14:paraId="0219E558" w14:textId="4C4D8616" w:rsidR="00685AF2" w:rsidRPr="003E2A48" w:rsidRDefault="00EF5279" w:rsidP="00A40966">
      <w:pPr>
        <w:pStyle w:val="BodyText"/>
        <w:spacing w:before="0" w:after="0" w:line="480" w:lineRule="auto"/>
      </w:pPr>
      <w:r>
        <w:tab/>
      </w:r>
    </w:p>
    <w:p w14:paraId="7D4ADE75" w14:textId="4CC67013" w:rsidR="008062F9" w:rsidRPr="003E2A48" w:rsidRDefault="00185159" w:rsidP="00354701">
      <w:pPr>
        <w:pStyle w:val="Heading1"/>
        <w:spacing w:before="0" w:line="480" w:lineRule="auto"/>
        <w:rPr>
          <w:rFonts w:asciiTheme="minorHAnsi" w:hAnsiTheme="minorHAnsi"/>
          <w:color w:val="auto"/>
          <w:sz w:val="24"/>
          <w:szCs w:val="24"/>
        </w:rPr>
      </w:pPr>
      <w:bookmarkStart w:id="15" w:name="conclusions"/>
      <w:r>
        <w:rPr>
          <w:rFonts w:asciiTheme="minorHAnsi" w:hAnsiTheme="minorHAnsi"/>
          <w:color w:val="auto"/>
          <w:sz w:val="24"/>
          <w:szCs w:val="24"/>
        </w:rPr>
        <w:t xml:space="preserve">5 </w:t>
      </w:r>
      <w:r w:rsidRPr="003E2A48">
        <w:rPr>
          <w:rFonts w:asciiTheme="minorHAnsi" w:hAnsiTheme="minorHAnsi"/>
          <w:color w:val="auto"/>
          <w:sz w:val="24"/>
          <w:szCs w:val="24"/>
        </w:rPr>
        <w:t>CONCLUSIONS</w:t>
      </w:r>
      <w:bookmarkEnd w:id="15"/>
    </w:p>
    <w:p w14:paraId="5CA9F6C4" w14:textId="57E537F6" w:rsidR="00FB2856" w:rsidRDefault="000753F6" w:rsidP="003F01E5">
      <w:pPr>
        <w:pStyle w:val="BodyText"/>
        <w:spacing w:before="0" w:after="0" w:line="480" w:lineRule="auto"/>
      </w:pPr>
      <w:r>
        <w:t>Our study emphasizes a number of key points for developing models</w:t>
      </w:r>
      <w:r w:rsidR="002D7E59">
        <w:t xml:space="preserve"> for the purpose of </w:t>
      </w:r>
      <w:r w:rsidR="00DB460A">
        <w:t>landings</w:t>
      </w:r>
      <w:r w:rsidR="00511567">
        <w:t xml:space="preserve"> </w:t>
      </w:r>
      <w:r w:rsidR="002D7E59">
        <w:t>forecasting</w:t>
      </w:r>
      <w:r>
        <w:t xml:space="preserve">. </w:t>
      </w:r>
      <w:r w:rsidR="00511567">
        <w:t xml:space="preserve">First, improvements in catch forecasts beyond what is possible using prior catch (a null </w:t>
      </w:r>
      <w:r w:rsidR="001C2481">
        <w:t xml:space="preserve">autoregressive catch </w:t>
      </w:r>
      <w:r w:rsidR="00511567">
        <w:t xml:space="preserve">model) may be elusive. </w:t>
      </w:r>
      <w:r w:rsidR="001C2481">
        <w:t>All t</w:t>
      </w:r>
      <w:r w:rsidR="00511567">
        <w:t>he</w:t>
      </w:r>
      <w:r w:rsidR="00511567" w:rsidRPr="003E2A48">
        <w:t xml:space="preserve"> </w:t>
      </w:r>
      <w:r w:rsidR="00511567">
        <w:t>environment</w:t>
      </w:r>
      <w:r w:rsidR="00B209A0">
        <w:t>al</w:t>
      </w:r>
      <w:r w:rsidR="00511567">
        <w:t xml:space="preserve"> </w:t>
      </w:r>
      <w:r w:rsidR="00511567" w:rsidRPr="003E2A48">
        <w:t xml:space="preserve">covariates </w:t>
      </w:r>
      <w:r w:rsidR="00511567">
        <w:t xml:space="preserve">that we tested </w:t>
      </w:r>
      <w:r w:rsidR="00511567" w:rsidRPr="003E2A48">
        <w:t xml:space="preserve">are </w:t>
      </w:r>
      <w:r w:rsidR="00511567">
        <w:t>closely tied to factors that affect critical months of</w:t>
      </w:r>
      <w:r w:rsidR="00511567" w:rsidRPr="003E2A48">
        <w:t xml:space="preserve"> spawning, growth</w:t>
      </w:r>
      <w:r w:rsidR="00511567">
        <w:t>,</w:t>
      </w:r>
      <w:r w:rsidR="00511567" w:rsidRPr="003E2A48">
        <w:t xml:space="preserve"> survival</w:t>
      </w:r>
      <w:r w:rsidR="00511567">
        <w:t xml:space="preserve"> and movement </w:t>
      </w:r>
      <w:r w:rsidR="001C2481">
        <w:t xml:space="preserve">of sardines </w:t>
      </w:r>
      <w:r w:rsidR="00511567">
        <w:t>into the nearshore (where they are exposed to the fishery)</w:t>
      </w:r>
      <w:r w:rsidR="00511567" w:rsidRPr="003E2A48">
        <w:t xml:space="preserve">. </w:t>
      </w:r>
      <w:r w:rsidR="00511567">
        <w:t>Yet almost none of these explained catch variability, beyond what could be explained using a</w:t>
      </w:r>
      <w:r w:rsidR="002F14CB">
        <w:t xml:space="preserve"> simple</w:t>
      </w:r>
      <w:r w:rsidR="00511567">
        <w:t xml:space="preserve"> autoregressive catch model. Second</w:t>
      </w:r>
      <w:r w:rsidR="003E42D4">
        <w:t>,</w:t>
      </w:r>
      <w:r>
        <w:t xml:space="preserve"> non-linear effects are common and important to </w:t>
      </w:r>
      <w:r w:rsidR="00480683">
        <w:t>consider</w:t>
      </w:r>
      <w:r>
        <w:t xml:space="preserve">. </w:t>
      </w:r>
      <w:r w:rsidR="00511567">
        <w:t>Third</w:t>
      </w:r>
      <w:r w:rsidR="003E42D4">
        <w:t>,</w:t>
      </w:r>
      <w:r w:rsidR="008B0E14">
        <w:t xml:space="preserve"> </w:t>
      </w:r>
      <w:r w:rsidR="003E42D4">
        <w:t>c</w:t>
      </w:r>
      <w:r w:rsidR="00F9375B">
        <w:t xml:space="preserve">ovariate effects </w:t>
      </w:r>
      <w:r w:rsidR="00480683">
        <w:t xml:space="preserve">can </w:t>
      </w:r>
      <w:r w:rsidR="00F9375B">
        <w:t>change over time. Fisheries exist within complex multi-species ecological systems</w:t>
      </w:r>
      <w:r w:rsidR="00EF7621">
        <w:t xml:space="preserve"> and species and their life histories evolve</w:t>
      </w:r>
      <w:r w:rsidR="00F9375B">
        <w:t xml:space="preserve">. Forecast models will need to </w:t>
      </w:r>
      <w:r w:rsidR="00722A32">
        <w:t xml:space="preserve">guard against </w:t>
      </w:r>
      <w:r w:rsidR="00511567">
        <w:t xml:space="preserve">covariate </w:t>
      </w:r>
      <w:r w:rsidR="00722A32">
        <w:t>effects</w:t>
      </w:r>
      <w:r w:rsidR="00F9375B">
        <w:t xml:space="preserve"> </w:t>
      </w:r>
      <w:r w:rsidR="00DB460A">
        <w:t xml:space="preserve">that change over time and lead to an </w:t>
      </w:r>
      <w:r w:rsidR="001C2481">
        <w:t>ero</w:t>
      </w:r>
      <w:r w:rsidR="00DB460A">
        <w:t>sion of</w:t>
      </w:r>
      <w:r w:rsidR="001C2481">
        <w:t xml:space="preserve"> </w:t>
      </w:r>
      <w:r w:rsidR="003E42D4">
        <w:t xml:space="preserve">forecast </w:t>
      </w:r>
      <w:r w:rsidR="001C2481">
        <w:t>performance</w:t>
      </w:r>
      <w:r w:rsidR="00F9375B">
        <w:t xml:space="preserve">. </w:t>
      </w:r>
      <w:r w:rsidR="003E42D4">
        <w:t>Lastly</w:t>
      </w:r>
      <w:r w:rsidR="00F94D67">
        <w:t>, m</w:t>
      </w:r>
      <w:r w:rsidR="003E42D4">
        <w:t xml:space="preserve">odel complexity comes at a price particularly when the goal is </w:t>
      </w:r>
      <w:r w:rsidR="00E53259">
        <w:t>prediction</w:t>
      </w:r>
      <w:r w:rsidR="003E42D4">
        <w:t>.</w:t>
      </w:r>
      <w:r w:rsidR="00D8282F">
        <w:t xml:space="preserve"> </w:t>
      </w:r>
      <w:r w:rsidR="003E42D4">
        <w:t xml:space="preserve">Inclusion of out-of-sample </w:t>
      </w:r>
      <w:r w:rsidR="00F94D67">
        <w:t xml:space="preserve">prediction </w:t>
      </w:r>
      <w:r w:rsidR="003E42D4">
        <w:t xml:space="preserve">metrics is crucial as these can give a very different picture </w:t>
      </w:r>
      <w:r w:rsidR="002F14CB">
        <w:t>compared to</w:t>
      </w:r>
      <w:r w:rsidR="003E42D4">
        <w:t xml:space="preserve"> </w:t>
      </w:r>
      <w:r w:rsidR="00DB460A">
        <w:t>metrics for</w:t>
      </w:r>
      <w:r w:rsidR="003E42D4">
        <w:t xml:space="preserve"> model fit</w:t>
      </w:r>
      <w:r w:rsidR="002F14CB">
        <w:t xml:space="preserve"> alone</w:t>
      </w:r>
      <w:r w:rsidR="003E42D4">
        <w:t>. Covariates that are supported</w:t>
      </w:r>
      <w:r w:rsidR="00722A32">
        <w:t xml:space="preserve"> by model fit</w:t>
      </w:r>
      <w:r w:rsidR="003E42D4">
        <w:t xml:space="preserve">, even using </w:t>
      </w:r>
      <w:r w:rsidR="00F94D67">
        <w:t xml:space="preserve">model selection metrics </w:t>
      </w:r>
      <w:r w:rsidR="003E42D4">
        <w:t xml:space="preserve">that </w:t>
      </w:r>
      <w:r w:rsidR="003E42D4">
        <w:lastRenderedPageBreak/>
        <w:t xml:space="preserve">penalize extra complexity, may still be uninformative or even </w:t>
      </w:r>
      <w:proofErr w:type="spellStart"/>
      <w:r w:rsidR="003E42D4">
        <w:t>disinformative</w:t>
      </w:r>
      <w:proofErr w:type="spellEnd"/>
      <w:r w:rsidR="003E42D4">
        <w:t xml:space="preserve"> for out-of-sample prediction.</w:t>
      </w:r>
    </w:p>
    <w:p w14:paraId="41F5EBEB" w14:textId="3356C4CF" w:rsidR="008062F9" w:rsidRDefault="00511567" w:rsidP="00BA076B">
      <w:pPr>
        <w:pStyle w:val="BodyText"/>
        <w:spacing w:before="0" w:after="0" w:line="480" w:lineRule="auto"/>
        <w:ind w:firstLine="360"/>
      </w:pPr>
      <w:r>
        <w:t>Despite all this</w:t>
      </w:r>
      <w:r w:rsidR="004442FC">
        <w:t xml:space="preserve">, </w:t>
      </w:r>
      <w:r>
        <w:t xml:space="preserve">we found that </w:t>
      </w:r>
      <w:r w:rsidR="005736CF">
        <w:t>there were</w:t>
      </w:r>
      <w:r w:rsidR="004442FC">
        <w:t xml:space="preserve"> environmental covariates </w:t>
      </w:r>
      <w:r w:rsidR="005736CF">
        <w:t xml:space="preserve">that did </w:t>
      </w:r>
      <w:r w:rsidR="004442FC">
        <w:t xml:space="preserve">appreciably improve </w:t>
      </w:r>
      <w:r w:rsidR="00DB460A">
        <w:t>landings</w:t>
      </w:r>
      <w:r w:rsidR="004442FC">
        <w:t xml:space="preserve"> </w:t>
      </w:r>
      <w:r w:rsidR="00E53259">
        <w:t>prediction</w:t>
      </w:r>
      <w:r w:rsidR="00480683">
        <w:t>. I</w:t>
      </w:r>
      <w:r w:rsidR="004442FC">
        <w:t xml:space="preserve">n particular, the multiyear average sea surface temperature has </w:t>
      </w:r>
      <w:r w:rsidR="00F94D67">
        <w:t xml:space="preserve">now </w:t>
      </w:r>
      <w:r w:rsidR="004442FC">
        <w:t xml:space="preserve">emerged as an informative covariate across </w:t>
      </w:r>
      <w:r w:rsidR="002650D9">
        <w:t xml:space="preserve">multiple </w:t>
      </w:r>
      <w:r w:rsidR="004442FC">
        <w:t>studies on sardine species</w:t>
      </w:r>
      <w:r>
        <w:t>, and interestingly, the Atlantic Multidecadal Oscillation index</w:t>
      </w:r>
      <w:r w:rsidR="00FB2856">
        <w:t>—</w:t>
      </w:r>
      <w:r w:rsidR="003F01E5">
        <w:t>recent</w:t>
      </w:r>
      <w:r w:rsidR="001C2481">
        <w:t xml:space="preserve">ly </w:t>
      </w:r>
      <w:r w:rsidR="00FB2856">
        <w:t>shown to be correlated to oil sardines landings by</w:t>
      </w:r>
      <w:r w:rsidR="003F01E5">
        <w:t xml:space="preserve"> Hamza et al. (2020)</w:t>
      </w:r>
      <w:r w:rsidR="00FB2856">
        <w:t>—</w:t>
      </w:r>
      <w:r w:rsidR="001C2481">
        <w:t xml:space="preserve">was also </w:t>
      </w:r>
      <w:r w:rsidR="005736CF">
        <w:t>a</w:t>
      </w:r>
      <w:r w:rsidR="001D5BD1">
        <w:t xml:space="preserve">n </w:t>
      </w:r>
      <w:r w:rsidR="001C2481">
        <w:t>informative covariate in our analysis.</w:t>
      </w:r>
      <w:r w:rsidR="00FB2856">
        <w:t xml:space="preserve"> </w:t>
      </w:r>
      <w:r w:rsidR="002F14CB">
        <w:t xml:space="preserve">This suggests that the Indian oil sardine is affected by global-scale processes, in particular the teleconnection between the AMO and Indian Ocean processes (reviewed in Hu, Hu &amp; Hu, 2018; Zhang et al., 2019). </w:t>
      </w:r>
      <w:r w:rsidR="00F30D94">
        <w:t>W</w:t>
      </w:r>
      <w:r w:rsidR="00FB2856">
        <w:t xml:space="preserve">e see a number of fruitful directions to </w:t>
      </w:r>
      <w:r w:rsidR="00876B65">
        <w:t>explore</w:t>
      </w:r>
      <w:r w:rsidR="00FB2856">
        <w:t xml:space="preserve"> </w:t>
      </w:r>
      <w:r w:rsidR="00876B65">
        <w:t>to further</w:t>
      </w:r>
      <w:r w:rsidR="0028609E">
        <w:t xml:space="preserve"> improve</w:t>
      </w:r>
      <w:r w:rsidR="00FB2856">
        <w:t xml:space="preserve"> short-term forecasts. The first is incorporation of </w:t>
      </w:r>
      <w:r w:rsidR="0093230B">
        <w:t>direct leading indicators of catch</w:t>
      </w:r>
      <w:r w:rsidR="00876B65">
        <w:t xml:space="preserve">. </w:t>
      </w:r>
      <w:r w:rsidR="00B209A0">
        <w:t>W</w:t>
      </w:r>
      <w:r w:rsidR="0093230B">
        <w:t xml:space="preserve">e </w:t>
      </w:r>
      <w:r w:rsidR="00876B65">
        <w:t xml:space="preserve">did not </w:t>
      </w:r>
      <w:r w:rsidR="00B209A0">
        <w:t>show models with</w:t>
      </w:r>
      <w:r w:rsidR="0093230B">
        <w:t xml:space="preserve"> catch in the prior quarter as a predictor</w:t>
      </w:r>
      <w:r w:rsidR="00B209A0">
        <w:t>; surveys take time to process and report and thus data for the immediately prior quarter would not be available. Had we included the prior quarter catch, the fits and predictions would be much better</w:t>
      </w:r>
      <w:r w:rsidR="0093230B">
        <w:t xml:space="preserve">. </w:t>
      </w:r>
      <w:r w:rsidR="00B209A0">
        <w:t>However, models could use preliminary catch numbers from the beginning of the prior quarter</w:t>
      </w:r>
      <w:r w:rsidR="001D5BD1">
        <w:t xml:space="preserve"> from sentinel landing centers or gear types</w:t>
      </w:r>
      <w:r w:rsidR="00B209A0">
        <w:t xml:space="preserve">. This would be feasible without a new data collection scheme and would </w:t>
      </w:r>
      <w:r w:rsidR="001D5BD1">
        <w:t>certainly</w:t>
      </w:r>
      <w:r w:rsidR="00B209A0">
        <w:t xml:space="preserve"> improve the short-term forecasts for the next quarter. </w:t>
      </w:r>
      <w:r w:rsidR="00876B65">
        <w:t xml:space="preserve">A longer-term approach would be </w:t>
      </w:r>
      <w:r w:rsidR="0028609E">
        <w:t xml:space="preserve">incorporation of recruitment information from </w:t>
      </w:r>
      <w:r w:rsidR="00876B65">
        <w:t>egg or larval density surveys</w:t>
      </w:r>
      <w:r w:rsidR="0028609E">
        <w:t>. Such surveys have been conducted on the U.S. West coast since the 1940s by the</w:t>
      </w:r>
      <w:r w:rsidR="00F30D94">
        <w:t xml:space="preserve"> </w:t>
      </w:r>
      <w:r w:rsidR="00F30D94" w:rsidRPr="00F30D94">
        <w:t>California Cooperative Oceanic Fisheries Investigations (CalCOFI) Program</w:t>
      </w:r>
      <w:r w:rsidR="0028609E">
        <w:t xml:space="preserve"> (Gallo et al.</w:t>
      </w:r>
      <w:r w:rsidR="001D5BD1">
        <w:t>,</w:t>
      </w:r>
      <w:r w:rsidR="0028609E">
        <w:t xml:space="preserve"> 2019), and these data </w:t>
      </w:r>
      <w:r w:rsidR="00876B65">
        <w:t xml:space="preserve">have been successfully </w:t>
      </w:r>
      <w:r w:rsidR="00741297">
        <w:t xml:space="preserve">used </w:t>
      </w:r>
      <w:r w:rsidR="00876B65">
        <w:t xml:space="preserve">to improve abundance estimation and management </w:t>
      </w:r>
      <w:r w:rsidR="0028609E">
        <w:t>of</w:t>
      </w:r>
      <w:r w:rsidR="00876B65">
        <w:t xml:space="preserve"> the</w:t>
      </w:r>
      <w:r w:rsidR="00741297">
        <w:t xml:space="preserve"> Pacific sardine (</w:t>
      </w:r>
      <w:r w:rsidR="00741297" w:rsidRPr="00741297">
        <w:t>McClatchie</w:t>
      </w:r>
      <w:r w:rsidR="00876B65">
        <w:t xml:space="preserve">, </w:t>
      </w:r>
      <w:r w:rsidR="00741297" w:rsidRPr="00741297">
        <w:t>2014).</w:t>
      </w:r>
      <w:r w:rsidR="003B5D50">
        <w:t xml:space="preserve"> Leading abundance indicators, such as from preliminary catch data or </w:t>
      </w:r>
      <w:r w:rsidR="003B5D50">
        <w:lastRenderedPageBreak/>
        <w:t>larval surveys, are likely to be especially important if climate changes alter past relationships of catch with the environmental covariates.</w:t>
      </w:r>
    </w:p>
    <w:p w14:paraId="1C6235E3" w14:textId="22C9185C" w:rsidR="004627D8" w:rsidRDefault="004627D8" w:rsidP="00DB6767">
      <w:pPr>
        <w:pStyle w:val="BodyText"/>
        <w:spacing w:before="0" w:after="0" w:line="480" w:lineRule="auto"/>
        <w:ind w:firstLine="360"/>
      </w:pPr>
      <w:r w:rsidRPr="003E2A48">
        <w:t>The temperature of the Western Indian Ocean</w:t>
      </w:r>
      <w:r>
        <w:t xml:space="preserve"> </w:t>
      </w:r>
      <w:r w:rsidRPr="003E2A48">
        <w:t>has been increasing over the last century at a</w:t>
      </w:r>
      <w:r>
        <w:t xml:space="preserve"> greater</w:t>
      </w:r>
      <w:r w:rsidRPr="003E2A48">
        <w:t xml:space="preserve"> rate than </w:t>
      </w:r>
      <w:r>
        <w:t xml:space="preserve">in </w:t>
      </w:r>
      <w:r w:rsidRPr="003E2A48">
        <w:t>any other tropical ocean (Roxy</w:t>
      </w:r>
      <w:r>
        <w:t>,</w:t>
      </w:r>
      <w:r w:rsidRPr="00685AF2">
        <w:t xml:space="preserve"> </w:t>
      </w:r>
      <w:r w:rsidRPr="003E2A48">
        <w:t>Ritika, Terray, &amp; Masson,</w:t>
      </w:r>
      <w:r>
        <w:t xml:space="preserve"> </w:t>
      </w:r>
      <w:r w:rsidRPr="003E2A48">
        <w:t>2014)</w:t>
      </w:r>
      <w:r>
        <w:t>,</w:t>
      </w:r>
      <w:r w:rsidRPr="003E2A48">
        <w:t xml:space="preserve"> and warming has been most extreme during the summer monsoon months. </w:t>
      </w:r>
      <w:r>
        <w:t>These changes are</w:t>
      </w:r>
      <w:r w:rsidRPr="003E2A48">
        <w:t xml:space="preserve"> affecting </w:t>
      </w:r>
      <w:r>
        <w:t xml:space="preserve">the </w:t>
      </w:r>
      <w:r w:rsidRPr="003E2A48">
        <w:t>oil sardine distribution, with significant landings now occurring north of Goa (Vivekanandan</w:t>
      </w:r>
      <w:r>
        <w:t xml:space="preserve">, </w:t>
      </w:r>
      <w:r w:rsidRPr="003E2A48">
        <w:t>Rajagopalan, &amp; Pillai, 2009). Continued warming is expected to affect the productivity of the region via multiple pathways, including</w:t>
      </w:r>
      <w:r>
        <w:t xml:space="preserve"> </w:t>
      </w:r>
      <w:r w:rsidRPr="003E2A48">
        <w:t xml:space="preserve">changes </w:t>
      </w:r>
      <w:r>
        <w:t>in</w:t>
      </w:r>
      <w:r w:rsidRPr="003E2A48">
        <w:t xml:space="preserve"> salinity, oxygen concentration, currents, wind patterns, ocean stratification</w:t>
      </w:r>
      <w:r>
        <w:t>,</w:t>
      </w:r>
      <w:r w:rsidRPr="003E2A48">
        <w:t xml:space="preserve"> and upwelling spatial patterns, phenology, and intensity (Moustahfid</w:t>
      </w:r>
      <w:r>
        <w:t xml:space="preserve">, </w:t>
      </w:r>
      <w:r w:rsidRPr="003E2A48">
        <w:t xml:space="preserve">Marsac, &amp; Grangopadhyay, 2018). </w:t>
      </w:r>
      <w:r>
        <w:t>The i</w:t>
      </w:r>
      <w:r w:rsidRPr="003E2A48">
        <w:t>ncorporati</w:t>
      </w:r>
      <w:r>
        <w:t>on of</w:t>
      </w:r>
      <w:r w:rsidRPr="003E2A48">
        <w:t xml:space="preserve"> environmental covariates into landings forecasts has the potential to improve fisher</w:t>
      </w:r>
      <w:r>
        <w:t>y</w:t>
      </w:r>
      <w:r w:rsidRPr="003E2A48">
        <w:t xml:space="preserve"> management for small pelagic</w:t>
      </w:r>
      <w:r>
        <w:t xml:space="preserve"> specie</w:t>
      </w:r>
      <w:r w:rsidRPr="003E2A48">
        <w:t>s</w:t>
      </w:r>
      <w:r>
        <w:t>,</w:t>
      </w:r>
      <w:r w:rsidRPr="003E2A48">
        <w:t xml:space="preserve"> such as oil sardines</w:t>
      </w:r>
      <w:r>
        <w:t>,</w:t>
      </w:r>
      <w:r w:rsidRPr="003E2A48">
        <w:t xml:space="preserve"> in the face of a changing ocean environment (Haltuch et al., 2019; Tommasi et al., 2016). However,</w:t>
      </w:r>
      <w:r>
        <w:t xml:space="preserve"> </w:t>
      </w:r>
      <w:r w:rsidR="001C2481">
        <w:t xml:space="preserve">careful </w:t>
      </w:r>
      <w:r w:rsidR="00DB6767">
        <w:t xml:space="preserve">performance </w:t>
      </w:r>
      <w:r w:rsidR="001C2481">
        <w:t xml:space="preserve">testing of the environmental covariates will be needed and </w:t>
      </w:r>
      <w:r w:rsidR="00DB6767">
        <w:t>expectations as to how much environmental covariates can improve forecasts should be tempered</w:t>
      </w:r>
      <w:r w:rsidR="00E41FB2">
        <w:t xml:space="preserve">, especially if there are </w:t>
      </w:r>
      <w:r w:rsidR="001D5BD1">
        <w:t xml:space="preserve">multi-month </w:t>
      </w:r>
      <w:r w:rsidR="00E41FB2">
        <w:t xml:space="preserve">lags in the landings data </w:t>
      </w:r>
      <w:r w:rsidR="001D5BD1">
        <w:t xml:space="preserve">available to include in the forecast </w:t>
      </w:r>
      <w:r w:rsidR="00E41FB2">
        <w:t xml:space="preserve">or </w:t>
      </w:r>
      <w:r w:rsidR="00B03057">
        <w:t xml:space="preserve">if </w:t>
      </w:r>
      <w:r w:rsidR="001D5BD1">
        <w:t xml:space="preserve">new sources of abundance indicators, such as </w:t>
      </w:r>
      <w:r w:rsidR="00876B65">
        <w:t>recruitment surveys</w:t>
      </w:r>
      <w:r w:rsidR="001D5BD1">
        <w:t>,</w:t>
      </w:r>
      <w:r w:rsidR="00876B65">
        <w:t xml:space="preserve"> remain unavailable.</w:t>
      </w:r>
    </w:p>
    <w:p w14:paraId="67FF3342" w14:textId="77777777" w:rsidR="00DD79C4" w:rsidRDefault="00DD79C4" w:rsidP="00354701">
      <w:pPr>
        <w:spacing w:line="480" w:lineRule="auto"/>
      </w:pPr>
      <w:bookmarkStart w:id="16" w:name="references"/>
    </w:p>
    <w:p w14:paraId="0BE0C1CC" w14:textId="291BEAF5" w:rsidR="00DD79C4" w:rsidRPr="003E2A48" w:rsidRDefault="00DD79C4" w:rsidP="00DD79C4">
      <w:pPr>
        <w:pStyle w:val="Heading1"/>
        <w:spacing w:before="0" w:line="480" w:lineRule="auto"/>
        <w:rPr>
          <w:rFonts w:asciiTheme="minorHAnsi" w:hAnsiTheme="minorHAnsi"/>
          <w:color w:val="auto"/>
          <w:sz w:val="24"/>
          <w:szCs w:val="24"/>
        </w:rPr>
      </w:pPr>
      <w:r w:rsidRPr="003E2A48">
        <w:rPr>
          <w:rFonts w:asciiTheme="minorHAnsi" w:hAnsiTheme="minorHAnsi"/>
          <w:color w:val="auto"/>
          <w:sz w:val="24"/>
          <w:szCs w:val="24"/>
        </w:rPr>
        <w:t>CON</w:t>
      </w:r>
      <w:r>
        <w:rPr>
          <w:rFonts w:asciiTheme="minorHAnsi" w:hAnsiTheme="minorHAnsi"/>
          <w:color w:val="auto"/>
          <w:sz w:val="24"/>
          <w:szCs w:val="24"/>
        </w:rPr>
        <w:t>FLICT OF INTEREST</w:t>
      </w:r>
    </w:p>
    <w:p w14:paraId="6DCC09BD" w14:textId="470B81F2" w:rsidR="00DD79C4" w:rsidRDefault="00DD79C4" w:rsidP="00F669B6">
      <w:pPr>
        <w:pStyle w:val="BodyText"/>
        <w:spacing w:before="0" w:after="0" w:line="480" w:lineRule="auto"/>
      </w:pPr>
      <w:r>
        <w:t>The authors have no conflicts of interest to declare.</w:t>
      </w:r>
    </w:p>
    <w:p w14:paraId="1F84F5A9" w14:textId="343D8B79" w:rsidR="004A0EEF" w:rsidRDefault="004A0EEF" w:rsidP="00F669B6">
      <w:pPr>
        <w:pStyle w:val="BodyText"/>
        <w:spacing w:before="0" w:after="0" w:line="480" w:lineRule="auto"/>
      </w:pPr>
    </w:p>
    <w:p w14:paraId="65E73C0C" w14:textId="4C10AA8F" w:rsidR="004A0EEF" w:rsidRPr="003E2A48" w:rsidRDefault="004A0EEF" w:rsidP="004A0EEF">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lastRenderedPageBreak/>
        <w:t>DATA AVAILABILITY STATEMENT</w:t>
      </w:r>
    </w:p>
    <w:p w14:paraId="12685E75" w14:textId="33EAC60F" w:rsidR="000558C7" w:rsidRPr="004A0EEF" w:rsidRDefault="004A0EEF" w:rsidP="00C46823">
      <w:pPr>
        <w:spacing w:line="480" w:lineRule="auto"/>
      </w:pPr>
      <w:r w:rsidRPr="004A0EEF">
        <w:t xml:space="preserve">The </w:t>
      </w:r>
      <w:r w:rsidR="00C46823">
        <w:t xml:space="preserve">raw </w:t>
      </w:r>
      <w:r w:rsidRPr="004A0EEF">
        <w:t xml:space="preserve">data that supports the findings of this study are available in the </w:t>
      </w:r>
      <w:r w:rsidR="00C46823">
        <w:t xml:space="preserve">data table in the </w:t>
      </w:r>
      <w:r w:rsidRPr="004A0EEF">
        <w:t>supplementary material of this article</w:t>
      </w:r>
      <w:r>
        <w:t xml:space="preserve">. </w:t>
      </w:r>
      <w:r w:rsidRPr="004A0EEF">
        <w:t>The</w:t>
      </w:r>
      <w:r>
        <w:t xml:space="preserve"> data</w:t>
      </w:r>
      <w:r w:rsidRPr="004A0EEF">
        <w:t xml:space="preserve"> were derived from the following resources available in the public domain</w:t>
      </w:r>
      <w:r>
        <w:t>. SST, chlorophyll-a</w:t>
      </w:r>
      <w:r w:rsidR="00E67C61">
        <w:t xml:space="preserve"> concentration</w:t>
      </w:r>
      <w:r>
        <w:t xml:space="preserve">, </w:t>
      </w:r>
      <w:r w:rsidR="00FA1C30">
        <w:t>and ocean currents</w:t>
      </w:r>
      <w:r>
        <w:t xml:space="preserve">: NOAA ERDDAP data server </w:t>
      </w:r>
      <w:r w:rsidRPr="004A0EEF">
        <w:t>https://coastwatch.pfeg.noaa.gov/</w:t>
      </w:r>
      <w:r w:rsidR="00970E37">
        <w:t>erddap</w:t>
      </w:r>
      <w:r>
        <w:t xml:space="preserve">. </w:t>
      </w:r>
      <w:r w:rsidR="00970E37">
        <w:t xml:space="preserve">Ocean winds from the ERA5 Global Reanalysis: Asia-Pacific Data Research Center ERDDAP data server </w:t>
      </w:r>
      <w:r w:rsidR="00970E37" w:rsidRPr="00970E37">
        <w:t>http://apdrc.soest.hawaii.edu/erddap</w:t>
      </w:r>
      <w:r w:rsidR="00970E37">
        <w:t xml:space="preserve">. </w:t>
      </w:r>
      <w:r>
        <w:t>Ocean precipitation: NOAA/NCEI Global Precipitation</w:t>
      </w:r>
      <w:r w:rsidR="00C46823">
        <w:t xml:space="preserve"> </w:t>
      </w:r>
      <w:r>
        <w:t xml:space="preserve">Climatology Project </w:t>
      </w:r>
      <w:r w:rsidR="00C46823" w:rsidRPr="00C46823">
        <w:t>https://www.ncei.noaa.gov</w:t>
      </w:r>
      <w:r w:rsidR="00C46823">
        <w:t xml:space="preserve">. Land precipitation: Open Government Data Platform India </w:t>
      </w:r>
      <w:r w:rsidR="00C46823" w:rsidRPr="00C46823">
        <w:t>https://data.gov.in</w:t>
      </w:r>
      <w:r w:rsidR="00C46823">
        <w:t xml:space="preserve">. ONI: U.S. National Weather Service Climate Prediction Center </w:t>
      </w:r>
      <w:r w:rsidR="00C46823" w:rsidRPr="00C46823">
        <w:t>http</w:t>
      </w:r>
      <w:r w:rsidR="004B413E">
        <w:t>s</w:t>
      </w:r>
      <w:r w:rsidR="00C46823" w:rsidRPr="00C46823">
        <w:t>://www.cpc.ncep.noaa.gov</w:t>
      </w:r>
      <w:r w:rsidR="00C46823">
        <w:t xml:space="preserve">. DMI: Japan Agency for Marine-Earth Science and Technology </w:t>
      </w:r>
      <w:r w:rsidR="00C46823" w:rsidRPr="00C46823">
        <w:t>http://www.jamstec.go.jp</w:t>
      </w:r>
      <w:r w:rsidR="00C46823">
        <w:t xml:space="preserve">. </w:t>
      </w:r>
      <w:r w:rsidR="004B413E">
        <w:t>PDO and AMO: U.S. NOAA Physical Sciences Laboratory</w:t>
      </w:r>
      <w:r w:rsidR="004B413E" w:rsidRPr="004B413E">
        <w:t xml:space="preserve"> https://psl.noaa.gov/</w:t>
      </w:r>
      <w:r w:rsidR="004B413E">
        <w:t xml:space="preserve">. </w:t>
      </w:r>
      <w:r w:rsidR="00C46823">
        <w:t>Landings data: Reports and databases published by the Central Marine Fisheries Research Institute http://www.cmfri.org.in.</w:t>
      </w:r>
      <w:r w:rsidR="000558C7" w:rsidRPr="003E2A48">
        <w:br w:type="page"/>
      </w:r>
    </w:p>
    <w:p w14:paraId="13C67D30" w14:textId="0BE736BA" w:rsidR="0069538F" w:rsidRPr="003E2A48" w:rsidRDefault="00185159" w:rsidP="00AA3B73">
      <w:pPr>
        <w:pStyle w:val="Heading1"/>
        <w:spacing w:before="0" w:line="480" w:lineRule="auto"/>
      </w:pPr>
      <w:r w:rsidRPr="003E2A48">
        <w:rPr>
          <w:rFonts w:asciiTheme="minorHAnsi" w:hAnsiTheme="minorHAnsi"/>
          <w:color w:val="auto"/>
          <w:sz w:val="24"/>
          <w:szCs w:val="24"/>
        </w:rPr>
        <w:lastRenderedPageBreak/>
        <w:t>REFERENCES</w:t>
      </w:r>
      <w:bookmarkStart w:id="17" w:name="ref-AlheitHagen1997"/>
      <w:bookmarkStart w:id="18" w:name="refs"/>
      <w:bookmarkEnd w:id="16"/>
    </w:p>
    <w:p w14:paraId="40BD5C99" w14:textId="77777777" w:rsidR="008062F9" w:rsidRPr="00CE477A" w:rsidRDefault="00806920" w:rsidP="00AA3B73">
      <w:pPr>
        <w:pStyle w:val="Bibliography"/>
        <w:spacing w:line="480" w:lineRule="auto"/>
        <w:ind w:left="360" w:hanging="360"/>
      </w:pPr>
      <w:r w:rsidRPr="00CE477A">
        <w:t>A</w:t>
      </w:r>
      <w:r w:rsidRPr="001A7D4A">
        <w:t>lheit, J., &amp; H</w:t>
      </w:r>
      <w:r w:rsidRPr="00C71234">
        <w:t xml:space="preserve">agen, E. (1997). Long-term climate forcing of European herring and sardine populations. </w:t>
      </w:r>
      <w:r w:rsidRPr="00685AF2">
        <w:rPr>
          <w:i/>
        </w:rPr>
        <w:t>Fisheries Oceanography</w:t>
      </w:r>
      <w:r w:rsidRPr="00685AF2">
        <w:t xml:space="preserve">, </w:t>
      </w:r>
      <w:r w:rsidRPr="00685AF2">
        <w:rPr>
          <w:i/>
        </w:rPr>
        <w:t>6</w:t>
      </w:r>
      <w:r w:rsidRPr="00685AF2">
        <w:t xml:space="preserve">(2), 130–139. </w:t>
      </w:r>
      <w:hyperlink r:id="rId7">
        <w:r w:rsidRPr="001A7D4A">
          <w:rPr>
            <w:rStyle w:val="Hyperlink"/>
            <w:color w:val="auto"/>
          </w:rPr>
          <w:t>https://doi.org</w:t>
        </w:r>
        <w:r w:rsidRPr="00C71234">
          <w:rPr>
            <w:rStyle w:val="Hyperlink"/>
            <w:color w:val="auto"/>
          </w:rPr>
          <w:t>/10.1046/j.1365-2419.1997.00035.x</w:t>
        </w:r>
      </w:hyperlink>
    </w:p>
    <w:p w14:paraId="3B964255" w14:textId="14C03FF7" w:rsidR="008062F9" w:rsidRPr="00CE477A" w:rsidRDefault="00806920" w:rsidP="00AA3B73">
      <w:pPr>
        <w:pStyle w:val="Bibliography"/>
        <w:spacing w:line="480" w:lineRule="auto"/>
        <w:ind w:left="360" w:hanging="360"/>
      </w:pPr>
      <w:bookmarkStart w:id="19" w:name="ref-Alheitetal2012"/>
      <w:bookmarkEnd w:id="17"/>
      <w:r w:rsidRPr="001A7D4A">
        <w:t>Alheit, J.,</w:t>
      </w:r>
      <w:r w:rsidRPr="00C71234">
        <w:t xml:space="preserve"> Pohlmann, T., Casini, M., Greve, W., Hinrichs, R., Mathis, M., … Wagner, C. (2012). Climate variability drives anchovies and </w:t>
      </w:r>
      <w:r w:rsidRPr="00685AF2">
        <w:t xml:space="preserve">sardines into the North and Baltic Seas. </w:t>
      </w:r>
      <w:r w:rsidRPr="00685AF2">
        <w:rPr>
          <w:i/>
        </w:rPr>
        <w:t>Progress in Oceanography</w:t>
      </w:r>
      <w:r w:rsidRPr="00685AF2">
        <w:t xml:space="preserve">, </w:t>
      </w:r>
      <w:r w:rsidRPr="00685AF2">
        <w:rPr>
          <w:i/>
        </w:rPr>
        <w:t>96</w:t>
      </w:r>
      <w:r w:rsidRPr="00685AF2">
        <w:t xml:space="preserve">(1), 128–139. </w:t>
      </w:r>
      <w:hyperlink w:history="1"/>
      <w:r w:rsidR="008B0010" w:rsidRPr="00BA076B">
        <w:t>https://doi.org/10.1016/j.pocean.2011.11.015</w:t>
      </w:r>
    </w:p>
    <w:p w14:paraId="19DB6CCE" w14:textId="5838EED3" w:rsidR="00ED1FAD" w:rsidRDefault="00ED1FAD" w:rsidP="00AA3B73">
      <w:pPr>
        <w:pStyle w:val="Bibliography"/>
        <w:spacing w:line="480" w:lineRule="auto"/>
        <w:ind w:left="360" w:hanging="360"/>
      </w:pPr>
      <w:bookmarkStart w:id="20" w:name="ref-Annigeri1969"/>
      <w:bookmarkEnd w:id="19"/>
      <w:r w:rsidRPr="00ED1FAD">
        <w:t xml:space="preserve">Alheit, J., Gröger, J., Licandro, P., McQuinn, I. H., Pohlmann, T., &amp; Tsikliras, A. C. (2019). What happened in the mid-1990s? The coupled ocean-atmosphere processes behind climate-induced ecosystem changes in the Northeast Atlantic and the Mediterranean. </w:t>
      </w:r>
      <w:r w:rsidRPr="00BA076B">
        <w:rPr>
          <w:i/>
          <w:iCs/>
        </w:rPr>
        <w:t>Deep Sea Research Part II: Topical Studies in Oceanography</w:t>
      </w:r>
      <w:r w:rsidR="008B0010">
        <w:t>.</w:t>
      </w:r>
      <w:r w:rsidRPr="00ED1FAD">
        <w:t xml:space="preserve"> 159, 130–142. https://doi.org/10.1016/j.dsr2.2018.11.011  </w:t>
      </w:r>
    </w:p>
    <w:p w14:paraId="0E7B8E2C" w14:textId="4B265D70" w:rsidR="008062F9" w:rsidRPr="00685AF2" w:rsidRDefault="00806920" w:rsidP="00AA3B73">
      <w:pPr>
        <w:pStyle w:val="Bibliography"/>
        <w:spacing w:line="480" w:lineRule="auto"/>
        <w:ind w:left="360" w:hanging="360"/>
      </w:pPr>
      <w:r w:rsidRPr="001A7D4A">
        <w:t>Ann</w:t>
      </w:r>
      <w:r w:rsidRPr="00C71234">
        <w:t xml:space="preserve">igeri, G. G. (1969). Fishery and biology of the oil sardine at Karwar. </w:t>
      </w:r>
      <w:r w:rsidRPr="00685AF2">
        <w:rPr>
          <w:i/>
        </w:rPr>
        <w:t>Indian Journal of Fisheries</w:t>
      </w:r>
      <w:r w:rsidRPr="00685AF2">
        <w:t xml:space="preserve">, </w:t>
      </w:r>
      <w:r w:rsidRPr="00685AF2">
        <w:rPr>
          <w:i/>
        </w:rPr>
        <w:t>16</w:t>
      </w:r>
      <w:r w:rsidRPr="00685AF2">
        <w:t>(1/2), 35–50.</w:t>
      </w:r>
    </w:p>
    <w:p w14:paraId="3509F8EA" w14:textId="77777777" w:rsidR="008062F9" w:rsidRPr="00685AF2" w:rsidRDefault="00806920" w:rsidP="00AA3B73">
      <w:pPr>
        <w:pStyle w:val="Bibliography"/>
        <w:spacing w:line="480" w:lineRule="auto"/>
        <w:ind w:left="360" w:hanging="360"/>
      </w:pPr>
      <w:bookmarkStart w:id="21" w:name="ref-AntonyRaja1964"/>
      <w:bookmarkEnd w:id="20"/>
      <w:r w:rsidRPr="00685AF2">
        <w:t xml:space="preserve">Antony Raja, B. T. (1964). Some aspects of spawning biology of Indian oil sardine </w:t>
      </w:r>
      <w:r w:rsidRPr="00EA3167">
        <w:rPr>
          <w:i/>
          <w:iCs/>
        </w:rPr>
        <w:t>Sardinella longiceps</w:t>
      </w:r>
      <w:r w:rsidRPr="00685AF2">
        <w:t xml:space="preserve"> Valenciennes. </w:t>
      </w:r>
      <w:r w:rsidRPr="00685AF2">
        <w:rPr>
          <w:i/>
        </w:rPr>
        <w:t>Indian Journal of Fisheries</w:t>
      </w:r>
      <w:r w:rsidRPr="00685AF2">
        <w:t xml:space="preserve">, </w:t>
      </w:r>
      <w:r w:rsidRPr="00685AF2">
        <w:rPr>
          <w:i/>
        </w:rPr>
        <w:t>11</w:t>
      </w:r>
      <w:r w:rsidRPr="00685AF2">
        <w:t>(1), 45–120.</w:t>
      </w:r>
    </w:p>
    <w:p w14:paraId="5A9EF50F" w14:textId="77777777" w:rsidR="008062F9" w:rsidRPr="00685AF2" w:rsidRDefault="00806920" w:rsidP="00AA3B73">
      <w:pPr>
        <w:pStyle w:val="Bibliography"/>
        <w:spacing w:line="480" w:lineRule="auto"/>
        <w:ind w:left="360" w:hanging="360"/>
      </w:pPr>
      <w:bookmarkStart w:id="22" w:name="ref-AntonyRaja1969"/>
      <w:bookmarkEnd w:id="21"/>
      <w:r w:rsidRPr="00685AF2">
        <w:t xml:space="preserve">Antony Raja, B. T. (1969). Indian oil sardine. </w:t>
      </w:r>
      <w:r w:rsidRPr="00685AF2">
        <w:rPr>
          <w:i/>
        </w:rPr>
        <w:t>CMFRI Bulletin</w:t>
      </w:r>
      <w:r w:rsidRPr="00685AF2">
        <w:t xml:space="preserve">, </w:t>
      </w:r>
      <w:r w:rsidRPr="00685AF2">
        <w:rPr>
          <w:i/>
        </w:rPr>
        <w:t>16</w:t>
      </w:r>
      <w:r w:rsidRPr="00685AF2">
        <w:t>, 1–142.</w:t>
      </w:r>
    </w:p>
    <w:p w14:paraId="1F2C284D" w14:textId="77777777" w:rsidR="008062F9" w:rsidRPr="00685AF2" w:rsidRDefault="00806920" w:rsidP="00AA3B73">
      <w:pPr>
        <w:pStyle w:val="Bibliography"/>
        <w:spacing w:line="480" w:lineRule="auto"/>
        <w:ind w:left="360" w:hanging="360"/>
      </w:pPr>
      <w:bookmarkStart w:id="23" w:name="ref-AntonyRaja1970"/>
      <w:bookmarkEnd w:id="22"/>
      <w:r w:rsidRPr="00685AF2">
        <w:t xml:space="preserve">Antony Raja, B. T. (1970). Estimation of age and growth of the Indian oil sardine, </w:t>
      </w:r>
      <w:r w:rsidRPr="00EA3167">
        <w:rPr>
          <w:i/>
          <w:iCs/>
        </w:rPr>
        <w:t>Sardinella longiceps</w:t>
      </w:r>
      <w:r w:rsidRPr="00685AF2">
        <w:t xml:space="preserve"> Val. </w:t>
      </w:r>
      <w:r w:rsidRPr="00685AF2">
        <w:rPr>
          <w:i/>
        </w:rPr>
        <w:t>Indian Journal of Fisheries</w:t>
      </w:r>
      <w:r w:rsidRPr="00685AF2">
        <w:t xml:space="preserve">, </w:t>
      </w:r>
      <w:r w:rsidRPr="00685AF2">
        <w:rPr>
          <w:i/>
        </w:rPr>
        <w:t>17</w:t>
      </w:r>
      <w:r w:rsidRPr="00685AF2">
        <w:t>(1/2), 26–42.</w:t>
      </w:r>
    </w:p>
    <w:p w14:paraId="7C12E25E" w14:textId="77777777" w:rsidR="008062F9" w:rsidRPr="00685AF2" w:rsidRDefault="00806920" w:rsidP="00AA3B73">
      <w:pPr>
        <w:pStyle w:val="Bibliography"/>
        <w:spacing w:line="480" w:lineRule="auto"/>
        <w:ind w:left="360" w:hanging="360"/>
      </w:pPr>
      <w:bookmarkStart w:id="24" w:name="ref-AntonyRaja1974"/>
      <w:bookmarkEnd w:id="23"/>
      <w:r w:rsidRPr="00685AF2">
        <w:t xml:space="preserve">Antony Raja, B. T. (1974). Possible explanation for the fluctuation in abundance of the Indian oil sardine, </w:t>
      </w:r>
      <w:r w:rsidRPr="00EA3167">
        <w:rPr>
          <w:i/>
          <w:iCs/>
        </w:rPr>
        <w:t>Sardinella longiceps</w:t>
      </w:r>
      <w:r w:rsidRPr="00685AF2">
        <w:t xml:space="preserve"> Valenciennes. </w:t>
      </w:r>
      <w:r w:rsidRPr="00685AF2">
        <w:rPr>
          <w:i/>
        </w:rPr>
        <w:t>Proceedings of the Indo-Pacific Fisheries Council</w:t>
      </w:r>
      <w:r w:rsidRPr="00685AF2">
        <w:t xml:space="preserve">, </w:t>
      </w:r>
      <w:r w:rsidRPr="00685AF2">
        <w:rPr>
          <w:i/>
        </w:rPr>
        <w:t>15</w:t>
      </w:r>
      <w:r w:rsidRPr="00685AF2">
        <w:t>(3), 241–252.</w:t>
      </w:r>
    </w:p>
    <w:p w14:paraId="7B832C87" w14:textId="1A019B10" w:rsidR="008062F9" w:rsidRPr="00685AF2" w:rsidRDefault="00806920" w:rsidP="00AA3B73">
      <w:pPr>
        <w:pStyle w:val="Bibliography"/>
        <w:spacing w:line="480" w:lineRule="auto"/>
        <w:ind w:left="360" w:hanging="360"/>
      </w:pPr>
      <w:bookmarkStart w:id="25" w:name="ref-Bakunetal2008"/>
      <w:bookmarkEnd w:id="24"/>
      <w:r w:rsidRPr="00685AF2">
        <w:lastRenderedPageBreak/>
        <w:t xml:space="preserve">Bakun, A., Roy, C., &amp; Lluch-Cota, S. (2008). Coastal upwelling and other processes regulating ecosystem productivity and fish production in the western Indian Ocean. In K. Sherman, E. N. Okemwa, &amp; M. J. Ntiba (Eds.), </w:t>
      </w:r>
      <w:r w:rsidRPr="00685AF2">
        <w:rPr>
          <w:i/>
        </w:rPr>
        <w:t xml:space="preserve">Large marine ecosystems of the Indian </w:t>
      </w:r>
      <w:r w:rsidR="00DD5689">
        <w:rPr>
          <w:i/>
        </w:rPr>
        <w:t>O</w:t>
      </w:r>
      <w:r w:rsidR="00DD5689" w:rsidRPr="00685AF2">
        <w:rPr>
          <w:i/>
        </w:rPr>
        <w:t>cean:</w:t>
      </w:r>
      <w:r w:rsidRPr="00685AF2">
        <w:rPr>
          <w:i/>
        </w:rPr>
        <w:t xml:space="preserve"> Assessment, sustainability and management</w:t>
      </w:r>
      <w:r w:rsidRPr="00685AF2">
        <w:t xml:space="preserve"> (pp. 103–141). Londres: Blackwell.</w:t>
      </w:r>
    </w:p>
    <w:p w14:paraId="3DE3A18F" w14:textId="251960C4" w:rsidR="00175B7E" w:rsidRDefault="00175B7E" w:rsidP="00175B7E">
      <w:pPr>
        <w:pStyle w:val="Bibliography"/>
        <w:spacing w:line="480" w:lineRule="auto"/>
        <w:ind w:left="360" w:hanging="360"/>
      </w:pPr>
      <w:bookmarkStart w:id="26" w:name="ref-Bensam1964a"/>
      <w:bookmarkEnd w:id="25"/>
      <w:r>
        <w:t xml:space="preserve">Barth, J. A., Menge, B. A., Lubchenco, J., Chan, F., Bane, J. M., Kirincich, A. R., McManus, M. A., Nielsen, K. J., Pierce, S. D., </w:t>
      </w:r>
      <w:r w:rsidR="0036181B">
        <w:t>&amp;</w:t>
      </w:r>
      <w:r>
        <w:t xml:space="preserve"> Washburn, L. (2007). Delayed upwelling alters nearshore coastal ocean ecosystems in the northern California </w:t>
      </w:r>
      <w:r w:rsidR="0036181B">
        <w:t>C</w:t>
      </w:r>
      <w:r>
        <w:t xml:space="preserve">urrent. </w:t>
      </w:r>
      <w:r w:rsidRPr="00175B7E">
        <w:rPr>
          <w:i/>
          <w:iCs/>
        </w:rPr>
        <w:t>Proceedings of the National Academy of Sciences</w:t>
      </w:r>
      <w:r>
        <w:t xml:space="preserve"> </w:t>
      </w:r>
      <w:r w:rsidRPr="00175B7E">
        <w:rPr>
          <w:i/>
          <w:iCs/>
        </w:rPr>
        <w:t>104</w:t>
      </w:r>
      <w:r>
        <w:t>(10), 3719</w:t>
      </w:r>
      <w:r w:rsidRPr="00685AF2">
        <w:t>–</w:t>
      </w:r>
      <w:r>
        <w:t>3724. https://doi.org/10.1073/pnas.0700462104</w:t>
      </w:r>
    </w:p>
    <w:p w14:paraId="725024F6" w14:textId="3790824D" w:rsidR="008062F9" w:rsidRPr="00685AF2" w:rsidRDefault="00806920" w:rsidP="00175B7E">
      <w:pPr>
        <w:pStyle w:val="Bibliography"/>
        <w:spacing w:line="480" w:lineRule="auto"/>
        <w:ind w:left="360" w:hanging="360"/>
      </w:pPr>
      <w:r w:rsidRPr="00685AF2">
        <w:t xml:space="preserve">Bensam, P. (1964). Growth variations in the Indian oil sardine, </w:t>
      </w:r>
      <w:r w:rsidRPr="00EA3167">
        <w:rPr>
          <w:i/>
          <w:iCs/>
        </w:rPr>
        <w:t>Sardinella longiceps</w:t>
      </w:r>
      <w:r w:rsidRPr="00685AF2">
        <w:t xml:space="preserve"> Valenciennes. </w:t>
      </w:r>
      <w:r w:rsidRPr="00685AF2">
        <w:rPr>
          <w:i/>
        </w:rPr>
        <w:t>Indian Journal of Fisheries</w:t>
      </w:r>
      <w:r w:rsidRPr="00685AF2">
        <w:t xml:space="preserve">, </w:t>
      </w:r>
      <w:r w:rsidRPr="00685AF2">
        <w:rPr>
          <w:i/>
        </w:rPr>
        <w:t>11 A</w:t>
      </w:r>
      <w:r w:rsidRPr="00685AF2">
        <w:t>(2), 699–708.</w:t>
      </w:r>
    </w:p>
    <w:p w14:paraId="07A6DD31" w14:textId="77777777" w:rsidR="008062F9" w:rsidRPr="00CE477A" w:rsidRDefault="00806920" w:rsidP="00AA3B73">
      <w:pPr>
        <w:pStyle w:val="Bibliography"/>
        <w:spacing w:line="480" w:lineRule="auto"/>
        <w:ind w:left="360" w:hanging="360"/>
      </w:pPr>
      <w:bookmarkStart w:id="27" w:name="ref-Boyeretal2001"/>
      <w:bookmarkEnd w:id="26"/>
      <w:r w:rsidRPr="00685AF2">
        <w:t xml:space="preserve">Boyer, D. C., Boyer, H. J., Fossen, I., &amp; Kreiner, A. (2001). Changes in abundance of the northern Benguela sardine stock during the decade 1990 to 2000 with comments on the relative importance of fishing and the environment. </w:t>
      </w:r>
      <w:r w:rsidRPr="00685AF2">
        <w:rPr>
          <w:i/>
        </w:rPr>
        <w:t>South African Journal of Marine Science</w:t>
      </w:r>
      <w:r w:rsidRPr="00685AF2">
        <w:t xml:space="preserve">, </w:t>
      </w:r>
      <w:r w:rsidRPr="00685AF2">
        <w:rPr>
          <w:i/>
        </w:rPr>
        <w:t>23</w:t>
      </w:r>
      <w:r w:rsidRPr="00685AF2">
        <w:t xml:space="preserve">(1), 67–84. </w:t>
      </w:r>
      <w:hyperlink r:id="rId8">
        <w:r w:rsidRPr="001A7D4A">
          <w:rPr>
            <w:rStyle w:val="Hyperlink"/>
            <w:color w:val="auto"/>
          </w:rPr>
          <w:t>https://doi.org/10.298</w:t>
        </w:r>
        <w:r w:rsidRPr="00C71234">
          <w:rPr>
            <w:rStyle w:val="Hyperlink"/>
            <w:color w:val="auto"/>
          </w:rPr>
          <w:t>9/025776101784528854</w:t>
        </w:r>
      </w:hyperlink>
    </w:p>
    <w:p w14:paraId="278062F7" w14:textId="4AA67B9F" w:rsidR="008062F9" w:rsidRPr="00685AF2" w:rsidRDefault="00806920" w:rsidP="00AA3B73">
      <w:pPr>
        <w:pStyle w:val="Bibliography"/>
        <w:spacing w:line="480" w:lineRule="auto"/>
        <w:ind w:left="360" w:hanging="360"/>
      </w:pPr>
      <w:bookmarkStart w:id="28" w:name="ref-Smitha2010"/>
      <w:bookmarkEnd w:id="27"/>
      <w:r w:rsidRPr="001A7D4A">
        <w:t>BR,</w:t>
      </w:r>
      <w:r w:rsidRPr="00C71234">
        <w:t xml:space="preserve"> S. (2010). </w:t>
      </w:r>
      <w:r w:rsidRPr="00C71234">
        <w:rPr>
          <w:i/>
        </w:rPr>
        <w:t>Coastal upwelling of the south eas</w:t>
      </w:r>
      <w:r w:rsidRPr="00685AF2">
        <w:rPr>
          <w:i/>
        </w:rPr>
        <w:t>tern Arabian Sea — an integrated approach</w:t>
      </w:r>
      <w:r w:rsidRPr="00685AF2">
        <w:t>. Kerala, India: PhD Thesis. Physical Oceanography. Cochin University of Science</w:t>
      </w:r>
      <w:r w:rsidR="0011063F">
        <w:t xml:space="preserve"> and </w:t>
      </w:r>
      <w:r w:rsidRPr="00685AF2">
        <w:t>Technology.</w:t>
      </w:r>
    </w:p>
    <w:p w14:paraId="0361601F" w14:textId="77777777" w:rsidR="008062F9" w:rsidRPr="00CE477A" w:rsidRDefault="00806920" w:rsidP="00AA3B73">
      <w:pPr>
        <w:pStyle w:val="Bibliography"/>
        <w:spacing w:line="480" w:lineRule="auto"/>
        <w:ind w:left="360" w:hanging="360"/>
      </w:pPr>
      <w:bookmarkStart w:id="29" w:name="ref-Smithaetal2008"/>
      <w:bookmarkEnd w:id="28"/>
      <w:r w:rsidRPr="00685AF2">
        <w:t xml:space="preserve">BR, S., Sanjeevan, V. N., Vimalkumar, K. G., &amp; Revichandran, C. (2008). On the upwelling of the southern tip and along the west coast of India. </w:t>
      </w:r>
      <w:r w:rsidRPr="00685AF2">
        <w:rPr>
          <w:i/>
        </w:rPr>
        <w:t>Journal of Coastal Research</w:t>
      </w:r>
      <w:r w:rsidRPr="00685AF2">
        <w:t xml:space="preserve">, </w:t>
      </w:r>
      <w:r w:rsidRPr="00685AF2">
        <w:rPr>
          <w:i/>
        </w:rPr>
        <w:t>24</w:t>
      </w:r>
      <w:r w:rsidRPr="00685AF2">
        <w:t xml:space="preserve">(sp3), 95–102. </w:t>
      </w:r>
      <w:hyperlink r:id="rId9">
        <w:r w:rsidRPr="001A7D4A">
          <w:rPr>
            <w:rStyle w:val="Hyperlink"/>
            <w:color w:val="auto"/>
          </w:rPr>
          <w:t xml:space="preserve">https://doi.org/10.2112/06-0779.1 </w:t>
        </w:r>
      </w:hyperlink>
    </w:p>
    <w:p w14:paraId="49B13631" w14:textId="77777777" w:rsidR="008062F9" w:rsidRPr="00CE477A" w:rsidRDefault="00806920" w:rsidP="00AA3B73">
      <w:pPr>
        <w:pStyle w:val="Bibliography"/>
        <w:spacing w:line="480" w:lineRule="auto"/>
        <w:ind w:left="360" w:hanging="360"/>
      </w:pPr>
      <w:bookmarkStart w:id="30" w:name="ref-Chauhanetal2011"/>
      <w:bookmarkEnd w:id="29"/>
      <w:r w:rsidRPr="001A7D4A">
        <w:t xml:space="preserve">Chauhan, </w:t>
      </w:r>
      <w:r w:rsidRPr="00C71234">
        <w:t xml:space="preserve">O. S., Raghavan, B. R., Singh, K., Rajawat, A. S., Kader, U., &amp; Nayak, </w:t>
      </w:r>
      <w:r w:rsidRPr="00685AF2">
        <w:t xml:space="preserve">S. (2011). Influence of orographically enhanced SW monsoon flux on coastal processes along the </w:t>
      </w:r>
      <w:r w:rsidRPr="00685AF2">
        <w:lastRenderedPageBreak/>
        <w:t xml:space="preserve">SE Arabian Sea. </w:t>
      </w:r>
      <w:r w:rsidRPr="00685AF2">
        <w:rPr>
          <w:i/>
        </w:rPr>
        <w:t>Journal of Geophysical Research. Oceans</w:t>
      </w:r>
      <w:r w:rsidRPr="00685AF2">
        <w:t xml:space="preserve">, </w:t>
      </w:r>
      <w:r w:rsidRPr="00685AF2">
        <w:rPr>
          <w:i/>
        </w:rPr>
        <w:t>116</w:t>
      </w:r>
      <w:r w:rsidRPr="00685AF2">
        <w:t xml:space="preserve">(12), C12037. </w:t>
      </w:r>
      <w:hyperlink r:id="rId10">
        <w:r w:rsidRPr="001A7D4A">
          <w:rPr>
            <w:rStyle w:val="Hyperlink"/>
            <w:color w:val="auto"/>
          </w:rPr>
          <w:t>https://doi.org</w:t>
        </w:r>
        <w:r w:rsidRPr="00C71234">
          <w:rPr>
            <w:rStyle w:val="Hyperlink"/>
            <w:color w:val="auto"/>
          </w:rPr>
          <w:t>/10.1029/2011JC007454</w:t>
        </w:r>
      </w:hyperlink>
    </w:p>
    <w:p w14:paraId="2E78C0BB" w14:textId="0E08162C" w:rsidR="008062F9" w:rsidRPr="00685AF2" w:rsidRDefault="00806920" w:rsidP="00AA3B73">
      <w:pPr>
        <w:pStyle w:val="Bibliography"/>
        <w:spacing w:line="480" w:lineRule="auto"/>
        <w:ind w:left="360" w:hanging="360"/>
      </w:pPr>
      <w:bookmarkStart w:id="31" w:name="ref-Checkleyetal2009"/>
      <w:bookmarkEnd w:id="30"/>
      <w:r w:rsidRPr="001A7D4A">
        <w:t>Checkle</w:t>
      </w:r>
      <w:r w:rsidRPr="00C71234">
        <w:t>y, D. M.,</w:t>
      </w:r>
      <w:r w:rsidR="00EA3167">
        <w:t xml:space="preserve"> Jr.,</w:t>
      </w:r>
      <w:r w:rsidRPr="00C71234">
        <w:t xml:space="preserve"> Alheit, J., Oozeki, Y., &amp; Roy, C. (2009). </w:t>
      </w:r>
      <w:r w:rsidRPr="00C71234">
        <w:rPr>
          <w:i/>
        </w:rPr>
        <w:t>Climate change and small pelagic fish</w:t>
      </w:r>
      <w:r w:rsidRPr="00685AF2">
        <w:t>. Cambridge: Cambridge University Press.</w:t>
      </w:r>
    </w:p>
    <w:p w14:paraId="698691FC" w14:textId="1CA774ED" w:rsidR="008062F9" w:rsidRPr="003E2A48" w:rsidRDefault="00806920" w:rsidP="00AA3B73">
      <w:pPr>
        <w:pStyle w:val="Bibliography"/>
        <w:spacing w:line="480" w:lineRule="auto"/>
        <w:ind w:left="360" w:hanging="360"/>
      </w:pPr>
      <w:bookmarkStart w:id="32" w:name="ref-Checkleyetal2017"/>
      <w:bookmarkEnd w:id="31"/>
      <w:r w:rsidRPr="00685AF2">
        <w:t>Checkley, D. M</w:t>
      </w:r>
      <w:r w:rsidRPr="003E2A48">
        <w:t xml:space="preserve">., </w:t>
      </w:r>
      <w:r w:rsidR="00EA3167">
        <w:t xml:space="preserve">Jr., </w:t>
      </w:r>
      <w:r w:rsidRPr="003E2A48">
        <w:t xml:space="preserve">Asch, R. G., &amp; Rykaczewski, R. R. (2017). Climate, anchovy, and sardine. </w:t>
      </w:r>
      <w:r w:rsidRPr="003E2A48">
        <w:rPr>
          <w:i/>
        </w:rPr>
        <w:t>Annual Review of Marine Science</w:t>
      </w:r>
      <w:r w:rsidRPr="003E2A48">
        <w:t xml:space="preserve">, </w:t>
      </w:r>
      <w:r w:rsidRPr="003E2A48">
        <w:rPr>
          <w:i/>
        </w:rPr>
        <w:t>9</w:t>
      </w:r>
      <w:r w:rsidRPr="003E2A48">
        <w:t xml:space="preserve">, 469–493. </w:t>
      </w:r>
      <w:hyperlink r:id="rId11">
        <w:r w:rsidRPr="003E2A48">
          <w:rPr>
            <w:rStyle w:val="Hyperlink"/>
            <w:color w:val="auto"/>
          </w:rPr>
          <w:t>https://doi.org/10.1146/annurev-marine-122414-033819</w:t>
        </w:r>
      </w:hyperlink>
    </w:p>
    <w:p w14:paraId="649B1173" w14:textId="166EA29D" w:rsidR="008062F9" w:rsidRDefault="00806920">
      <w:pPr>
        <w:pStyle w:val="Bibliography"/>
        <w:spacing w:line="480" w:lineRule="auto"/>
        <w:ind w:left="360" w:hanging="360"/>
        <w:rPr>
          <w:rStyle w:val="Hyperlink"/>
          <w:color w:val="auto"/>
        </w:rPr>
      </w:pPr>
      <w:bookmarkStart w:id="33" w:name="ref-CohenStone1987"/>
      <w:bookmarkEnd w:id="32"/>
      <w:r w:rsidRPr="00685AF2">
        <w:t xml:space="preserve">Cohen, Y., &amp; Stone, N. (1987). Multivariate time series analysis of the Canadian fisheries system in Lake Superior. </w:t>
      </w:r>
      <w:r w:rsidRPr="00685AF2">
        <w:rPr>
          <w:i/>
        </w:rPr>
        <w:t>Canadian Journal of Fisheries and Aquatic Sciences</w:t>
      </w:r>
      <w:r w:rsidRPr="00685AF2">
        <w:t xml:space="preserve">, </w:t>
      </w:r>
      <w:r w:rsidRPr="00685AF2">
        <w:rPr>
          <w:i/>
        </w:rPr>
        <w:t>44</w:t>
      </w:r>
      <w:r w:rsidRPr="00685AF2">
        <w:t xml:space="preserve">(S2), 171–181. </w:t>
      </w:r>
      <w:hyperlink r:id="rId12">
        <w:r w:rsidRPr="001A7D4A">
          <w:rPr>
            <w:rStyle w:val="Hyperlink"/>
            <w:color w:val="auto"/>
          </w:rPr>
          <w:t>https:/</w:t>
        </w:r>
        <w:r w:rsidRPr="00C71234">
          <w:rPr>
            <w:rStyle w:val="Hyperlink"/>
            <w:color w:val="auto"/>
          </w:rPr>
          <w:t>/doi.org/10.1139/f87-321</w:t>
        </w:r>
      </w:hyperlink>
    </w:p>
    <w:p w14:paraId="2D6112DD" w14:textId="4F1409E0" w:rsidR="00AD464C" w:rsidRPr="00CE477A" w:rsidRDefault="00AD464C" w:rsidP="00AA3B73">
      <w:pPr>
        <w:pStyle w:val="Bibliography"/>
        <w:spacing w:line="480" w:lineRule="auto"/>
        <w:ind w:left="360" w:hanging="360"/>
      </w:pPr>
      <w:r>
        <w:t xml:space="preserve">Currie, J., Lengaigne, M., Vialard, J., Kaplan, D. M., Aumont, O., Naqvi, S. W. A., &amp; Maury, O. </w:t>
      </w:r>
      <w:r w:rsidR="00232A73">
        <w:t xml:space="preserve">(2013). </w:t>
      </w:r>
      <w:r>
        <w:t>Indian Ocean Dipole and El Ni</w:t>
      </w:r>
      <w:r w:rsidR="00EA3167">
        <w:rPr>
          <w:rFonts w:ascii="Cambria" w:hAnsi="Cambria"/>
        </w:rPr>
        <w:t>ñ</w:t>
      </w:r>
      <w:r>
        <w:t xml:space="preserve">o/Southern Oscillation impacts on regional chlorophyll anomalies in the Indian Ocean. </w:t>
      </w:r>
      <w:r w:rsidRPr="00AA3B73">
        <w:rPr>
          <w:i/>
        </w:rPr>
        <w:t>Biogeosciences 10</w:t>
      </w:r>
      <w:r w:rsidRPr="00AD464C">
        <w:t>(10)</w:t>
      </w:r>
      <w:r>
        <w:t xml:space="preserve">, </w:t>
      </w:r>
      <w:r w:rsidR="00F0595A">
        <w:t>6677-</w:t>
      </w:r>
      <w:r w:rsidR="00DE3E1D">
        <w:t xml:space="preserve">6698. </w:t>
      </w:r>
      <w:r>
        <w:t>https://doi.org/10.5194/bg-10-6677-2013</w:t>
      </w:r>
    </w:p>
    <w:p w14:paraId="2BF96529" w14:textId="77777777" w:rsidR="008062F9" w:rsidRPr="00CE477A" w:rsidRDefault="00806920" w:rsidP="00AA3B73">
      <w:pPr>
        <w:pStyle w:val="Bibliography"/>
        <w:spacing w:line="480" w:lineRule="auto"/>
        <w:ind w:left="360" w:hanging="360"/>
      </w:pPr>
      <w:bookmarkStart w:id="34" w:name="ref-Curyetal2000"/>
      <w:bookmarkEnd w:id="33"/>
      <w:r w:rsidRPr="001A7D4A">
        <w:t>Cury</w:t>
      </w:r>
      <w:r w:rsidRPr="00C71234">
        <w:t xml:space="preserve">, P., Bakun, A., Crawford, R. J. M., Jarre, A., Quinones, R. A., Shannon, L. J., &amp; Verheye, H. M. (2000). Small pelagics in upwelling systems: Patterns of interaction and structural changes in “wasp-waist” ecosystems. </w:t>
      </w:r>
      <w:r w:rsidRPr="00685AF2">
        <w:rPr>
          <w:i/>
        </w:rPr>
        <w:t>ICES Journal of Marine Science</w:t>
      </w:r>
      <w:r w:rsidRPr="00685AF2">
        <w:t xml:space="preserve">, </w:t>
      </w:r>
      <w:r w:rsidRPr="00685AF2">
        <w:rPr>
          <w:i/>
        </w:rPr>
        <w:t>57</w:t>
      </w:r>
      <w:r w:rsidRPr="00685AF2">
        <w:t xml:space="preserve">(3), 603–618. </w:t>
      </w:r>
      <w:hyperlink r:id="rId13">
        <w:r w:rsidRPr="001A7D4A">
          <w:rPr>
            <w:rStyle w:val="Hyperlink"/>
            <w:color w:val="auto"/>
          </w:rPr>
          <w:t>https://doi.org/10.1006/jmsc.2000.0712</w:t>
        </w:r>
      </w:hyperlink>
    </w:p>
    <w:p w14:paraId="19AA9D74" w14:textId="5DD86AE3" w:rsidR="008062F9" w:rsidRDefault="00806920" w:rsidP="00AA3B73">
      <w:pPr>
        <w:pStyle w:val="Bibliography"/>
        <w:spacing w:line="480" w:lineRule="auto"/>
        <w:ind w:left="360" w:hanging="360"/>
        <w:rPr>
          <w:rStyle w:val="Hyperlink"/>
          <w:color w:val="auto"/>
        </w:rPr>
      </w:pPr>
      <w:bookmarkStart w:id="35" w:name="ref-DasEdwin2018"/>
      <w:bookmarkEnd w:id="34"/>
      <w:r w:rsidRPr="001A7D4A">
        <w:t>Das, P.</w:t>
      </w:r>
      <w:r w:rsidRPr="00C71234">
        <w:t xml:space="preserve"> H. D., &amp; Edwin, L. (2018). Temporal changes in the ring seine fishery of Kerala, India. </w:t>
      </w:r>
      <w:r w:rsidRPr="00C71234">
        <w:rPr>
          <w:i/>
        </w:rPr>
        <w:t>I</w:t>
      </w:r>
      <w:r w:rsidRPr="00685AF2">
        <w:rPr>
          <w:i/>
        </w:rPr>
        <w:t>ndian Journal of Fisheries</w:t>
      </w:r>
      <w:r w:rsidRPr="00685AF2">
        <w:t xml:space="preserve">, </w:t>
      </w:r>
      <w:r w:rsidRPr="00685AF2">
        <w:rPr>
          <w:i/>
        </w:rPr>
        <w:t>65</w:t>
      </w:r>
      <w:r w:rsidRPr="00685AF2">
        <w:t xml:space="preserve">(1), 47–54. </w:t>
      </w:r>
      <w:hyperlink r:id="rId14">
        <w:r w:rsidRPr="001A7D4A">
          <w:rPr>
            <w:rStyle w:val="Hyperlink"/>
            <w:color w:val="auto"/>
          </w:rPr>
          <w:t>https://doi.org/10.21077/ijf.2018.65.1.69105-08</w:t>
        </w:r>
      </w:hyperlink>
    </w:p>
    <w:p w14:paraId="41673086" w14:textId="30A42351" w:rsidR="008062F9" w:rsidRDefault="00806920" w:rsidP="002075F4">
      <w:pPr>
        <w:pStyle w:val="Bibliography"/>
        <w:spacing w:line="480" w:lineRule="auto"/>
        <w:ind w:left="360" w:hanging="360"/>
      </w:pPr>
      <w:bookmarkStart w:id="36" w:name="ref-FarmerFroeschke2015"/>
      <w:bookmarkEnd w:id="35"/>
      <w:r w:rsidRPr="001A7D4A">
        <w:lastRenderedPageBreak/>
        <w:t>Farmer,</w:t>
      </w:r>
      <w:r w:rsidRPr="00C71234">
        <w:t xml:space="preserve"> N. A., &amp; Froeschke, J. T. (2015). Forecasting for recreational fisheries manageme</w:t>
      </w:r>
      <w:r w:rsidRPr="00685AF2">
        <w:t xml:space="preserve">nt: What’s the catch? </w:t>
      </w:r>
      <w:r w:rsidRPr="00685AF2">
        <w:rPr>
          <w:i/>
        </w:rPr>
        <w:t>North American Journal of Fisheries Management</w:t>
      </w:r>
      <w:r w:rsidRPr="00685AF2">
        <w:t xml:space="preserve">, </w:t>
      </w:r>
      <w:r w:rsidRPr="00685AF2">
        <w:rPr>
          <w:i/>
        </w:rPr>
        <w:t>35</w:t>
      </w:r>
      <w:r w:rsidRPr="00685AF2">
        <w:t xml:space="preserve">(4), 720–735. </w:t>
      </w:r>
      <w:r w:rsidR="009C45B6" w:rsidRPr="00BA076B">
        <w:t>https://doi.org/10.1080/02755947.2015.1044628</w:t>
      </w:r>
    </w:p>
    <w:p w14:paraId="7AF3EA3F" w14:textId="5BEA833C" w:rsidR="009C45B6" w:rsidRPr="00CE477A" w:rsidRDefault="009C45B6" w:rsidP="002075F4">
      <w:pPr>
        <w:pStyle w:val="Bibliography"/>
        <w:spacing w:line="480" w:lineRule="auto"/>
        <w:ind w:left="360" w:hanging="360"/>
      </w:pPr>
      <w:r w:rsidRPr="009C45B6">
        <w:t xml:space="preserve">Gallo, N. D., Drenkard, E., Thompson, A. R., Weber, E. D., Wilson-Vandenberg, D., McClatchie, S., Koslow, J. A., &amp; Semmens, B. X. (2019). Bridging from monitoring to solutions-based thinking: lessons </w:t>
      </w:r>
      <w:r>
        <w:t>f</w:t>
      </w:r>
      <w:r w:rsidRPr="009C45B6">
        <w:t xml:space="preserve">rom CalCOFI for understanding and adapting to marine climate change impacts. </w:t>
      </w:r>
      <w:r w:rsidRPr="00BA076B">
        <w:rPr>
          <w:i/>
          <w:iCs/>
        </w:rPr>
        <w:t>Frontiers in Marine Science,</w:t>
      </w:r>
      <w:r w:rsidRPr="009C45B6">
        <w:t xml:space="preserve"> </w:t>
      </w:r>
      <w:r w:rsidRPr="00BA076B">
        <w:rPr>
          <w:i/>
          <w:iCs/>
        </w:rPr>
        <w:t>6,</w:t>
      </w:r>
      <w:r w:rsidRPr="009C45B6">
        <w:t xml:space="preserve"> </w:t>
      </w:r>
      <w:r w:rsidR="00A112A3">
        <w:t xml:space="preserve">Article </w:t>
      </w:r>
      <w:r w:rsidRPr="009C45B6">
        <w:t>695. https://doi.org/10.3389/fmars.2019.00695</w:t>
      </w:r>
    </w:p>
    <w:p w14:paraId="2EBD662A" w14:textId="6FE14F30" w:rsidR="008062F9" w:rsidRPr="00CE477A" w:rsidRDefault="00806920" w:rsidP="00AA3B73">
      <w:pPr>
        <w:pStyle w:val="Bibliography"/>
        <w:spacing w:line="480" w:lineRule="auto"/>
        <w:ind w:left="360" w:hanging="360"/>
      </w:pPr>
      <w:bookmarkStart w:id="37" w:name="ref-Garza-Giletal2015"/>
      <w:bookmarkEnd w:id="36"/>
      <w:r w:rsidRPr="001A7D4A">
        <w:t>Garza-</w:t>
      </w:r>
      <w:r w:rsidRPr="00C71234">
        <w:t>Gil, M. D., Varela-Lafuente, M., Caba</w:t>
      </w:r>
      <w:r w:rsidRPr="00685AF2">
        <w:t xml:space="preserve">llero-Míguez, G., &amp; Torralba-Cano, J. (2015). A study on economic impact on the European sardine fishery due to continued global warming. In B. R. Singh (Ed.), </w:t>
      </w:r>
      <w:r w:rsidRPr="00685AF2">
        <w:rPr>
          <w:i/>
        </w:rPr>
        <w:t>Global warming: Causes, impacts and remedies</w:t>
      </w:r>
      <w:r w:rsidRPr="00685AF2">
        <w:t xml:space="preserve"> (pp. 115–136). </w:t>
      </w:r>
      <w:r w:rsidR="009D26C4" w:rsidRPr="00BA076B">
        <w:t>https://doi.org/10.5772/58877</w:t>
      </w:r>
    </w:p>
    <w:p w14:paraId="330518CC" w14:textId="77777777" w:rsidR="008062F9" w:rsidRPr="00CE477A" w:rsidRDefault="00806920" w:rsidP="00AA3B73">
      <w:pPr>
        <w:pStyle w:val="Bibliography"/>
        <w:spacing w:line="480" w:lineRule="auto"/>
        <w:ind w:left="360" w:hanging="360"/>
      </w:pPr>
      <w:bookmarkStart w:id="38" w:name="ref-Georgakarakosetal2006"/>
      <w:bookmarkEnd w:id="37"/>
      <w:r w:rsidRPr="001A7D4A">
        <w:t>Georg</w:t>
      </w:r>
      <w:r w:rsidRPr="00C71234">
        <w:t xml:space="preserve">akarakos, S., Doutsoubas, D., &amp; Valavanis, V. (2006). Time series analysis and forecasting techniques applied on loliginid and ommastrephid landings in Greek waters. </w:t>
      </w:r>
      <w:r w:rsidRPr="00685AF2">
        <w:rPr>
          <w:i/>
        </w:rPr>
        <w:t>Fisheries Research</w:t>
      </w:r>
      <w:r w:rsidRPr="00685AF2">
        <w:t xml:space="preserve">, </w:t>
      </w:r>
      <w:r w:rsidRPr="00685AF2">
        <w:rPr>
          <w:i/>
        </w:rPr>
        <w:t>78</w:t>
      </w:r>
      <w:r w:rsidRPr="00685AF2">
        <w:t xml:space="preserve">(1), 55–71. </w:t>
      </w:r>
      <w:hyperlink r:id="rId15">
        <w:r w:rsidRPr="001A7D4A">
          <w:rPr>
            <w:rStyle w:val="Hyperlink"/>
            <w:color w:val="auto"/>
          </w:rPr>
          <w:t>https://doi.org/10.1016/j.fishres.2005.12.003</w:t>
        </w:r>
      </w:hyperlink>
    </w:p>
    <w:p w14:paraId="65952525" w14:textId="77777777" w:rsidR="008062F9" w:rsidRPr="00CE477A" w:rsidRDefault="00806920" w:rsidP="00AA3B73">
      <w:pPr>
        <w:pStyle w:val="Bibliography"/>
        <w:spacing w:line="480" w:lineRule="auto"/>
        <w:ind w:left="360" w:hanging="360"/>
      </w:pPr>
      <w:bookmarkStart w:id="39" w:name="ref-Georgeetal2012"/>
      <w:bookmarkEnd w:id="38"/>
      <w:r w:rsidRPr="00CE477A">
        <w:t>George, G., M</w:t>
      </w:r>
      <w:r w:rsidRPr="001A7D4A">
        <w:t>eenakumari, B., Raman, M., Kumar, S., Vethamony, P., Babu, M. T., &amp; Verlecar, X. (2012). Remot</w:t>
      </w:r>
      <w:r w:rsidRPr="00C71234">
        <w:t>ely se</w:t>
      </w:r>
      <w:r w:rsidRPr="00685AF2">
        <w:t xml:space="preserve">nsed chlorophyll: A putative trophic link for explaining variability in Indian oil sardine stocks. </w:t>
      </w:r>
      <w:r w:rsidRPr="00685AF2">
        <w:rPr>
          <w:i/>
        </w:rPr>
        <w:t>Journal of Coastal Research</w:t>
      </w:r>
      <w:r w:rsidRPr="00685AF2">
        <w:t xml:space="preserve">, </w:t>
      </w:r>
      <w:r w:rsidRPr="00685AF2">
        <w:rPr>
          <w:i/>
        </w:rPr>
        <w:t>28</w:t>
      </w:r>
      <w:r w:rsidRPr="00685AF2">
        <w:t xml:space="preserve">(1A), 105–113. </w:t>
      </w:r>
      <w:hyperlink r:id="rId16">
        <w:r w:rsidRPr="001A7D4A">
          <w:rPr>
            <w:rStyle w:val="Hyperlink"/>
            <w:color w:val="auto"/>
          </w:rPr>
          <w:t>https://doi.org/10.2112</w:t>
        </w:r>
        <w:r w:rsidRPr="00C71234">
          <w:rPr>
            <w:rStyle w:val="Hyperlink"/>
            <w:color w:val="auto"/>
          </w:rPr>
          <w:t>/JCOAST</w:t>
        </w:r>
        <w:r w:rsidRPr="00685AF2">
          <w:rPr>
            <w:rStyle w:val="Hyperlink"/>
            <w:color w:val="auto"/>
          </w:rPr>
          <w:t>RES-D-10-00070.1</w:t>
        </w:r>
      </w:hyperlink>
    </w:p>
    <w:p w14:paraId="25BEF0E2" w14:textId="5369D537" w:rsidR="008062F9" w:rsidRDefault="00806920" w:rsidP="00AA3B73">
      <w:pPr>
        <w:pStyle w:val="Bibliography"/>
        <w:spacing w:line="480" w:lineRule="auto"/>
        <w:ind w:left="360" w:hanging="360"/>
        <w:rPr>
          <w:rStyle w:val="Hyperlink"/>
          <w:color w:val="auto"/>
        </w:rPr>
      </w:pPr>
      <w:bookmarkStart w:id="40" w:name="ref-Guptaetal2016"/>
      <w:bookmarkEnd w:id="39"/>
      <w:r w:rsidRPr="001A7D4A">
        <w:t>Gupta</w:t>
      </w:r>
      <w:r w:rsidRPr="00C71234">
        <w:t>, G. V. M., Sudheesh, V., Sudharma, K. V., Saravanane, N., Dh</w:t>
      </w:r>
      <w:r w:rsidRPr="00685AF2">
        <w:t xml:space="preserve">anya, V., Dhanya, K. R., … Naqvi, S. W. A. (2016). Evolution to decay of upwelling and associated biogeochemistry over the southeastern Arabian Sea shelf. </w:t>
      </w:r>
      <w:r w:rsidRPr="00685AF2">
        <w:rPr>
          <w:i/>
        </w:rPr>
        <w:t>Journal of Geophysical Research: Biogeosciences</w:t>
      </w:r>
      <w:r w:rsidRPr="00685AF2">
        <w:t xml:space="preserve">, </w:t>
      </w:r>
      <w:r w:rsidRPr="00685AF2">
        <w:rPr>
          <w:i/>
        </w:rPr>
        <w:t>121</w:t>
      </w:r>
      <w:r w:rsidRPr="00685AF2">
        <w:t xml:space="preserve">(1), 159–175. </w:t>
      </w:r>
      <w:hyperlink r:id="rId17">
        <w:r w:rsidRPr="001A7D4A">
          <w:rPr>
            <w:rStyle w:val="Hyperlink"/>
            <w:color w:val="auto"/>
          </w:rPr>
          <w:t>https://doi.org/10.1002/2015JG003163</w:t>
        </w:r>
      </w:hyperlink>
    </w:p>
    <w:p w14:paraId="292BCBEB" w14:textId="77777777" w:rsidR="008062F9" w:rsidRPr="003E2A48" w:rsidRDefault="00806920" w:rsidP="00AA3B73">
      <w:pPr>
        <w:pStyle w:val="Bibliography"/>
        <w:spacing w:line="480" w:lineRule="auto"/>
        <w:ind w:left="360" w:hanging="360"/>
      </w:pPr>
      <w:bookmarkStart w:id="41" w:name="ref-Habeebrehmanetal2008"/>
      <w:bookmarkEnd w:id="40"/>
      <w:r w:rsidRPr="001A7D4A">
        <w:lastRenderedPageBreak/>
        <w:t>Habeebr</w:t>
      </w:r>
      <w:r w:rsidRPr="00C71234">
        <w:t>ehman</w:t>
      </w:r>
      <w:r w:rsidRPr="00685AF2">
        <w:t>, H., Prabhakaran, M. P., Jacob, J., Sabu, P., Jayalakshmi, K. J., Achuthankutty, C. T</w:t>
      </w:r>
      <w:r w:rsidRPr="003E2A48">
        <w:t xml:space="preserve">., &amp; Revichandran, C. (2008). Variability in biological responses influenced by upwelling events in the eastern Arabian Sea. </w:t>
      </w:r>
      <w:r w:rsidRPr="003E2A48">
        <w:rPr>
          <w:i/>
        </w:rPr>
        <w:t>Journal of Marine Systems</w:t>
      </w:r>
      <w:r w:rsidRPr="003E2A48">
        <w:t xml:space="preserve">, </w:t>
      </w:r>
      <w:r w:rsidRPr="003E2A48">
        <w:rPr>
          <w:i/>
        </w:rPr>
        <w:t>74</w:t>
      </w:r>
      <w:r w:rsidRPr="003E2A48">
        <w:t xml:space="preserve">(1-2), 545–560. </w:t>
      </w:r>
      <w:hyperlink r:id="rId18">
        <w:r w:rsidRPr="003E2A48">
          <w:rPr>
            <w:rStyle w:val="Hyperlink"/>
            <w:color w:val="auto"/>
          </w:rPr>
          <w:t>https://doi.org/10.1016/j.jmarsys.2008.04.002</w:t>
        </w:r>
      </w:hyperlink>
    </w:p>
    <w:p w14:paraId="103ACA98" w14:textId="41425106" w:rsidR="008062F9" w:rsidRPr="003E2A48" w:rsidRDefault="00806920" w:rsidP="00AA3B73">
      <w:pPr>
        <w:pStyle w:val="Bibliography"/>
        <w:spacing w:line="480" w:lineRule="auto"/>
        <w:ind w:left="360" w:hanging="360"/>
      </w:pPr>
      <w:bookmarkStart w:id="42" w:name="ref-Haltuchetal2019"/>
      <w:bookmarkEnd w:id="41"/>
      <w:r w:rsidRPr="003E2A48">
        <w:t xml:space="preserve">Haltuch, M. A., Brooks, E. N., Brodziak, J., Devine, J. A., Johnson, K. F., Klibansky, N., … Wells, B. K. (2019). Unraveling the recruitment problem: A review of environmentally-informed forecasting and management strategy evaluation. </w:t>
      </w:r>
      <w:r w:rsidRPr="003E2A48">
        <w:rPr>
          <w:i/>
        </w:rPr>
        <w:t>Fisheries Research</w:t>
      </w:r>
      <w:r w:rsidRPr="003E2A48">
        <w:t xml:space="preserve">, </w:t>
      </w:r>
      <w:r w:rsidRPr="003E2A48">
        <w:rPr>
          <w:i/>
        </w:rPr>
        <w:t>217</w:t>
      </w:r>
      <w:r w:rsidRPr="003E2A48">
        <w:t xml:space="preserve">, 198–216. </w:t>
      </w:r>
      <w:r w:rsidR="0073122C" w:rsidRPr="0073122C">
        <w:t>https://doi.org/10.1016/j.fishres.2018.12.016</w:t>
      </w:r>
    </w:p>
    <w:p w14:paraId="24B6ED87" w14:textId="31A7C8C5" w:rsidR="00F80512" w:rsidRDefault="00F80512" w:rsidP="00F80512">
      <w:pPr>
        <w:pStyle w:val="Bibliography"/>
        <w:spacing w:line="480" w:lineRule="auto"/>
        <w:ind w:left="360" w:hanging="360"/>
      </w:pPr>
      <w:bookmarkStart w:id="43" w:name="ref-Hansenetal2006"/>
      <w:bookmarkEnd w:id="42"/>
      <w:r>
        <w:t>Hamza, F., Valsala, V., Mallissery, A., &amp; George, G. (2020)</w:t>
      </w:r>
      <w:r w:rsidR="00B06196">
        <w:t>.</w:t>
      </w:r>
      <w:r>
        <w:t xml:space="preserve"> Climate impacts on the landings of Indian oil sardine over the south-eastern Arabian Sea. </w:t>
      </w:r>
      <w:r w:rsidRPr="008D5223">
        <w:rPr>
          <w:i/>
          <w:iCs/>
        </w:rPr>
        <w:t>Fish and Fisheries</w:t>
      </w:r>
      <w:r>
        <w:rPr>
          <w:i/>
          <w:iCs/>
        </w:rPr>
        <w:t xml:space="preserve">, </w:t>
      </w:r>
      <w:r w:rsidR="006075D5" w:rsidRPr="00BA076B">
        <w:rPr>
          <w:i/>
          <w:iCs/>
        </w:rPr>
        <w:t>22</w:t>
      </w:r>
      <w:r w:rsidR="006075D5">
        <w:t>(1), 175-193</w:t>
      </w:r>
      <w:r>
        <w:rPr>
          <w:i/>
          <w:iCs/>
        </w:rPr>
        <w:t xml:space="preserve">. </w:t>
      </w:r>
      <w:r>
        <w:t>https://doi.org/10.1111/faf.12513</w:t>
      </w:r>
    </w:p>
    <w:p w14:paraId="3A7AE2FD" w14:textId="77777777" w:rsidR="008062F9" w:rsidRPr="00CE477A" w:rsidRDefault="00806920" w:rsidP="00AA3B73">
      <w:pPr>
        <w:pStyle w:val="Bibliography"/>
        <w:spacing w:line="480" w:lineRule="auto"/>
        <w:ind w:left="360" w:hanging="360"/>
      </w:pPr>
      <w:r w:rsidRPr="00CE477A">
        <w:t>Hanson,</w:t>
      </w:r>
      <w:r w:rsidRPr="001A7D4A">
        <w:t xml:space="preserve"> P. J., Vaughan, D. S., &amp; Narayan, S. (2006). Forecasting annual har</w:t>
      </w:r>
      <w:r w:rsidRPr="00C71234">
        <w:t xml:space="preserve">vests of Atlantic and Gulf menhaden. </w:t>
      </w:r>
      <w:r w:rsidRPr="00685AF2">
        <w:rPr>
          <w:i/>
        </w:rPr>
        <w:t>North American Journal of Fisheries Management</w:t>
      </w:r>
      <w:r w:rsidRPr="00685AF2">
        <w:t xml:space="preserve">, </w:t>
      </w:r>
      <w:r w:rsidRPr="00685AF2">
        <w:rPr>
          <w:i/>
        </w:rPr>
        <w:t>26</w:t>
      </w:r>
      <w:r w:rsidRPr="00685AF2">
        <w:t xml:space="preserve">(3), 753–764. </w:t>
      </w:r>
      <w:hyperlink r:id="rId19">
        <w:r w:rsidRPr="001A7D4A">
          <w:rPr>
            <w:rStyle w:val="Hyperlink"/>
            <w:color w:val="auto"/>
          </w:rPr>
          <w:t>https://doi.org/10.1577/M04-096.1</w:t>
        </w:r>
      </w:hyperlink>
    </w:p>
    <w:p w14:paraId="1762DF7A" w14:textId="77777777" w:rsidR="008062F9" w:rsidRPr="00CE477A" w:rsidRDefault="00806920" w:rsidP="00AA3B73">
      <w:pPr>
        <w:pStyle w:val="Bibliography"/>
        <w:spacing w:line="480" w:lineRule="auto"/>
        <w:ind w:left="360" w:hanging="360"/>
      </w:pPr>
      <w:bookmarkStart w:id="44" w:name="ref-Holmesetal2012"/>
      <w:bookmarkEnd w:id="43"/>
      <w:r w:rsidRPr="001A7D4A">
        <w:t>Holmes, E. E., W</w:t>
      </w:r>
      <w:r w:rsidRPr="00C71234">
        <w:t>ard, E. J., &amp; Wills, K. (2012). MARS</w:t>
      </w:r>
      <w:r w:rsidRPr="00685AF2">
        <w:t xml:space="preserve">S: Multivariate autoregressive state-space models for analyzing time-series data. </w:t>
      </w:r>
      <w:r w:rsidRPr="00685AF2">
        <w:rPr>
          <w:i/>
        </w:rPr>
        <w:t>R Journal</w:t>
      </w:r>
      <w:r w:rsidRPr="00685AF2">
        <w:t xml:space="preserve">, </w:t>
      </w:r>
      <w:r w:rsidRPr="00685AF2">
        <w:rPr>
          <w:i/>
        </w:rPr>
        <w:t>4</w:t>
      </w:r>
      <w:r w:rsidRPr="00685AF2">
        <w:t xml:space="preserve">(1), 11–19. </w:t>
      </w:r>
      <w:hyperlink r:id="rId20">
        <w:r w:rsidRPr="001A7D4A">
          <w:rPr>
            <w:rStyle w:val="Hyperlink"/>
            <w:color w:val="auto"/>
          </w:rPr>
          <w:t>https://doi.org/10.32614/RJ-2012-002</w:t>
        </w:r>
      </w:hyperlink>
    </w:p>
    <w:p w14:paraId="4723FD72" w14:textId="77777777" w:rsidR="008062F9" w:rsidRPr="00685AF2" w:rsidRDefault="00806920" w:rsidP="00AA3B73">
      <w:pPr>
        <w:pStyle w:val="Bibliography"/>
        <w:spacing w:line="480" w:lineRule="auto"/>
        <w:ind w:left="360" w:hanging="360"/>
      </w:pPr>
      <w:bookmarkStart w:id="45" w:name="ref-Hornell1910"/>
      <w:bookmarkEnd w:id="44"/>
      <w:r w:rsidRPr="00CE477A">
        <w:t>Horn</w:t>
      </w:r>
      <w:r w:rsidRPr="001A7D4A">
        <w:t>ell, J. (1910). Report on the results</w:t>
      </w:r>
      <w:r w:rsidRPr="00C71234">
        <w:t xml:space="preserve"> of a fishery cruise along the Malabar coast and to the Laccadive Islands in 1908. </w:t>
      </w:r>
      <w:r w:rsidRPr="00685AF2">
        <w:rPr>
          <w:i/>
        </w:rPr>
        <w:t>Madras Fishery Bulletin</w:t>
      </w:r>
      <w:r w:rsidRPr="00685AF2">
        <w:t xml:space="preserve">, </w:t>
      </w:r>
      <w:r w:rsidRPr="00685AF2">
        <w:rPr>
          <w:i/>
        </w:rPr>
        <w:t>4</w:t>
      </w:r>
      <w:r w:rsidRPr="00685AF2">
        <w:t>(4), 76–126.</w:t>
      </w:r>
    </w:p>
    <w:p w14:paraId="4ABEEC1C" w14:textId="77777777" w:rsidR="008062F9" w:rsidRPr="00685AF2" w:rsidRDefault="00806920" w:rsidP="00AA3B73">
      <w:pPr>
        <w:pStyle w:val="Bibliography"/>
        <w:spacing w:line="480" w:lineRule="auto"/>
        <w:ind w:left="360" w:hanging="360"/>
      </w:pPr>
      <w:bookmarkStart w:id="46" w:name="ref-HornellNayudu1923"/>
      <w:bookmarkEnd w:id="45"/>
      <w:r w:rsidRPr="00685AF2">
        <w:t xml:space="preserve">Hornell, J., &amp; Nayudu, M. R. (1924). A contribution to the life history of the Indian sardine with notes on the plankton of the Malabar coast. </w:t>
      </w:r>
      <w:r w:rsidRPr="00685AF2">
        <w:rPr>
          <w:i/>
        </w:rPr>
        <w:t>Madras Fishery Bulletin</w:t>
      </w:r>
      <w:r w:rsidRPr="00685AF2">
        <w:t xml:space="preserve">, </w:t>
      </w:r>
      <w:r w:rsidRPr="00685AF2">
        <w:rPr>
          <w:i/>
        </w:rPr>
        <w:t>17</w:t>
      </w:r>
      <w:r w:rsidRPr="00685AF2">
        <w:t>(5), 129–197.</w:t>
      </w:r>
    </w:p>
    <w:p w14:paraId="1974C504" w14:textId="77777777" w:rsidR="008062F9" w:rsidRPr="00CE477A" w:rsidRDefault="00806920" w:rsidP="00AA3B73">
      <w:pPr>
        <w:pStyle w:val="Bibliography"/>
        <w:spacing w:line="480" w:lineRule="auto"/>
        <w:ind w:left="360" w:hanging="360"/>
      </w:pPr>
      <w:bookmarkStart w:id="47" w:name="ref-JacobsonMacCall1995"/>
      <w:bookmarkEnd w:id="46"/>
      <w:r w:rsidRPr="00685AF2">
        <w:lastRenderedPageBreak/>
        <w:t>Jacobson, L. D., &amp; MacCall, A. D. (1995). Stock-recruitment models for Pacific sardine (</w:t>
      </w:r>
      <w:r w:rsidRPr="002405EA">
        <w:rPr>
          <w:i/>
          <w:iCs/>
        </w:rPr>
        <w:t>Sardinops sagax</w:t>
      </w:r>
      <w:r w:rsidRPr="00685AF2">
        <w:t xml:space="preserve">). </w:t>
      </w:r>
      <w:r w:rsidRPr="00685AF2">
        <w:rPr>
          <w:i/>
        </w:rPr>
        <w:t>Canadian Journal of Fisheries and Aquatic Sciences</w:t>
      </w:r>
      <w:r w:rsidRPr="00685AF2">
        <w:t xml:space="preserve">, </w:t>
      </w:r>
      <w:r w:rsidRPr="00685AF2">
        <w:rPr>
          <w:i/>
        </w:rPr>
        <w:t>52</w:t>
      </w:r>
      <w:r w:rsidRPr="00685AF2">
        <w:t xml:space="preserve">(3), 566–577. </w:t>
      </w:r>
      <w:hyperlink r:id="rId21">
        <w:r w:rsidRPr="001A7D4A">
          <w:rPr>
            <w:rStyle w:val="Hyperlink"/>
            <w:color w:val="auto"/>
          </w:rPr>
          <w:t>https://doi.org/10.1139/f95-057</w:t>
        </w:r>
      </w:hyperlink>
    </w:p>
    <w:p w14:paraId="2FB6F1F0" w14:textId="77777777" w:rsidR="008062F9" w:rsidRPr="00685AF2" w:rsidRDefault="00806920" w:rsidP="00AA3B73">
      <w:pPr>
        <w:pStyle w:val="Bibliography"/>
        <w:spacing w:line="480" w:lineRule="auto"/>
        <w:ind w:left="360" w:hanging="360"/>
      </w:pPr>
      <w:bookmarkStart w:id="48" w:name="ref-Jayaprakash2002"/>
      <w:bookmarkEnd w:id="47"/>
      <w:r w:rsidRPr="001A7D4A">
        <w:t>Jayap</w:t>
      </w:r>
      <w:r w:rsidRPr="00C71234">
        <w:t>rakash, A. A</w:t>
      </w:r>
      <w:r w:rsidRPr="00685AF2">
        <w:t xml:space="preserve">. (2002). Long term trends in rainfall, sea level and solar periodicity: A case study for forecast of Malabar sole and oil sardine fishery. </w:t>
      </w:r>
      <w:r w:rsidRPr="00685AF2">
        <w:rPr>
          <w:i/>
        </w:rPr>
        <w:t>Journal of the Marine Biological Association of India</w:t>
      </w:r>
      <w:r w:rsidRPr="00685AF2">
        <w:t xml:space="preserve">, </w:t>
      </w:r>
      <w:r w:rsidRPr="00685AF2">
        <w:rPr>
          <w:i/>
        </w:rPr>
        <w:t>44</w:t>
      </w:r>
      <w:r w:rsidRPr="00685AF2">
        <w:t>(1/2), 163–175.</w:t>
      </w:r>
    </w:p>
    <w:p w14:paraId="186C429B" w14:textId="77777777" w:rsidR="008062F9" w:rsidRPr="00685AF2" w:rsidRDefault="00806920" w:rsidP="00AA3B73">
      <w:pPr>
        <w:pStyle w:val="Bibliography"/>
        <w:spacing w:line="480" w:lineRule="auto"/>
        <w:ind w:left="360" w:hanging="360"/>
      </w:pPr>
      <w:bookmarkStart w:id="49" w:name="ref-JayaprakashPillai2000"/>
      <w:bookmarkEnd w:id="48"/>
      <w:r w:rsidRPr="00685AF2">
        <w:t xml:space="preserve">Jayaprakash, A. A., &amp; Pillai, N. G. K. (2000). The Indian oil sardine. In V. N. Pillai &amp; N. G. Menon (Eds.), </w:t>
      </w:r>
      <w:r w:rsidRPr="00685AF2">
        <w:rPr>
          <w:i/>
        </w:rPr>
        <w:t>Marine fisheries research and management</w:t>
      </w:r>
      <w:r w:rsidRPr="00685AF2">
        <w:t xml:space="preserve"> (pp. 259–281). Kerala, India: Central Marine Fisheries Research Institute.</w:t>
      </w:r>
    </w:p>
    <w:p w14:paraId="1F712586" w14:textId="6DF5D877" w:rsidR="00D8154B" w:rsidRDefault="00D8154B" w:rsidP="00AA3B73">
      <w:pPr>
        <w:pStyle w:val="Bibliography"/>
        <w:spacing w:line="480" w:lineRule="auto"/>
        <w:ind w:left="360" w:hanging="360"/>
      </w:pPr>
      <w:bookmarkStart w:id="50" w:name="ref-Kripaetal2018"/>
      <w:bookmarkEnd w:id="49"/>
      <w:r w:rsidRPr="00D8154B">
        <w:t xml:space="preserve">Kripa, V., Prema, D., Jeyabaskaran, R., Khambadkar, L. R., Nandakumar, A., Anilkumar, P. S., et al. (2015). Inter-annual variations of selected oceanographic parameters and its relation to fishery of small pelagics off Kochi, southwest coast of India. </w:t>
      </w:r>
      <w:r w:rsidRPr="003E2A48">
        <w:rPr>
          <w:i/>
        </w:rPr>
        <w:t>Journal of the Marine Biological Association of India</w:t>
      </w:r>
      <w:r w:rsidRPr="003E2A48">
        <w:t>,</w:t>
      </w:r>
      <w:r w:rsidRPr="00D8154B">
        <w:t xml:space="preserve"> </w:t>
      </w:r>
      <w:r w:rsidRPr="00BA076B">
        <w:rPr>
          <w:i/>
          <w:iCs/>
        </w:rPr>
        <w:t>57</w:t>
      </w:r>
      <w:r w:rsidRPr="00D8154B">
        <w:t>, 52–57.</w:t>
      </w:r>
      <w:r w:rsidR="00B06196">
        <w:t xml:space="preserve"> </w:t>
      </w:r>
      <w:r w:rsidRPr="00D8154B">
        <w:t>https://doi.org/10.3389/fmars.2018.00443</w:t>
      </w:r>
    </w:p>
    <w:p w14:paraId="25E32764" w14:textId="0A23EE14" w:rsidR="008062F9" w:rsidRPr="00CE477A" w:rsidRDefault="00806920" w:rsidP="00AA3B73">
      <w:pPr>
        <w:pStyle w:val="Bibliography"/>
        <w:spacing w:line="480" w:lineRule="auto"/>
        <w:ind w:left="360" w:hanging="360"/>
      </w:pPr>
      <w:r w:rsidRPr="001A7D4A">
        <w:t>Krip</w:t>
      </w:r>
      <w:r w:rsidRPr="00C71234">
        <w:t>a</w:t>
      </w:r>
      <w:r w:rsidRPr="00685AF2">
        <w:t xml:space="preserve">, V., Mohamed, K. S., Koya, K. P. S., Jeyabaskaran, R., Prema, D., Padua, S., … Vishnu, P. G. (2018). Overfishing and climate drives changes in biology and recruitment of the Indian oil sardine </w:t>
      </w:r>
      <w:r w:rsidRPr="00D12354">
        <w:rPr>
          <w:i/>
          <w:iCs/>
        </w:rPr>
        <w:t>Sardinella longiceps</w:t>
      </w:r>
      <w:r w:rsidRPr="00685AF2">
        <w:t xml:space="preserve"> in southeastern Arabian Sea. </w:t>
      </w:r>
      <w:r w:rsidRPr="00685AF2">
        <w:rPr>
          <w:i/>
        </w:rPr>
        <w:t>Frontiers in Marine Science</w:t>
      </w:r>
      <w:r w:rsidRPr="00685AF2">
        <w:t xml:space="preserve">, </w:t>
      </w:r>
      <w:r w:rsidRPr="00685AF2">
        <w:rPr>
          <w:i/>
        </w:rPr>
        <w:t>5</w:t>
      </w:r>
      <w:r w:rsidRPr="00685AF2">
        <w:t xml:space="preserve">, Article 443. </w:t>
      </w:r>
      <w:hyperlink r:id="rId22">
        <w:r w:rsidRPr="001A7D4A">
          <w:rPr>
            <w:rStyle w:val="Hyperlink"/>
            <w:color w:val="auto"/>
          </w:rPr>
          <w:t>https://doi.org/10.3389/fmars.2018.00443</w:t>
        </w:r>
      </w:hyperlink>
    </w:p>
    <w:p w14:paraId="166ADF87" w14:textId="77777777" w:rsidR="008062F9" w:rsidRPr="00685AF2" w:rsidRDefault="00806920" w:rsidP="00AA3B73">
      <w:pPr>
        <w:pStyle w:val="Bibliography"/>
        <w:spacing w:line="480" w:lineRule="auto"/>
        <w:ind w:left="360" w:hanging="360"/>
      </w:pPr>
      <w:bookmarkStart w:id="51" w:name="ref-Krishnakumaretal2008"/>
      <w:bookmarkEnd w:id="50"/>
      <w:r w:rsidRPr="001A7D4A">
        <w:t>Krishn</w:t>
      </w:r>
      <w:r w:rsidRPr="00C71234">
        <w:t>akumar, P. K., M</w:t>
      </w:r>
      <w:r w:rsidRPr="00685AF2">
        <w:t xml:space="preserve">ohamed, K. S., Asokan, P. K., Sathianandan, T. V., Zacharia, P. U., Abdurahiman, K. P., … Durgekar, N. R. (2008). How environmental parameters influenced fluctuations in oil sardine and mackerel fishery during 1926-2005 along the south-west coast of India? </w:t>
      </w:r>
      <w:r w:rsidRPr="00685AF2">
        <w:rPr>
          <w:i/>
        </w:rPr>
        <w:t>Marine Fisheries Information Service, Technical and Extension Series</w:t>
      </w:r>
      <w:r w:rsidRPr="00685AF2">
        <w:t xml:space="preserve">, </w:t>
      </w:r>
      <w:r w:rsidRPr="00685AF2">
        <w:rPr>
          <w:i/>
        </w:rPr>
        <w:t>198</w:t>
      </w:r>
      <w:r w:rsidRPr="00685AF2">
        <w:t>, 1–5.</w:t>
      </w:r>
    </w:p>
    <w:p w14:paraId="1D0DFA5D" w14:textId="77777777" w:rsidR="008062F9" w:rsidRPr="00CE477A" w:rsidRDefault="00806920" w:rsidP="00AA3B73">
      <w:pPr>
        <w:pStyle w:val="Bibliography"/>
        <w:spacing w:line="480" w:lineRule="auto"/>
        <w:ind w:left="360" w:hanging="360"/>
      </w:pPr>
      <w:bookmarkStart w:id="52" w:name="ref-Lawer2016"/>
      <w:bookmarkEnd w:id="51"/>
      <w:r w:rsidRPr="00685AF2">
        <w:lastRenderedPageBreak/>
        <w:t xml:space="preserve">Lawer, E. A. (2016). Empirical modeling of annual fishery landings. </w:t>
      </w:r>
      <w:r w:rsidRPr="00685AF2">
        <w:rPr>
          <w:i/>
        </w:rPr>
        <w:t>Natural Resources</w:t>
      </w:r>
      <w:r w:rsidRPr="00685AF2">
        <w:t xml:space="preserve">, </w:t>
      </w:r>
      <w:r w:rsidRPr="00685AF2">
        <w:rPr>
          <w:i/>
        </w:rPr>
        <w:t>7</w:t>
      </w:r>
      <w:r w:rsidRPr="00685AF2">
        <w:t xml:space="preserve">(3), 193–204. </w:t>
      </w:r>
      <w:hyperlink r:id="rId23">
        <w:r w:rsidRPr="001A7D4A">
          <w:rPr>
            <w:rStyle w:val="Hyperlink"/>
            <w:color w:val="auto"/>
          </w:rPr>
          <w:t>http://dx.doi.org/10.4236/nr.2016.74018</w:t>
        </w:r>
      </w:hyperlink>
    </w:p>
    <w:p w14:paraId="3C4A7DBA" w14:textId="61BBFE5E" w:rsidR="008062F9" w:rsidRPr="00CE477A" w:rsidRDefault="00806920" w:rsidP="00AA3B73">
      <w:pPr>
        <w:pStyle w:val="Bibliography"/>
        <w:spacing w:line="480" w:lineRule="auto"/>
        <w:ind w:left="360" w:hanging="360"/>
      </w:pPr>
      <w:bookmarkStart w:id="53" w:name="ref-LindegrenCheckley2012"/>
      <w:bookmarkEnd w:id="52"/>
      <w:r w:rsidRPr="001A7D4A">
        <w:t>Lind</w:t>
      </w:r>
      <w:r w:rsidRPr="00C71234">
        <w:t>egren, M., &amp; Checkley, D. M.</w:t>
      </w:r>
      <w:r w:rsidR="00D12354">
        <w:t>, Jr.</w:t>
      </w:r>
      <w:r w:rsidRPr="00C71234">
        <w:t xml:space="preserve"> (201</w:t>
      </w:r>
      <w:r w:rsidR="00D12354">
        <w:t>3</w:t>
      </w:r>
      <w:r w:rsidRPr="00C71234">
        <w:t>). T</w:t>
      </w:r>
      <w:r w:rsidRPr="00685AF2">
        <w:t>emperature dependence of Pacific sardine (</w:t>
      </w:r>
      <w:r w:rsidRPr="00D12354">
        <w:rPr>
          <w:i/>
          <w:iCs/>
        </w:rPr>
        <w:t>Sardinops sagax</w:t>
      </w:r>
      <w:r w:rsidRPr="00685AF2">
        <w:t xml:space="preserve">) recruitment in the California Current Ecosystem revisited and revised. </w:t>
      </w:r>
      <w:r w:rsidRPr="00685AF2">
        <w:rPr>
          <w:i/>
        </w:rPr>
        <w:t>Canadian Journal of Fisheries and Aquatic Sciences</w:t>
      </w:r>
      <w:r w:rsidRPr="00685AF2">
        <w:t xml:space="preserve">, </w:t>
      </w:r>
      <w:r w:rsidRPr="00685AF2">
        <w:rPr>
          <w:i/>
        </w:rPr>
        <w:t>70</w:t>
      </w:r>
      <w:r w:rsidRPr="00685AF2">
        <w:t xml:space="preserve">(2), 245–252. </w:t>
      </w:r>
      <w:hyperlink r:id="rId24">
        <w:r w:rsidRPr="001A7D4A">
          <w:rPr>
            <w:rStyle w:val="Hyperlink"/>
            <w:color w:val="auto"/>
          </w:rPr>
          <w:t>https://doi.org/10.1139/cjfas-2012-0211</w:t>
        </w:r>
      </w:hyperlink>
    </w:p>
    <w:p w14:paraId="10C62E67" w14:textId="79BA24F1" w:rsidR="008062F9" w:rsidRPr="00CE477A" w:rsidRDefault="00806920" w:rsidP="00AA3B73">
      <w:pPr>
        <w:pStyle w:val="Bibliography"/>
        <w:spacing w:line="480" w:lineRule="auto"/>
        <w:ind w:left="360" w:hanging="360"/>
      </w:pPr>
      <w:bookmarkStart w:id="54" w:name="ref-Lindegrenetal2013"/>
      <w:bookmarkEnd w:id="53"/>
      <w:r w:rsidRPr="001A7D4A">
        <w:t>Lind</w:t>
      </w:r>
      <w:r w:rsidRPr="00C71234">
        <w:t>egren, M</w:t>
      </w:r>
      <w:r w:rsidRPr="00685AF2">
        <w:t xml:space="preserve">., Checkley, D. M., </w:t>
      </w:r>
      <w:r w:rsidR="00D12354">
        <w:t xml:space="preserve">Jr., </w:t>
      </w:r>
      <w:r w:rsidRPr="00685AF2">
        <w:t xml:space="preserve">Rouyer, T., MacCall, A. D., &amp; Stenseth, N. C. (2013). Climate, fishing, and fluctuations of sardine and anchovy in the California Current. </w:t>
      </w:r>
      <w:r w:rsidRPr="00685AF2">
        <w:rPr>
          <w:i/>
        </w:rPr>
        <w:t>Proceedings of the National Academy of Sciences</w:t>
      </w:r>
      <w:r w:rsidRPr="00685AF2">
        <w:t xml:space="preserve">, </w:t>
      </w:r>
      <w:r w:rsidRPr="00685AF2">
        <w:rPr>
          <w:i/>
        </w:rPr>
        <w:t>110</w:t>
      </w:r>
      <w:r w:rsidRPr="00685AF2">
        <w:t xml:space="preserve">(33), 13672–13677. </w:t>
      </w:r>
      <w:hyperlink r:id="rId25">
        <w:r w:rsidRPr="001A7D4A">
          <w:rPr>
            <w:rStyle w:val="Hyperlink"/>
            <w:color w:val="auto"/>
          </w:rPr>
          <w:t>https://doi.org/10.1073/pnas.1305733110</w:t>
        </w:r>
      </w:hyperlink>
    </w:p>
    <w:p w14:paraId="1DEED320" w14:textId="77777777" w:rsidR="008062F9" w:rsidRPr="00CE477A" w:rsidRDefault="00806920" w:rsidP="00AA3B73">
      <w:pPr>
        <w:pStyle w:val="Bibliography"/>
        <w:spacing w:line="480" w:lineRule="auto"/>
        <w:ind w:left="360" w:hanging="360"/>
      </w:pPr>
      <w:bookmarkStart w:id="55" w:name="ref-Lloretetal2000"/>
      <w:bookmarkEnd w:id="54"/>
      <w:r w:rsidRPr="001A7D4A">
        <w:t>Llore</w:t>
      </w:r>
      <w:r w:rsidRPr="00C71234">
        <w:t>t, J., Ll</w:t>
      </w:r>
      <w:r w:rsidRPr="00685AF2">
        <w:t xml:space="preserve">eonart, J., &amp; Sole, I. (2000). Time series modelling of landings in Northwest Mediterranean Sea. </w:t>
      </w:r>
      <w:r w:rsidRPr="00685AF2">
        <w:rPr>
          <w:i/>
        </w:rPr>
        <w:t>ICES Journal of Marine Science</w:t>
      </w:r>
      <w:r w:rsidRPr="00685AF2">
        <w:t xml:space="preserve">, </w:t>
      </w:r>
      <w:r w:rsidRPr="00685AF2">
        <w:rPr>
          <w:i/>
        </w:rPr>
        <w:t>57</w:t>
      </w:r>
      <w:r w:rsidRPr="00685AF2">
        <w:t xml:space="preserve">(1), 171–184. </w:t>
      </w:r>
      <w:hyperlink r:id="rId26">
        <w:r w:rsidRPr="001A7D4A">
          <w:rPr>
            <w:rStyle w:val="Hyperlink"/>
            <w:color w:val="auto"/>
          </w:rPr>
          <w:t>https://doi.org/10.1006/jmsc.2000.0570</w:t>
        </w:r>
      </w:hyperlink>
    </w:p>
    <w:p w14:paraId="6E2644D2" w14:textId="3D0C0C0E" w:rsidR="008062F9" w:rsidRDefault="00806920" w:rsidP="00AA3B73">
      <w:pPr>
        <w:pStyle w:val="Bibliography"/>
        <w:spacing w:line="480" w:lineRule="auto"/>
        <w:ind w:left="360" w:hanging="360"/>
        <w:rPr>
          <w:rStyle w:val="Hyperlink"/>
          <w:color w:val="auto"/>
        </w:rPr>
      </w:pPr>
      <w:bookmarkStart w:id="56" w:name="ref-LonghurstWooster1990"/>
      <w:bookmarkEnd w:id="55"/>
      <w:r w:rsidRPr="001A7D4A">
        <w:t>Longhurst, A.</w:t>
      </w:r>
      <w:r w:rsidRPr="00C71234">
        <w:t xml:space="preserve"> R., &amp; Wooster, W. S. (1990). Abundance of oil sardine (</w:t>
      </w:r>
      <w:r w:rsidRPr="00D12354">
        <w:rPr>
          <w:i/>
          <w:iCs/>
        </w:rPr>
        <w:t>Sardinella longiceps</w:t>
      </w:r>
      <w:r w:rsidRPr="00685AF2">
        <w:t xml:space="preserve">) and upwelling on the southwest coast of India. </w:t>
      </w:r>
      <w:r w:rsidRPr="00685AF2">
        <w:rPr>
          <w:i/>
        </w:rPr>
        <w:t>Canadian Journal of Fisheries and Aquatic Sciences</w:t>
      </w:r>
      <w:r w:rsidRPr="00685AF2">
        <w:t xml:space="preserve">, </w:t>
      </w:r>
      <w:r w:rsidRPr="00685AF2">
        <w:rPr>
          <w:i/>
        </w:rPr>
        <w:t>47</w:t>
      </w:r>
      <w:r w:rsidRPr="00685AF2">
        <w:t xml:space="preserve">(12), 2407–2419. </w:t>
      </w:r>
      <w:hyperlink r:id="rId27">
        <w:r w:rsidRPr="001A7D4A">
          <w:rPr>
            <w:rStyle w:val="Hyperlink"/>
            <w:color w:val="auto"/>
          </w:rPr>
          <w:t>https://doi.org/10.1139/f90-268</w:t>
        </w:r>
      </w:hyperlink>
    </w:p>
    <w:p w14:paraId="12374E54" w14:textId="531B7FDE" w:rsidR="006D566A" w:rsidRDefault="006D566A" w:rsidP="006D566A">
      <w:pPr>
        <w:pStyle w:val="BodyText"/>
        <w:spacing w:line="480" w:lineRule="auto"/>
        <w:ind w:left="360" w:hanging="360"/>
      </w:pPr>
      <w:r w:rsidRPr="006D566A">
        <w:t>Lu, R., Dong, B., and Ding, H. (2006), Impact of the Atlantic Multidecadal Oscillation on the Asian summer monsoon</w:t>
      </w:r>
      <w:r>
        <w:t>.</w:t>
      </w:r>
      <w:r w:rsidRPr="006D566A">
        <w:t xml:space="preserve"> </w:t>
      </w:r>
      <w:r w:rsidRPr="00BA076B">
        <w:rPr>
          <w:i/>
          <w:iCs/>
        </w:rPr>
        <w:t>Geophysical Research Letters</w:t>
      </w:r>
      <w:r>
        <w:t>,</w:t>
      </w:r>
      <w:r w:rsidRPr="006D566A">
        <w:t xml:space="preserve"> </w:t>
      </w:r>
      <w:r w:rsidRPr="00BA076B">
        <w:rPr>
          <w:i/>
          <w:iCs/>
        </w:rPr>
        <w:t>33</w:t>
      </w:r>
      <w:r>
        <w:t>(24)</w:t>
      </w:r>
      <w:r w:rsidRPr="006D566A">
        <w:t>, L24701</w:t>
      </w:r>
      <w:r>
        <w:t xml:space="preserve">. </w:t>
      </w:r>
      <w:r w:rsidR="009C45B6" w:rsidRPr="00BA076B">
        <w:t>https://doi.org/10.1029/2006GL027655</w:t>
      </w:r>
      <w:r w:rsidRPr="006D566A">
        <w:t>.</w:t>
      </w:r>
    </w:p>
    <w:p w14:paraId="4D2B1018" w14:textId="77777777" w:rsidR="008062F9" w:rsidRPr="00CE477A" w:rsidRDefault="00806920" w:rsidP="00AA3B73">
      <w:pPr>
        <w:pStyle w:val="Bibliography"/>
        <w:spacing w:line="480" w:lineRule="auto"/>
        <w:ind w:left="360" w:hanging="360"/>
      </w:pPr>
      <w:bookmarkStart w:id="57" w:name="ref-Madhupratapetal2001"/>
      <w:bookmarkEnd w:id="56"/>
      <w:proofErr w:type="spellStart"/>
      <w:r w:rsidRPr="001A7D4A">
        <w:t>Madhuprata</w:t>
      </w:r>
      <w:r w:rsidRPr="00C71234">
        <w:t>p</w:t>
      </w:r>
      <w:proofErr w:type="spellEnd"/>
      <w:r w:rsidRPr="00C71234">
        <w:t>, M., Gopalakrishna</w:t>
      </w:r>
      <w:r w:rsidRPr="00685AF2">
        <w:t xml:space="preserve">n, T. C., Haridas, P., &amp; Nair, K. K. C. (2001). Mesozooplankton biomass, composition and distribution in the Arabian Sea during the fall intermonsoon: Implications of oxygen gradients. </w:t>
      </w:r>
      <w:r w:rsidRPr="00685AF2">
        <w:rPr>
          <w:i/>
        </w:rPr>
        <w:t xml:space="preserve">Deep Sea Research Part II: Topical </w:t>
      </w:r>
      <w:r w:rsidRPr="00685AF2">
        <w:rPr>
          <w:i/>
        </w:rPr>
        <w:lastRenderedPageBreak/>
        <w:t>Studies in Oceanography</w:t>
      </w:r>
      <w:r w:rsidRPr="00685AF2">
        <w:t xml:space="preserve">, </w:t>
      </w:r>
      <w:r w:rsidRPr="00685AF2">
        <w:rPr>
          <w:i/>
        </w:rPr>
        <w:t>48</w:t>
      </w:r>
      <w:r w:rsidRPr="00685AF2">
        <w:t xml:space="preserve">(6), 1345–1368. </w:t>
      </w:r>
      <w:hyperlink r:id="rId28">
        <w:r w:rsidRPr="001A7D4A">
          <w:rPr>
            <w:rStyle w:val="Hyperlink"/>
            <w:color w:val="auto"/>
          </w:rPr>
          <w:t>https://doi.org/10.1016/S0967-0645(00)00142-9</w:t>
        </w:r>
      </w:hyperlink>
    </w:p>
    <w:p w14:paraId="08154077" w14:textId="68FCFAA4" w:rsidR="008062F9" w:rsidRDefault="00806920" w:rsidP="00AA3B73">
      <w:pPr>
        <w:pStyle w:val="Bibliography"/>
        <w:spacing w:line="480" w:lineRule="auto"/>
        <w:ind w:left="360" w:hanging="360"/>
        <w:rPr>
          <w:rStyle w:val="Hyperlink"/>
          <w:color w:val="auto"/>
        </w:rPr>
      </w:pPr>
      <w:bookmarkStart w:id="58" w:name="ref-Madhupratapetal1994"/>
      <w:bookmarkEnd w:id="57"/>
      <w:r w:rsidRPr="001A7D4A">
        <w:t>Mad</w:t>
      </w:r>
      <w:r w:rsidRPr="00C71234">
        <w:t xml:space="preserve">hupratap, M., Shetye, S. R., Nair, </w:t>
      </w:r>
      <w:r w:rsidRPr="00685AF2">
        <w:t xml:space="preserve">K. N. V., &amp; Nair, S. R. S. (1994). Oil sardine and Indian mackerel: Their fishery, problems and coastal oceanography. </w:t>
      </w:r>
      <w:r w:rsidRPr="00685AF2">
        <w:rPr>
          <w:i/>
        </w:rPr>
        <w:t>Current Science</w:t>
      </w:r>
      <w:r w:rsidRPr="00685AF2">
        <w:t xml:space="preserve">, </w:t>
      </w:r>
      <w:r w:rsidRPr="00685AF2">
        <w:rPr>
          <w:i/>
        </w:rPr>
        <w:t>66</w:t>
      </w:r>
      <w:r w:rsidRPr="00685AF2">
        <w:t xml:space="preserve">(5), 340–348. </w:t>
      </w:r>
      <w:hyperlink r:id="rId29">
        <w:r w:rsidRPr="001A7D4A">
          <w:rPr>
            <w:rStyle w:val="Hyperlink"/>
            <w:color w:val="auto"/>
          </w:rPr>
          <w:t>https://doi.org/10.1029/2004GL0196</w:t>
        </w:r>
        <w:r w:rsidRPr="00C71234">
          <w:rPr>
            <w:rStyle w:val="Hyperlink"/>
            <w:color w:val="auto"/>
          </w:rPr>
          <w:t>52</w:t>
        </w:r>
      </w:hyperlink>
    </w:p>
    <w:p w14:paraId="36753141" w14:textId="7B9EC258" w:rsidR="002C00FE" w:rsidRDefault="002C00FE" w:rsidP="002C00FE">
      <w:pPr>
        <w:pStyle w:val="Bibliography"/>
        <w:spacing w:line="480" w:lineRule="auto"/>
        <w:ind w:left="360" w:hanging="360"/>
      </w:pPr>
      <w:r>
        <w:t xml:space="preserve">Manjusha, U., Jayasankar, J., Remya, R., Ambrose, T. V., &amp; Vivekanandan, E. (2013). Influence of coastal upwelling on the fishery of small pelagics off Kerala, south-west coast of India. </w:t>
      </w:r>
      <w:r w:rsidRPr="002C00FE">
        <w:rPr>
          <w:i/>
          <w:iCs/>
        </w:rPr>
        <w:t>Indian Journal of Fisheries, 60(2)</w:t>
      </w:r>
      <w:r>
        <w:t xml:space="preserve">, 37-42. </w:t>
      </w:r>
    </w:p>
    <w:p w14:paraId="1492A8AD" w14:textId="0D6CDB39" w:rsidR="009C45B6" w:rsidRDefault="009C45B6" w:rsidP="00BA076B">
      <w:pPr>
        <w:pStyle w:val="BodyText"/>
        <w:spacing w:line="480" w:lineRule="auto"/>
        <w:ind w:left="360" w:hanging="360"/>
      </w:pPr>
      <w:r w:rsidRPr="009C45B6">
        <w:t xml:space="preserve">McClatchie, S. (2014). </w:t>
      </w:r>
      <w:r w:rsidRPr="00BA076B">
        <w:rPr>
          <w:i/>
          <w:iCs/>
        </w:rPr>
        <w:t>Regional fisheries oceanography of the California Current System. The CalCOFI Program</w:t>
      </w:r>
      <w:r w:rsidRPr="009C45B6">
        <w:t>. New York, NY: Springer.</w:t>
      </w:r>
      <w:r w:rsidR="009D26C4">
        <w:t xml:space="preserve"> https://doi.org/</w:t>
      </w:r>
      <w:r w:rsidR="009D26C4" w:rsidRPr="009D26C4">
        <w:t xml:space="preserve"> 10.1007/978-94-007-7223-6</w:t>
      </w:r>
    </w:p>
    <w:p w14:paraId="3256BD3E" w14:textId="77777777" w:rsidR="008062F9" w:rsidRPr="00CE477A" w:rsidRDefault="00806920" w:rsidP="00AA3B73">
      <w:pPr>
        <w:pStyle w:val="Bibliography"/>
        <w:spacing w:line="480" w:lineRule="auto"/>
        <w:ind w:left="360" w:hanging="360"/>
      </w:pPr>
      <w:bookmarkStart w:id="59" w:name="ref-McClatchieetal2010"/>
      <w:bookmarkEnd w:id="58"/>
      <w:r w:rsidRPr="001A7D4A">
        <w:t>McClatchie, S., Goe</w:t>
      </w:r>
      <w:r w:rsidRPr="00C71234">
        <w:t xml:space="preserve">ricke, R., Auad, G., &amp; Hill, K. (2010). Re-assessment of the </w:t>
      </w:r>
      <w:r w:rsidRPr="00685AF2">
        <w:t>stock–recruit and temperature–recruit relationships for Pacific sardine (</w:t>
      </w:r>
      <w:r w:rsidRPr="00D12354">
        <w:rPr>
          <w:i/>
          <w:iCs/>
        </w:rPr>
        <w:t>Sardinops sagax</w:t>
      </w:r>
      <w:r w:rsidRPr="00685AF2">
        <w:t xml:space="preserve">). </w:t>
      </w:r>
      <w:r w:rsidRPr="00685AF2">
        <w:rPr>
          <w:i/>
        </w:rPr>
        <w:t>Canadian Journal of Fisheries and Aquatic Sciences</w:t>
      </w:r>
      <w:r w:rsidRPr="00685AF2">
        <w:t xml:space="preserve">, </w:t>
      </w:r>
      <w:r w:rsidRPr="00685AF2">
        <w:rPr>
          <w:i/>
        </w:rPr>
        <w:t>67</w:t>
      </w:r>
      <w:r w:rsidRPr="00685AF2">
        <w:t xml:space="preserve">(11), 1782–1790. </w:t>
      </w:r>
      <w:hyperlink r:id="rId30">
        <w:r w:rsidRPr="001A7D4A">
          <w:rPr>
            <w:rStyle w:val="Hyperlink"/>
            <w:color w:val="auto"/>
          </w:rPr>
          <w:t>https://doi.org/10.1139/F10-</w:t>
        </w:r>
        <w:r w:rsidRPr="00C71234">
          <w:rPr>
            <w:rStyle w:val="Hyperlink"/>
            <w:color w:val="auto"/>
          </w:rPr>
          <w:t>101</w:t>
        </w:r>
      </w:hyperlink>
    </w:p>
    <w:p w14:paraId="44A6CD36" w14:textId="77777777" w:rsidR="008062F9" w:rsidRPr="00685AF2" w:rsidRDefault="00806920" w:rsidP="00AA3B73">
      <w:pPr>
        <w:pStyle w:val="Bibliography"/>
        <w:spacing w:line="480" w:lineRule="auto"/>
        <w:ind w:left="360" w:hanging="360"/>
      </w:pPr>
      <w:bookmarkStart w:id="60" w:name="ref-Mendelssohn1981"/>
      <w:bookmarkEnd w:id="59"/>
      <w:r w:rsidRPr="001A7D4A">
        <w:t>Mendelssoh</w:t>
      </w:r>
      <w:r w:rsidRPr="00C71234">
        <w:t>n, R. (1981). Using Box</w:t>
      </w:r>
      <w:r w:rsidRPr="00685AF2">
        <w:t xml:space="preserve">-Jenkins models to forecast fishery dynamics: Identification, estimation and checking. </w:t>
      </w:r>
      <w:r w:rsidRPr="00685AF2">
        <w:rPr>
          <w:i/>
        </w:rPr>
        <w:t>Fishery Bulletin</w:t>
      </w:r>
      <w:r w:rsidRPr="00685AF2">
        <w:t xml:space="preserve">, </w:t>
      </w:r>
      <w:r w:rsidRPr="00685AF2">
        <w:rPr>
          <w:i/>
        </w:rPr>
        <w:t>78</w:t>
      </w:r>
      <w:r w:rsidRPr="00685AF2">
        <w:t>(4), 887–896.</w:t>
      </w:r>
    </w:p>
    <w:p w14:paraId="4E1B7AB7" w14:textId="77777777" w:rsidR="008062F9" w:rsidRPr="003E2A48" w:rsidRDefault="00806920" w:rsidP="00AA3B73">
      <w:pPr>
        <w:pStyle w:val="Bibliography"/>
        <w:spacing w:line="480" w:lineRule="auto"/>
        <w:ind w:left="360" w:hanging="360"/>
      </w:pPr>
      <w:bookmarkStart w:id="61" w:name="ref-Menonetal2019"/>
      <w:bookmarkEnd w:id="60"/>
      <w:r w:rsidRPr="00685AF2">
        <w:t>Menon, N. N., Sankar, S., Smitha, A., George, G., Shalin, S., Sathyendranath, S., &amp; Platt, T. (2019). Satellite chlorophyll concentration as an aid to understanding the dynamics of Indian</w:t>
      </w:r>
      <w:r w:rsidRPr="003E2A48">
        <w:t xml:space="preserve"> oil sardine in the southeastern Arabian Sea. </w:t>
      </w:r>
      <w:r w:rsidRPr="003E2A48">
        <w:rPr>
          <w:i/>
        </w:rPr>
        <w:t>Marine Ecology Progress Series</w:t>
      </w:r>
      <w:r w:rsidRPr="003E2A48">
        <w:t xml:space="preserve">, </w:t>
      </w:r>
      <w:r w:rsidRPr="003E2A48">
        <w:rPr>
          <w:i/>
        </w:rPr>
        <w:t>617-618</w:t>
      </w:r>
      <w:r w:rsidRPr="003E2A48">
        <w:t xml:space="preserve">, 137–147. </w:t>
      </w:r>
      <w:hyperlink r:id="rId31">
        <w:r w:rsidRPr="003E2A48">
          <w:rPr>
            <w:rStyle w:val="Hyperlink"/>
            <w:color w:val="auto"/>
          </w:rPr>
          <w:t>https://doi.org/10.3354/meps12806</w:t>
        </w:r>
      </w:hyperlink>
    </w:p>
    <w:p w14:paraId="0F3FA01E" w14:textId="46F16C92" w:rsidR="008062F9" w:rsidRPr="003E2A48" w:rsidRDefault="00806920" w:rsidP="00AA3B73">
      <w:pPr>
        <w:pStyle w:val="Bibliography"/>
        <w:spacing w:line="480" w:lineRule="auto"/>
        <w:ind w:left="360" w:hanging="360"/>
      </w:pPr>
      <w:bookmarkStart w:id="62" w:name="ref-Moustahfidetal2018"/>
      <w:bookmarkEnd w:id="61"/>
      <w:r w:rsidRPr="003E2A48">
        <w:lastRenderedPageBreak/>
        <w:t xml:space="preserve">Moustahfid, H., Marsac, F., &amp; Grangopadhyay, A. (2018). Climate change impacts, vulnerabilities and adaptations: Western Indian </w:t>
      </w:r>
      <w:r w:rsidR="00B06196">
        <w:t>O</w:t>
      </w:r>
      <w:r w:rsidRPr="003E2A48">
        <w:t xml:space="preserve">cean marine fisheries. In M. Barange, T. Bahri, M. C. M. Beveridge, K. L. Cochrane, S. Funge-Smith, &amp; F. Poulain (Eds.), </w:t>
      </w:r>
      <w:r w:rsidRPr="003E2A48">
        <w:rPr>
          <w:i/>
        </w:rPr>
        <w:t>Impacts of climate change on fisheries and aquaculture: Synthesis of current knowledge, adaptation and mitigation options</w:t>
      </w:r>
      <w:r w:rsidRPr="003E2A48">
        <w:t xml:space="preserve"> (pp. 251–280). Rome: FAO Fisheries; Aquaculture Technical Paper No. 627.</w:t>
      </w:r>
    </w:p>
    <w:p w14:paraId="16EE4604" w14:textId="77777777" w:rsidR="008062F9" w:rsidRPr="00685AF2" w:rsidRDefault="00806920" w:rsidP="00AA3B73">
      <w:pPr>
        <w:pStyle w:val="Bibliography"/>
        <w:spacing w:line="480" w:lineRule="auto"/>
        <w:ind w:left="360" w:hanging="360"/>
      </w:pPr>
      <w:bookmarkStart w:id="63" w:name="ref-MurtyEdelman1966"/>
      <w:bookmarkEnd w:id="62"/>
      <w:r w:rsidRPr="00CE477A">
        <w:t>Murty</w:t>
      </w:r>
      <w:r w:rsidRPr="001A7D4A">
        <w:t xml:space="preserve">, A. V. S., &amp; Edelman, M. S. </w:t>
      </w:r>
      <w:r w:rsidRPr="00C71234">
        <w:t>(1966). On the relation between the in</w:t>
      </w:r>
      <w:r w:rsidRPr="00685AF2">
        <w:t xml:space="preserve">tensity of the south-west monsoon and the oil-sardine fishery of India. </w:t>
      </w:r>
      <w:r w:rsidRPr="00685AF2">
        <w:rPr>
          <w:i/>
        </w:rPr>
        <w:t>Indian Journal of Fisheries</w:t>
      </w:r>
      <w:r w:rsidRPr="00685AF2">
        <w:t xml:space="preserve">, </w:t>
      </w:r>
      <w:r w:rsidRPr="00685AF2">
        <w:rPr>
          <w:i/>
        </w:rPr>
        <w:t>13</w:t>
      </w:r>
      <w:r w:rsidRPr="00685AF2">
        <w:t>(1/2), 142–149.</w:t>
      </w:r>
    </w:p>
    <w:p w14:paraId="4E00B3E3" w14:textId="77777777" w:rsidR="008062F9" w:rsidRPr="00CE477A" w:rsidRDefault="00806920" w:rsidP="00AA3B73">
      <w:pPr>
        <w:pStyle w:val="Bibliography"/>
        <w:spacing w:line="480" w:lineRule="auto"/>
        <w:ind w:left="360" w:hanging="360"/>
      </w:pPr>
      <w:bookmarkStart w:id="64" w:name="ref-Naiduetal1999"/>
      <w:bookmarkEnd w:id="63"/>
      <w:r w:rsidRPr="00685AF2">
        <w:t xml:space="preserve">Naidu, P. D., Kumar, M. R. R., &amp; Babu, V. R. (1999). Time and space variations of monsoonal upwelling along the west and east coasts of India. </w:t>
      </w:r>
      <w:r w:rsidRPr="00685AF2">
        <w:rPr>
          <w:i/>
        </w:rPr>
        <w:t>Continental Shelf Research</w:t>
      </w:r>
      <w:r w:rsidRPr="00685AF2">
        <w:t xml:space="preserve">, </w:t>
      </w:r>
      <w:r w:rsidRPr="00685AF2">
        <w:rPr>
          <w:i/>
        </w:rPr>
        <w:t>19</w:t>
      </w:r>
      <w:r w:rsidRPr="00685AF2">
        <w:t xml:space="preserve">(4), 559–572. </w:t>
      </w:r>
      <w:hyperlink r:id="rId32">
        <w:r w:rsidRPr="001A7D4A">
          <w:rPr>
            <w:rStyle w:val="Hyperlink"/>
            <w:color w:val="auto"/>
          </w:rPr>
          <w:t>http</w:t>
        </w:r>
        <w:r w:rsidRPr="00C71234">
          <w:rPr>
            <w:rStyle w:val="Hyperlink"/>
            <w:color w:val="auto"/>
          </w:rPr>
          <w:t>s://doi.org/10.1016/S0278-4343(98)00104-6</w:t>
        </w:r>
      </w:hyperlink>
    </w:p>
    <w:p w14:paraId="0C01DA4B" w14:textId="77777777" w:rsidR="008062F9" w:rsidRPr="00CE477A" w:rsidRDefault="00806920" w:rsidP="00AA3B73">
      <w:pPr>
        <w:pStyle w:val="Bibliography"/>
        <w:spacing w:line="480" w:lineRule="auto"/>
        <w:ind w:left="360" w:hanging="360"/>
      </w:pPr>
      <w:bookmarkStart w:id="65" w:name="ref-Nairetal2016"/>
      <w:bookmarkEnd w:id="64"/>
      <w:r w:rsidRPr="001A7D4A">
        <w:t>Nair, P. G., Jose</w:t>
      </w:r>
      <w:r w:rsidRPr="00C71234">
        <w:t>ph, S., Kripa, V., Remya</w:t>
      </w:r>
      <w:r w:rsidRPr="00685AF2">
        <w:t xml:space="preserve">, R., &amp; Pillai, V. N. (2016). Growth and maturity of Indian oil sardine </w:t>
      </w:r>
      <w:r w:rsidRPr="00D12354">
        <w:rPr>
          <w:i/>
          <w:iCs/>
        </w:rPr>
        <w:t>Sardinella longiceps</w:t>
      </w:r>
      <w:r w:rsidRPr="00685AF2">
        <w:t xml:space="preserve"> (Valenciennes, 1847) along southwest coast of India. </w:t>
      </w:r>
      <w:r w:rsidRPr="00685AF2">
        <w:rPr>
          <w:i/>
        </w:rPr>
        <w:t>Journal of Marine Biological Association of India</w:t>
      </w:r>
      <w:r w:rsidRPr="00685AF2">
        <w:t xml:space="preserve">, </w:t>
      </w:r>
      <w:r w:rsidRPr="00685AF2">
        <w:rPr>
          <w:i/>
        </w:rPr>
        <w:t>58</w:t>
      </w:r>
      <w:r w:rsidRPr="00685AF2">
        <w:t xml:space="preserve">(1), 64–68. </w:t>
      </w:r>
      <w:hyperlink r:id="rId33">
        <w:r w:rsidRPr="001A7D4A">
          <w:rPr>
            <w:rStyle w:val="Hyperlink"/>
            <w:color w:val="auto"/>
          </w:rPr>
          <w:t>https://doi.org/10.6024/jmbai.2016.58.1.1899-07</w:t>
        </w:r>
      </w:hyperlink>
    </w:p>
    <w:p w14:paraId="3E202605" w14:textId="77777777" w:rsidR="008062F9" w:rsidRPr="00685AF2" w:rsidRDefault="00806920" w:rsidP="00AA3B73">
      <w:pPr>
        <w:pStyle w:val="Bibliography"/>
        <w:spacing w:line="480" w:lineRule="auto"/>
        <w:ind w:left="360" w:hanging="360"/>
      </w:pPr>
      <w:bookmarkStart w:id="66" w:name="ref-Nair1952"/>
      <w:bookmarkEnd w:id="65"/>
      <w:r w:rsidRPr="001A7D4A">
        <w:t>Nai</w:t>
      </w:r>
      <w:r w:rsidRPr="00C71234">
        <w:t xml:space="preserve">r, R. V. (1952). Studies on the revival of the Indian oil sardine fishery. </w:t>
      </w:r>
      <w:r w:rsidRPr="00685AF2">
        <w:rPr>
          <w:i/>
        </w:rPr>
        <w:t>Proceedings of Indo-Pacific Fisheries Council</w:t>
      </w:r>
      <w:r w:rsidRPr="00685AF2">
        <w:t xml:space="preserve">, </w:t>
      </w:r>
      <w:r w:rsidRPr="00685AF2">
        <w:rPr>
          <w:i/>
        </w:rPr>
        <w:t>2</w:t>
      </w:r>
      <w:r w:rsidRPr="00685AF2">
        <w:t>, 1–15.</w:t>
      </w:r>
    </w:p>
    <w:p w14:paraId="725F5F30" w14:textId="77777777" w:rsidR="008062F9" w:rsidRPr="00685AF2" w:rsidRDefault="00806920" w:rsidP="00AA3B73">
      <w:pPr>
        <w:pStyle w:val="Bibliography"/>
        <w:spacing w:line="480" w:lineRule="auto"/>
        <w:ind w:left="360" w:hanging="360"/>
      </w:pPr>
      <w:bookmarkStart w:id="67" w:name="ref-Nair1959"/>
      <w:bookmarkEnd w:id="66"/>
      <w:r w:rsidRPr="00685AF2">
        <w:t xml:space="preserve">Nair, R. V. (1959). Notes on the spawning habits and early life-history of the oil sardine, </w:t>
      </w:r>
      <w:r w:rsidRPr="00D12354">
        <w:rPr>
          <w:i/>
          <w:iCs/>
        </w:rPr>
        <w:t>Sardinella longiceps</w:t>
      </w:r>
      <w:r w:rsidRPr="00685AF2">
        <w:t xml:space="preserve"> Cuv. &amp; Val. </w:t>
      </w:r>
      <w:r w:rsidRPr="00685AF2">
        <w:rPr>
          <w:i/>
        </w:rPr>
        <w:t>Indian Journal of Fisheries</w:t>
      </w:r>
      <w:r w:rsidRPr="00685AF2">
        <w:t xml:space="preserve">, </w:t>
      </w:r>
      <w:r w:rsidRPr="00685AF2">
        <w:rPr>
          <w:i/>
        </w:rPr>
        <w:t>6</w:t>
      </w:r>
      <w:r w:rsidRPr="00685AF2">
        <w:t>(2), 342–359.</w:t>
      </w:r>
    </w:p>
    <w:p w14:paraId="4FD39851" w14:textId="6CAFCF9B" w:rsidR="008062F9" w:rsidRPr="00685AF2" w:rsidRDefault="00806920" w:rsidP="00AA3B73">
      <w:pPr>
        <w:pStyle w:val="Bibliography"/>
        <w:spacing w:line="480" w:lineRule="auto"/>
        <w:ind w:left="360" w:hanging="360"/>
      </w:pPr>
      <w:bookmarkStart w:id="68" w:name="ref-NairSubrahmanyan1955"/>
      <w:bookmarkEnd w:id="67"/>
      <w:r w:rsidRPr="00685AF2">
        <w:t xml:space="preserve">Nair, R. V., &amp; Subrahmanyan, R. (1955). The diatom, </w:t>
      </w:r>
      <w:r w:rsidRPr="00D12354">
        <w:rPr>
          <w:i/>
          <w:iCs/>
        </w:rPr>
        <w:t>Fragilaria oceanica</w:t>
      </w:r>
      <w:r w:rsidRPr="00685AF2">
        <w:t xml:space="preserve"> Cleve, an indicator of abundance of the Indian oil sardine, </w:t>
      </w:r>
      <w:r w:rsidRPr="00D12354">
        <w:rPr>
          <w:i/>
          <w:iCs/>
        </w:rPr>
        <w:t>Sardinella longiceps</w:t>
      </w:r>
      <w:r w:rsidRPr="00685AF2">
        <w:t xml:space="preserve"> Cuv. </w:t>
      </w:r>
      <w:r w:rsidR="00D12354">
        <w:t>a</w:t>
      </w:r>
      <w:r w:rsidRPr="00685AF2">
        <w:t xml:space="preserve">nd Val. </w:t>
      </w:r>
      <w:r w:rsidRPr="00685AF2">
        <w:rPr>
          <w:i/>
        </w:rPr>
        <w:t>Current Science</w:t>
      </w:r>
      <w:r w:rsidRPr="00685AF2">
        <w:t xml:space="preserve">, </w:t>
      </w:r>
      <w:r w:rsidRPr="00685AF2">
        <w:rPr>
          <w:i/>
        </w:rPr>
        <w:t>24</w:t>
      </w:r>
      <w:r w:rsidRPr="00685AF2">
        <w:t>(2), 41–42.</w:t>
      </w:r>
    </w:p>
    <w:p w14:paraId="03873A37" w14:textId="77777777" w:rsidR="008062F9" w:rsidRPr="00685AF2" w:rsidRDefault="00806920" w:rsidP="00AA3B73">
      <w:pPr>
        <w:pStyle w:val="Bibliography"/>
        <w:spacing w:line="480" w:lineRule="auto"/>
        <w:ind w:left="360" w:hanging="360"/>
      </w:pPr>
      <w:bookmarkStart w:id="69" w:name="ref-NobelSathianandan1991"/>
      <w:bookmarkEnd w:id="68"/>
      <w:r w:rsidRPr="00685AF2">
        <w:lastRenderedPageBreak/>
        <w:t xml:space="preserve">Nobel, A., &amp; Sathianandan, T. V. (1991). Trend analysis in all-India mackerel catches using ARIMA models. </w:t>
      </w:r>
      <w:r w:rsidRPr="00685AF2">
        <w:rPr>
          <w:i/>
        </w:rPr>
        <w:t>Indian Journal of Fisheries</w:t>
      </w:r>
      <w:r w:rsidRPr="00685AF2">
        <w:t xml:space="preserve">, </w:t>
      </w:r>
      <w:r w:rsidRPr="00685AF2">
        <w:rPr>
          <w:i/>
        </w:rPr>
        <w:t>38</w:t>
      </w:r>
      <w:r w:rsidRPr="00685AF2">
        <w:t>(2), 119–122.</w:t>
      </w:r>
    </w:p>
    <w:p w14:paraId="75D0FAD6" w14:textId="77777777" w:rsidR="008062F9" w:rsidRPr="003E2A48" w:rsidRDefault="00806920" w:rsidP="00AA3B73">
      <w:pPr>
        <w:pStyle w:val="Bibliography"/>
        <w:spacing w:line="480" w:lineRule="auto"/>
        <w:ind w:left="360" w:hanging="360"/>
      </w:pPr>
      <w:bookmarkStart w:id="70" w:name="ref-Pillai1991"/>
      <w:bookmarkEnd w:id="69"/>
      <w:r w:rsidRPr="00685AF2">
        <w:t>Pillai, V. N. (1991). Salinity a</w:t>
      </w:r>
      <w:r w:rsidRPr="003E2A48">
        <w:t xml:space="preserve">nd thermal characteristics of the coastal waters off southwest coast of India and their relation to major pelagic fisheries of the region. </w:t>
      </w:r>
      <w:r w:rsidRPr="003E2A48">
        <w:rPr>
          <w:i/>
        </w:rPr>
        <w:t>Journal of the Marine Biological Association of India</w:t>
      </w:r>
      <w:r w:rsidRPr="003E2A48">
        <w:t xml:space="preserve">, </w:t>
      </w:r>
      <w:r w:rsidRPr="003E2A48">
        <w:rPr>
          <w:i/>
        </w:rPr>
        <w:t>33</w:t>
      </w:r>
      <w:r w:rsidRPr="003E2A48">
        <w:t>(1/2), 115–133.</w:t>
      </w:r>
    </w:p>
    <w:p w14:paraId="6D33E00C" w14:textId="77777777" w:rsidR="008062F9" w:rsidRPr="00CE477A" w:rsidRDefault="00806920" w:rsidP="00AA3B73">
      <w:pPr>
        <w:pStyle w:val="Bibliography"/>
        <w:spacing w:line="480" w:lineRule="auto"/>
        <w:ind w:left="360" w:hanging="360"/>
      </w:pPr>
      <w:bookmarkStart w:id="71" w:name="ref-Piontkovskietal2015"/>
      <w:bookmarkEnd w:id="70"/>
      <w:r w:rsidRPr="00CE477A">
        <w:t>Piontk</w:t>
      </w:r>
      <w:r w:rsidRPr="001A7D4A">
        <w:t>ovski, S., Al Oufi, H., &amp; Al Jufaily</w:t>
      </w:r>
      <w:r w:rsidRPr="00C71234">
        <w:t xml:space="preserve">, S. (2014). Seasonal and interannual changes of Indian oil sardine, </w:t>
      </w:r>
      <w:r w:rsidRPr="00D12354">
        <w:rPr>
          <w:i/>
          <w:iCs/>
        </w:rPr>
        <w:t>Sardinella longiceps</w:t>
      </w:r>
      <w:r w:rsidRPr="00C71234">
        <w:t xml:space="preserve">, landings in the governorate of Muscat (the Sea of Oman). </w:t>
      </w:r>
      <w:r w:rsidRPr="00685AF2">
        <w:rPr>
          <w:i/>
        </w:rPr>
        <w:t>Marine Fisheries Review</w:t>
      </w:r>
      <w:r w:rsidRPr="00685AF2">
        <w:t xml:space="preserve">, </w:t>
      </w:r>
      <w:r w:rsidRPr="00685AF2">
        <w:rPr>
          <w:i/>
        </w:rPr>
        <w:t>76</w:t>
      </w:r>
      <w:r w:rsidRPr="00685AF2">
        <w:t xml:space="preserve">(3), 50–59. </w:t>
      </w:r>
      <w:hyperlink r:id="rId34">
        <w:r w:rsidRPr="001A7D4A">
          <w:rPr>
            <w:rStyle w:val="Hyperlink"/>
            <w:color w:val="auto"/>
          </w:rPr>
          <w:t>https://dx.doi.org/10.7755/MFR.76.3.3</w:t>
        </w:r>
      </w:hyperlink>
    </w:p>
    <w:p w14:paraId="7A271362" w14:textId="77777777" w:rsidR="008062F9" w:rsidRPr="00CE477A" w:rsidRDefault="00806920" w:rsidP="00AA3B73">
      <w:pPr>
        <w:pStyle w:val="Bibliography"/>
        <w:spacing w:line="480" w:lineRule="auto"/>
        <w:ind w:left="360" w:hanging="360"/>
      </w:pPr>
      <w:bookmarkStart w:id="72" w:name="ref-PitchaikaniLipton2012"/>
      <w:bookmarkEnd w:id="71"/>
      <w:r w:rsidRPr="001A7D4A">
        <w:t>Pitchaikani, J.</w:t>
      </w:r>
      <w:r w:rsidRPr="00C71234">
        <w:t xml:space="preserve"> S., &amp; Lipton, A. P. (2012). Impact of environmental variables on pelagic fish landings: Special emphasis on Indian</w:t>
      </w:r>
      <w:r w:rsidRPr="00685AF2">
        <w:t xml:space="preserve"> oil sardine off Tiruchendur coast, Gulf of Mannar. </w:t>
      </w:r>
      <w:r w:rsidRPr="00685AF2">
        <w:rPr>
          <w:i/>
        </w:rPr>
        <w:t>Journal of Oceanography and Marine Science</w:t>
      </w:r>
      <w:r w:rsidRPr="00685AF2">
        <w:t xml:space="preserve">, </w:t>
      </w:r>
      <w:r w:rsidRPr="00685AF2">
        <w:rPr>
          <w:i/>
        </w:rPr>
        <w:t>3</w:t>
      </w:r>
      <w:r w:rsidRPr="00685AF2">
        <w:t xml:space="preserve">(3), 56–67. </w:t>
      </w:r>
      <w:hyperlink r:id="rId35">
        <w:r w:rsidRPr="001A7D4A">
          <w:rPr>
            <w:rStyle w:val="Hyperlink"/>
            <w:color w:val="auto"/>
          </w:rPr>
          <w:t>https://doi.org/10.5897/JOMS</w:t>
        </w:r>
      </w:hyperlink>
    </w:p>
    <w:p w14:paraId="7D84BE9E" w14:textId="77777777" w:rsidR="008062F9" w:rsidRPr="00685AF2" w:rsidRDefault="00806920" w:rsidP="00AA3B73">
      <w:pPr>
        <w:pStyle w:val="Bibliography"/>
        <w:spacing w:line="480" w:lineRule="auto"/>
        <w:ind w:left="360" w:hanging="360"/>
      </w:pPr>
      <w:bookmarkStart w:id="73" w:name="ref-PrabhuDhulkhed1970"/>
      <w:bookmarkEnd w:id="72"/>
      <w:r w:rsidRPr="00685AF2">
        <w:t xml:space="preserve">Prabhu, M. S., &amp; Dhulkhed, M. H. (1970). The oil sardine fishery in the Mangalore zone during the seasons 1963-64 and 1967-68. </w:t>
      </w:r>
      <w:r w:rsidRPr="00685AF2">
        <w:rPr>
          <w:i/>
        </w:rPr>
        <w:t>Indian Journal of Fisheries</w:t>
      </w:r>
      <w:r w:rsidRPr="00685AF2">
        <w:t xml:space="preserve">, </w:t>
      </w:r>
      <w:r w:rsidRPr="00685AF2">
        <w:rPr>
          <w:i/>
        </w:rPr>
        <w:t>17</w:t>
      </w:r>
      <w:r w:rsidRPr="00685AF2">
        <w:t>(1/2), 57–75.</w:t>
      </w:r>
    </w:p>
    <w:p w14:paraId="6891A00B" w14:textId="4EF390D9" w:rsidR="008062F9" w:rsidRDefault="00806920" w:rsidP="00AA3B73">
      <w:pPr>
        <w:pStyle w:val="Bibliography"/>
        <w:spacing w:line="480" w:lineRule="auto"/>
        <w:ind w:left="360" w:hanging="360"/>
        <w:rPr>
          <w:rStyle w:val="Hyperlink"/>
          <w:color w:val="auto"/>
        </w:rPr>
      </w:pPr>
      <w:bookmarkStart w:id="74" w:name="ref-Pristaetal2011"/>
      <w:bookmarkEnd w:id="73"/>
      <w:r w:rsidRPr="00685AF2">
        <w:t xml:space="preserve">Prista, N., Diawara, N., Costa, M. J., &amp; Jones, C. (2011). Use of SARIMA models to assess data-poor fisheries: A case study with a sciaenid fishery off Portugal. </w:t>
      </w:r>
      <w:r w:rsidRPr="00685AF2">
        <w:rPr>
          <w:i/>
        </w:rPr>
        <w:t>Fisheries Bulletin</w:t>
      </w:r>
      <w:r w:rsidRPr="00685AF2">
        <w:t xml:space="preserve">, </w:t>
      </w:r>
      <w:r w:rsidRPr="00685AF2">
        <w:rPr>
          <w:i/>
        </w:rPr>
        <w:t>109</w:t>
      </w:r>
      <w:r w:rsidRPr="00685AF2">
        <w:t xml:space="preserve">(2), 170–185. </w:t>
      </w:r>
      <w:hyperlink r:id="rId36">
        <w:r w:rsidRPr="001A7D4A">
          <w:rPr>
            <w:rStyle w:val="Hyperlink"/>
            <w:color w:val="auto"/>
          </w:rPr>
          <w:t>https://doi.org/10.7755/FB</w:t>
        </w:r>
      </w:hyperlink>
    </w:p>
    <w:p w14:paraId="7108A9A6" w14:textId="0832C8C7" w:rsidR="004C63E6" w:rsidRPr="00CE477A" w:rsidRDefault="004C63E6" w:rsidP="00AA3B73">
      <w:pPr>
        <w:pStyle w:val="Bibliography"/>
        <w:spacing w:line="480" w:lineRule="auto"/>
        <w:ind w:left="360" w:hanging="360"/>
      </w:pPr>
      <w:r w:rsidRPr="004C63E6">
        <w:t xml:space="preserve">Rao, A.D., Joshi, M. &amp; Ravichandran, M. </w:t>
      </w:r>
      <w:r>
        <w:t xml:space="preserve">(2008). </w:t>
      </w:r>
      <w:r w:rsidRPr="004C63E6">
        <w:t xml:space="preserve">Oceanic upwelling and downwelling processes in waters off the west coast of India. </w:t>
      </w:r>
      <w:r w:rsidRPr="00BA076B">
        <w:rPr>
          <w:i/>
          <w:iCs/>
        </w:rPr>
        <w:t>Ocean Dynamic</w:t>
      </w:r>
      <w:r>
        <w:rPr>
          <w:i/>
          <w:iCs/>
        </w:rPr>
        <w:t>s,</w:t>
      </w:r>
      <w:r w:rsidRPr="004C63E6">
        <w:t xml:space="preserve"> </w:t>
      </w:r>
      <w:r w:rsidRPr="00BA076B">
        <w:rPr>
          <w:i/>
          <w:iCs/>
        </w:rPr>
        <w:t>58</w:t>
      </w:r>
      <w:r>
        <w:t>(3</w:t>
      </w:r>
      <w:r w:rsidR="00BD1C4D">
        <w:t>/</w:t>
      </w:r>
      <w:r>
        <w:t>4)</w:t>
      </w:r>
      <w:r w:rsidRPr="004C63E6">
        <w:t>, 213–226</w:t>
      </w:r>
      <w:r>
        <w:t>.</w:t>
      </w:r>
      <w:r w:rsidRPr="004C63E6">
        <w:t xml:space="preserve"> https://doi.org/10.1007/s10236-008-0147-4</w:t>
      </w:r>
    </w:p>
    <w:p w14:paraId="15F50D12" w14:textId="77777777" w:rsidR="008062F9" w:rsidRPr="003E2A48" w:rsidRDefault="00806920" w:rsidP="00AA3B73">
      <w:pPr>
        <w:pStyle w:val="Bibliography"/>
        <w:spacing w:line="480" w:lineRule="auto"/>
        <w:ind w:left="360" w:hanging="360"/>
      </w:pPr>
      <w:bookmarkStart w:id="75" w:name="ref-Rohitetal2018"/>
      <w:bookmarkEnd w:id="74"/>
      <w:r w:rsidRPr="001A7D4A">
        <w:lastRenderedPageBreak/>
        <w:t>Rohit, P., Si</w:t>
      </w:r>
      <w:r w:rsidRPr="00C71234">
        <w:t>vadas, M., Abdussamad, E. M., R</w:t>
      </w:r>
      <w:r w:rsidRPr="00685AF2">
        <w:t xml:space="preserve">ethinam, A. M. M., Koya, K. P. S., Ganga, U., … Supraba, V. (2018). </w:t>
      </w:r>
      <w:r w:rsidRPr="00685AF2">
        <w:rPr>
          <w:i/>
        </w:rPr>
        <w:t>Enigmatic Indian oil sardine: An insight</w:t>
      </w:r>
      <w:r w:rsidRPr="00685AF2">
        <w:t>. CMFRI Special Publication No. 130.</w:t>
      </w:r>
      <w:r w:rsidRPr="003E2A48">
        <w:t xml:space="preserve"> p156. ICAR-Central Marine Fisheries Research Institute.</w:t>
      </w:r>
    </w:p>
    <w:p w14:paraId="75031C77" w14:textId="77777777" w:rsidR="008062F9" w:rsidRPr="003E2A48" w:rsidRDefault="00806920" w:rsidP="00AA3B73">
      <w:pPr>
        <w:pStyle w:val="Bibliography"/>
        <w:spacing w:line="480" w:lineRule="auto"/>
        <w:ind w:left="360" w:hanging="360"/>
      </w:pPr>
      <w:bookmarkStart w:id="76" w:name="ref-Roxyetal2014"/>
      <w:bookmarkEnd w:id="75"/>
      <w:r w:rsidRPr="003E2A48">
        <w:t xml:space="preserve">Roxy, M. K., Ritika, K., Terray, P., &amp; Masson, S. (2014). The curious case of Indian Ocean warming. </w:t>
      </w:r>
      <w:r w:rsidRPr="003E2A48">
        <w:rPr>
          <w:i/>
        </w:rPr>
        <w:t>Journal of Climate</w:t>
      </w:r>
      <w:r w:rsidRPr="003E2A48">
        <w:t xml:space="preserve">, </w:t>
      </w:r>
      <w:r w:rsidRPr="003E2A48">
        <w:rPr>
          <w:i/>
        </w:rPr>
        <w:t>27</w:t>
      </w:r>
      <w:r w:rsidRPr="003E2A48">
        <w:t xml:space="preserve">(22), 8501–8509. </w:t>
      </w:r>
      <w:hyperlink r:id="rId37">
        <w:r w:rsidRPr="003E2A48">
          <w:rPr>
            <w:rStyle w:val="Hyperlink"/>
            <w:color w:val="auto"/>
          </w:rPr>
          <w:t>https://doi.org/10.1175/JCLI-D-14-00471.1</w:t>
        </w:r>
      </w:hyperlink>
    </w:p>
    <w:p w14:paraId="1367F286" w14:textId="131A1904" w:rsidR="008062F9" w:rsidRPr="00CE477A" w:rsidRDefault="00806920" w:rsidP="00AA3B73">
      <w:pPr>
        <w:pStyle w:val="Bibliography"/>
        <w:spacing w:line="480" w:lineRule="auto"/>
        <w:ind w:left="360" w:hanging="360"/>
      </w:pPr>
      <w:bookmarkStart w:id="77" w:name="ref-RykaczewskiCheckley2008"/>
      <w:bookmarkEnd w:id="76"/>
      <w:r w:rsidRPr="00CE477A">
        <w:t>Rykaczewski</w:t>
      </w:r>
      <w:r w:rsidRPr="001A7D4A">
        <w:t>, R. R., &amp; Checkley, D. M.</w:t>
      </w:r>
      <w:r w:rsidR="00CE1DC5">
        <w:t>, Jr.</w:t>
      </w:r>
      <w:r w:rsidRPr="001A7D4A">
        <w:t xml:space="preserve"> (2008). Influen</w:t>
      </w:r>
      <w:r w:rsidRPr="00C71234">
        <w:t>ce of ocean winds of the pelagic ecosyst</w:t>
      </w:r>
      <w:r w:rsidRPr="00685AF2">
        <w:t xml:space="preserve">em in upwelling regions. </w:t>
      </w:r>
      <w:r w:rsidRPr="00685AF2">
        <w:rPr>
          <w:i/>
        </w:rPr>
        <w:t>Proceedings of the National Academy of Science</w:t>
      </w:r>
      <w:r w:rsidRPr="00685AF2">
        <w:t xml:space="preserve">, </w:t>
      </w:r>
      <w:r w:rsidRPr="00685AF2">
        <w:rPr>
          <w:i/>
        </w:rPr>
        <w:t>105</w:t>
      </w:r>
      <w:r w:rsidRPr="00685AF2">
        <w:t xml:space="preserve">(6), 1965–1970. </w:t>
      </w:r>
      <w:hyperlink r:id="rId38">
        <w:r w:rsidRPr="001A7D4A">
          <w:rPr>
            <w:rStyle w:val="Hyperlink"/>
            <w:color w:val="auto"/>
          </w:rPr>
          <w:t>https://doi.org/10.1073/pnas.0711777105</w:t>
        </w:r>
      </w:hyperlink>
    </w:p>
    <w:p w14:paraId="1E6B3BB6" w14:textId="3645C2BA" w:rsidR="00EC5AD1" w:rsidRDefault="00EC5AD1" w:rsidP="00EC5AD1">
      <w:pPr>
        <w:pStyle w:val="Bibliography"/>
        <w:spacing w:line="480" w:lineRule="auto"/>
        <w:ind w:left="360" w:hanging="360"/>
      </w:pPr>
      <w:bookmarkStart w:id="78" w:name="ref-Schaafetal1975"/>
      <w:bookmarkEnd w:id="77"/>
      <w:r>
        <w:t xml:space="preserve">Sajna, V. H., Zacharia, P. U., Liya, V. B., Rojith, G., Somy, K., Joseph, D., &amp; Grinson, G. (2019) Effect of climatic variability on the fishery of Indian oil sardine along Kerala coast. </w:t>
      </w:r>
      <w:r w:rsidRPr="00EC5AD1">
        <w:rPr>
          <w:i/>
          <w:iCs/>
        </w:rPr>
        <w:t>Journal of Coastal Research</w:t>
      </w:r>
      <w:r>
        <w:rPr>
          <w:i/>
          <w:iCs/>
        </w:rPr>
        <w:t xml:space="preserve">, 86(sp1), </w:t>
      </w:r>
      <w:r w:rsidRPr="00EC5AD1">
        <w:t>184-192</w:t>
      </w:r>
      <w:r>
        <w:rPr>
          <w:i/>
          <w:iCs/>
        </w:rPr>
        <w:t>.</w:t>
      </w:r>
      <w:r>
        <w:t xml:space="preserve"> https://doi.org/10.2112/SI86-028.1</w:t>
      </w:r>
    </w:p>
    <w:p w14:paraId="15CFCABC" w14:textId="6840F105" w:rsidR="008062F9" w:rsidRPr="00CE477A" w:rsidRDefault="00806920" w:rsidP="00EC5AD1">
      <w:pPr>
        <w:pStyle w:val="Bibliography"/>
        <w:spacing w:line="480" w:lineRule="auto"/>
        <w:ind w:left="360" w:hanging="360"/>
      </w:pPr>
      <w:r w:rsidRPr="001A7D4A">
        <w:t>Schaaf,</w:t>
      </w:r>
      <w:r w:rsidRPr="00C71234">
        <w:t xml:space="preserve"> W</w:t>
      </w:r>
      <w:r w:rsidRPr="00685AF2">
        <w:t xml:space="preserve">. E., Sykes, J. E., &amp; Chapoton, R. B. (1975). Forecasts of Atlantic and Gulf menhaden catches based on the historical relation of catch and fishing effort. </w:t>
      </w:r>
      <w:r w:rsidRPr="00685AF2">
        <w:rPr>
          <w:i/>
        </w:rPr>
        <w:t>Marine Fisheries Review</w:t>
      </w:r>
      <w:r w:rsidRPr="00685AF2">
        <w:t xml:space="preserve">, </w:t>
      </w:r>
      <w:r w:rsidRPr="00685AF2">
        <w:rPr>
          <w:i/>
        </w:rPr>
        <w:t>37</w:t>
      </w:r>
      <w:r w:rsidRPr="00685AF2">
        <w:t xml:space="preserve">(10), 5–9. </w:t>
      </w:r>
      <w:hyperlink r:id="rId39">
        <w:r w:rsidRPr="001A7D4A">
          <w:rPr>
            <w:rStyle w:val="Hyperlink"/>
            <w:color w:val="auto"/>
          </w:rPr>
          <w:t>https://doi.org/10.7755/MFR</w:t>
        </w:r>
      </w:hyperlink>
    </w:p>
    <w:p w14:paraId="5FA14FC8" w14:textId="7C6EC128" w:rsidR="008062F9" w:rsidRDefault="00806920" w:rsidP="00AA3B73">
      <w:pPr>
        <w:pStyle w:val="Bibliography"/>
        <w:spacing w:line="480" w:lineRule="auto"/>
        <w:ind w:left="360" w:hanging="360"/>
        <w:rPr>
          <w:rStyle w:val="Hyperlink"/>
          <w:color w:val="auto"/>
        </w:rPr>
      </w:pPr>
      <w:bookmarkStart w:id="79" w:name="ref-Schwartzloseetal2010"/>
      <w:bookmarkEnd w:id="78"/>
      <w:r w:rsidRPr="001A7D4A">
        <w:t>Schwar</w:t>
      </w:r>
      <w:r w:rsidRPr="00C71234">
        <w:t>tzlose, R. A., Alheit, J., Bakun, A., Baumgartner</w:t>
      </w:r>
      <w:r w:rsidRPr="00685AF2">
        <w:t xml:space="preserve">, T. R., Cloete, R., Crawford, R. J. M., … Zuzunaga, J. Z. (2010). Worldwide large-scale fluctuations of sardine and anchovy populations. </w:t>
      </w:r>
      <w:r w:rsidRPr="00685AF2">
        <w:rPr>
          <w:i/>
        </w:rPr>
        <w:t>South African Journal of Marine Science</w:t>
      </w:r>
      <w:r w:rsidRPr="00685AF2">
        <w:t xml:space="preserve">, </w:t>
      </w:r>
      <w:r w:rsidRPr="00685AF2">
        <w:rPr>
          <w:i/>
        </w:rPr>
        <w:t>21</w:t>
      </w:r>
      <w:r w:rsidRPr="00685AF2">
        <w:t xml:space="preserve">(1), 289–347. </w:t>
      </w:r>
      <w:hyperlink r:id="rId40">
        <w:r w:rsidRPr="001A7D4A">
          <w:rPr>
            <w:rStyle w:val="Hyperlink"/>
            <w:color w:val="auto"/>
          </w:rPr>
          <w:t>https://doi.org/10.2989/025776199784125962</w:t>
        </w:r>
      </w:hyperlink>
    </w:p>
    <w:p w14:paraId="7C0CD02C" w14:textId="65579BCA" w:rsidR="00B06196" w:rsidRPr="00685AF2" w:rsidRDefault="00B06196" w:rsidP="00B06196">
      <w:pPr>
        <w:pStyle w:val="Bibliography"/>
        <w:spacing w:line="480" w:lineRule="auto"/>
        <w:ind w:left="360" w:hanging="360"/>
      </w:pPr>
      <w:r w:rsidRPr="006E6562">
        <w:t xml:space="preserve">Schwing, F. B., O'Farrell, M., Steger, J., </w:t>
      </w:r>
      <w:r>
        <w:t>&amp;</w:t>
      </w:r>
      <w:r w:rsidRPr="006E6562">
        <w:t xml:space="preserve"> Baltz, K. </w:t>
      </w:r>
      <w:r>
        <w:t>(</w:t>
      </w:r>
      <w:r w:rsidRPr="006E6562">
        <w:t>1996</w:t>
      </w:r>
      <w:r>
        <w:t>).</w:t>
      </w:r>
      <w:r w:rsidRPr="006E6562">
        <w:t xml:space="preserve"> Coastal </w:t>
      </w:r>
      <w:r>
        <w:t>u</w:t>
      </w:r>
      <w:r w:rsidRPr="006E6562">
        <w:t xml:space="preserve">pwelling </w:t>
      </w:r>
      <w:r>
        <w:t>i</w:t>
      </w:r>
      <w:r w:rsidRPr="006E6562">
        <w:t xml:space="preserve">ndices, </w:t>
      </w:r>
      <w:r>
        <w:t>w</w:t>
      </w:r>
      <w:r w:rsidRPr="006E6562">
        <w:t xml:space="preserve">est </w:t>
      </w:r>
      <w:r>
        <w:t>c</w:t>
      </w:r>
      <w:r w:rsidRPr="006E6562">
        <w:t>oast of North America 1946</w:t>
      </w:r>
      <w:r>
        <w:t>-</w:t>
      </w:r>
      <w:r w:rsidRPr="006E6562">
        <w:t>1995, NOAA Technical Memorandum NMFS-SWFSC-231</w:t>
      </w:r>
      <w:r>
        <w:t>.</w:t>
      </w:r>
    </w:p>
    <w:p w14:paraId="3FF51E5B" w14:textId="3FD00562" w:rsidR="0070387F" w:rsidRDefault="0070387F" w:rsidP="0070387F">
      <w:pPr>
        <w:pStyle w:val="Bibliography"/>
        <w:spacing w:line="480" w:lineRule="auto"/>
        <w:ind w:left="360" w:hanging="360"/>
      </w:pPr>
      <w:r>
        <w:t>Shafeeque, M., Shah, P., Platt, T., Sathyendranath, S., Menon, N. N., Balchand, A. N., &amp; George, G. (2019).</w:t>
      </w:r>
      <w:r w:rsidR="00D8282F">
        <w:t xml:space="preserve"> </w:t>
      </w:r>
      <w:r>
        <w:t xml:space="preserve">Effect of precipitation on chlorophyll-a in an upwelling dominated region </w:t>
      </w:r>
      <w:r>
        <w:lastRenderedPageBreak/>
        <w:t xml:space="preserve">along the West coast of India. </w:t>
      </w:r>
      <w:r w:rsidRPr="0070387F">
        <w:rPr>
          <w:i/>
          <w:iCs/>
        </w:rPr>
        <w:t>Journal of Coastal Research</w:t>
      </w:r>
      <w:r>
        <w:rPr>
          <w:i/>
          <w:iCs/>
        </w:rPr>
        <w:t xml:space="preserve">, 86(sp1), </w:t>
      </w:r>
      <w:r w:rsidRPr="0070387F">
        <w:t>218-224</w:t>
      </w:r>
      <w:r>
        <w:t xml:space="preserve">. </w:t>
      </w:r>
      <w:r w:rsidR="00BE79AB" w:rsidRPr="00BF278F">
        <w:t>https://doi.org/10.2112/SI86-032.1</w:t>
      </w:r>
    </w:p>
    <w:p w14:paraId="1AEFEE44" w14:textId="7CDE3CAA" w:rsidR="00BE79AB" w:rsidRPr="00CE477A" w:rsidRDefault="00BE79AB" w:rsidP="00BF278F">
      <w:pPr>
        <w:pStyle w:val="Bibliography"/>
        <w:spacing w:line="480" w:lineRule="auto"/>
        <w:ind w:left="360" w:hanging="360"/>
      </w:pPr>
      <w:r>
        <w:t>Shah, P., Sajeev, R., Thara, K. J., George, G., Shafeeque, M., Akash, S., &amp; Platt, T. (2019). A holistic approach to upwelling and downwelling along the South-West coast of India</w:t>
      </w:r>
      <w:r w:rsidR="00BF278F">
        <w:t xml:space="preserve">. </w:t>
      </w:r>
      <w:r w:rsidRPr="0076141E">
        <w:rPr>
          <w:i/>
          <w:iCs/>
        </w:rPr>
        <w:t>Marine Geodesy</w:t>
      </w:r>
      <w:r w:rsidR="00BF278F" w:rsidRPr="0076141E">
        <w:rPr>
          <w:i/>
          <w:iCs/>
        </w:rPr>
        <w:t>, 42(1)</w:t>
      </w:r>
      <w:r w:rsidR="00BF278F">
        <w:t xml:space="preserve">, 64-84. </w:t>
      </w:r>
      <w:r>
        <w:t>https://doi.org/10.1080/01490419.2018.1553805</w:t>
      </w:r>
    </w:p>
    <w:p w14:paraId="4A7EA26B" w14:textId="77777777" w:rsidR="008062F9" w:rsidRPr="00685AF2" w:rsidRDefault="00806920" w:rsidP="00AA3B73">
      <w:pPr>
        <w:pStyle w:val="Bibliography"/>
        <w:spacing w:line="480" w:lineRule="auto"/>
        <w:ind w:left="360" w:hanging="360"/>
      </w:pPr>
      <w:bookmarkStart w:id="80" w:name="ref-Srinath1998"/>
      <w:bookmarkEnd w:id="79"/>
      <w:r w:rsidRPr="001A7D4A">
        <w:t>Srina</w:t>
      </w:r>
      <w:r w:rsidRPr="00C71234">
        <w:t xml:space="preserve">th, M. (1998). Exploratory analysis on the predictability of oil sardine landings in Kerala. </w:t>
      </w:r>
      <w:r w:rsidRPr="00685AF2">
        <w:rPr>
          <w:i/>
        </w:rPr>
        <w:t>Indian Journal of Fisheries</w:t>
      </w:r>
      <w:r w:rsidRPr="00685AF2">
        <w:t xml:space="preserve">, </w:t>
      </w:r>
      <w:r w:rsidRPr="00685AF2">
        <w:rPr>
          <w:i/>
        </w:rPr>
        <w:t>45</w:t>
      </w:r>
      <w:r w:rsidRPr="00685AF2">
        <w:t>(4), 363–374.</w:t>
      </w:r>
    </w:p>
    <w:p w14:paraId="7729B8E3" w14:textId="77777777" w:rsidR="008062F9" w:rsidRPr="00685AF2" w:rsidRDefault="00806920" w:rsidP="00AA3B73">
      <w:pPr>
        <w:pStyle w:val="Bibliography"/>
        <w:spacing w:line="480" w:lineRule="auto"/>
        <w:ind w:left="360" w:hanging="360"/>
      </w:pPr>
      <w:bookmarkStart w:id="81" w:name="ref-Srinathetal2005"/>
      <w:bookmarkEnd w:id="80"/>
      <w:r w:rsidRPr="00685AF2">
        <w:t xml:space="preserve">Srinath, M., Kuriakose, S., &amp; Mini, K. G. (2005). Methodology for estimation of marine fish landings in India. In </w:t>
      </w:r>
      <w:r w:rsidRPr="00685AF2">
        <w:rPr>
          <w:i/>
        </w:rPr>
        <w:t>CMFRI Special Publications No. 86. p57.</w:t>
      </w:r>
      <w:r w:rsidRPr="00685AF2">
        <w:t xml:space="preserve"> Central Marine Fisheries Research Institute.</w:t>
      </w:r>
    </w:p>
    <w:p w14:paraId="16A6CA63" w14:textId="0CCDE970" w:rsidR="008062F9" w:rsidRPr="003E2A48" w:rsidRDefault="00806920" w:rsidP="00AA3B73">
      <w:pPr>
        <w:pStyle w:val="Bibliography"/>
        <w:spacing w:line="480" w:lineRule="auto"/>
        <w:ind w:left="360" w:hanging="360"/>
      </w:pPr>
      <w:bookmarkStart w:id="82" w:name="ref-StergiouChristou1996"/>
      <w:bookmarkEnd w:id="81"/>
      <w:r w:rsidRPr="00685AF2">
        <w:t>Stergiou, K. I., &amp; Chris</w:t>
      </w:r>
      <w:r w:rsidRPr="003E2A48">
        <w:t xml:space="preserve">tou, E. D. (1996). Modeling and forecasting annual fisheries catches: Comparison of regression, univariate and </w:t>
      </w:r>
      <w:r w:rsidR="00A112A3" w:rsidRPr="003E2A48">
        <w:t>multivariate</w:t>
      </w:r>
      <w:r w:rsidRPr="003E2A48">
        <w:t xml:space="preserve"> time series methods. </w:t>
      </w:r>
      <w:r w:rsidRPr="003E2A48">
        <w:rPr>
          <w:i/>
        </w:rPr>
        <w:t>Fisheries Research</w:t>
      </w:r>
      <w:r w:rsidRPr="003E2A48">
        <w:t xml:space="preserve">, </w:t>
      </w:r>
      <w:r w:rsidRPr="003E2A48">
        <w:rPr>
          <w:i/>
        </w:rPr>
        <w:t>25</w:t>
      </w:r>
      <w:r w:rsidRPr="003E2A48">
        <w:t xml:space="preserve">(2), 105–138. </w:t>
      </w:r>
      <w:hyperlink r:id="rId41">
        <w:r w:rsidRPr="003E2A48">
          <w:rPr>
            <w:rStyle w:val="Hyperlink"/>
            <w:color w:val="auto"/>
          </w:rPr>
          <w:t>https://doi.org/10.1016/0165-7836(95)00389-4</w:t>
        </w:r>
      </w:hyperlink>
    </w:p>
    <w:p w14:paraId="17AEFD6D" w14:textId="76F09CC1" w:rsidR="008062F9" w:rsidRDefault="00806920" w:rsidP="00AA3B73">
      <w:pPr>
        <w:pStyle w:val="Bibliography"/>
        <w:spacing w:line="480" w:lineRule="auto"/>
        <w:ind w:left="360" w:hanging="360"/>
      </w:pPr>
      <w:bookmarkStart w:id="83" w:name="ref-Suprabaetal2016"/>
      <w:bookmarkEnd w:id="82"/>
      <w:r w:rsidRPr="00CE477A">
        <w:t>Supraba</w:t>
      </w:r>
      <w:r w:rsidRPr="001A7D4A">
        <w:t>, V., Dineshbabu, A. P., Thoma</w:t>
      </w:r>
      <w:r w:rsidRPr="00C71234">
        <w:t xml:space="preserve">s, S., Rohit, P., Rajesh, K. M., &amp; Zacharia, P. U. (2016). Climate influence on oil sardine and Indian mackerel in southeastern Arabian Sea. </w:t>
      </w:r>
      <w:r w:rsidRPr="00685AF2">
        <w:rPr>
          <w:i/>
        </w:rPr>
        <w:t>International Journal of Development Research</w:t>
      </w:r>
      <w:r w:rsidRPr="00685AF2">
        <w:t xml:space="preserve">, </w:t>
      </w:r>
      <w:r w:rsidRPr="00685AF2">
        <w:rPr>
          <w:i/>
        </w:rPr>
        <w:t>6</w:t>
      </w:r>
      <w:r w:rsidRPr="00685AF2">
        <w:t>(8), 9152–9159.</w:t>
      </w:r>
    </w:p>
    <w:p w14:paraId="52501B5B" w14:textId="5281262F" w:rsidR="008062F9" w:rsidRPr="003E2A48" w:rsidRDefault="00806920" w:rsidP="00AA3B73">
      <w:pPr>
        <w:pStyle w:val="Bibliography"/>
        <w:spacing w:line="480" w:lineRule="auto"/>
        <w:ind w:left="360" w:hanging="360"/>
      </w:pPr>
      <w:bookmarkStart w:id="84" w:name="ref-Thara2011"/>
      <w:bookmarkEnd w:id="83"/>
      <w:r w:rsidRPr="001A7D4A">
        <w:t>Thara, K</w:t>
      </w:r>
      <w:r w:rsidRPr="00C71234">
        <w:t>. J. (2011).</w:t>
      </w:r>
      <w:r w:rsidRPr="003E2A48">
        <w:t xml:space="preserve"> </w:t>
      </w:r>
      <w:r w:rsidRPr="003E2A48">
        <w:rPr>
          <w:i/>
        </w:rPr>
        <w:t>Response of eastern Arabian Sea to extreme climatic events with special reference to selected pelagic fishes</w:t>
      </w:r>
      <w:r w:rsidRPr="003E2A48">
        <w:t>. Kerala, India: PhD Thesis. Department of Physical Oceanography. Cochin University of Science</w:t>
      </w:r>
      <w:r w:rsidR="00A112A3">
        <w:t xml:space="preserve"> and </w:t>
      </w:r>
      <w:r w:rsidRPr="003E2A48">
        <w:t>Technology.</w:t>
      </w:r>
    </w:p>
    <w:p w14:paraId="66364D78" w14:textId="79690D79" w:rsidR="008062F9" w:rsidRPr="00CE477A" w:rsidRDefault="00806920" w:rsidP="00AA3B73">
      <w:pPr>
        <w:pStyle w:val="Bibliography"/>
        <w:spacing w:line="480" w:lineRule="auto"/>
        <w:ind w:left="360" w:hanging="360"/>
      </w:pPr>
      <w:bookmarkStart w:id="85" w:name="ref-Tommasietal2016"/>
      <w:bookmarkEnd w:id="84"/>
      <w:r w:rsidRPr="003E2A48">
        <w:t>Tommasi, D., Stock, C. A., Pegion, K., Vecchi, G. A., Methot, R. D., Alexander, M. A., &amp; Checkley, D. M.</w:t>
      </w:r>
      <w:r w:rsidR="00CE1DC5">
        <w:t>, Jr.</w:t>
      </w:r>
      <w:r w:rsidRPr="003E2A48">
        <w:t xml:space="preserve"> (2016). Improved management of small pelagic fisheries through seasonal climate pre</w:t>
      </w:r>
      <w:r w:rsidRPr="00CE477A">
        <w:t xml:space="preserve">diction. </w:t>
      </w:r>
      <w:r w:rsidRPr="001A7D4A">
        <w:rPr>
          <w:i/>
        </w:rPr>
        <w:t>Ecological Applications</w:t>
      </w:r>
      <w:r w:rsidRPr="00C71234">
        <w:t xml:space="preserve">, </w:t>
      </w:r>
      <w:r w:rsidRPr="00685AF2">
        <w:rPr>
          <w:i/>
        </w:rPr>
        <w:t>27</w:t>
      </w:r>
      <w:r w:rsidRPr="00685AF2">
        <w:t xml:space="preserve">(2), 378–388. </w:t>
      </w:r>
      <w:hyperlink r:id="rId42">
        <w:r w:rsidRPr="001A7D4A">
          <w:rPr>
            <w:rStyle w:val="Hyperlink"/>
            <w:color w:val="auto"/>
          </w:rPr>
          <w:t>https://doi.org/10.1002/eap.1458</w:t>
        </w:r>
      </w:hyperlink>
    </w:p>
    <w:p w14:paraId="4C46E583" w14:textId="77777777" w:rsidR="008062F9" w:rsidRPr="00CE477A" w:rsidRDefault="00806920" w:rsidP="00AA3B73">
      <w:pPr>
        <w:pStyle w:val="Bibliography"/>
        <w:spacing w:line="480" w:lineRule="auto"/>
        <w:ind w:left="360" w:hanging="360"/>
      </w:pPr>
      <w:bookmarkStart w:id="86" w:name="ref-Vallivattathillametal2017"/>
      <w:bookmarkEnd w:id="85"/>
      <w:r w:rsidRPr="001A7D4A">
        <w:lastRenderedPageBreak/>
        <w:t>Vallivat</w:t>
      </w:r>
      <w:r w:rsidRPr="00C71234">
        <w:t>tathillam, P., Iyyappan, S., Lengaigne, M., Ethé, C., Vialard, J., L</w:t>
      </w:r>
      <w:r w:rsidRPr="00685AF2">
        <w:t xml:space="preserve">evy, M., … Naqvi, W. (2017). Positive Indian Ocean Dipole events prevent anoxia off the west coast of India. </w:t>
      </w:r>
      <w:r w:rsidRPr="00685AF2">
        <w:rPr>
          <w:i/>
        </w:rPr>
        <w:t>Biogeosciences</w:t>
      </w:r>
      <w:r w:rsidRPr="00685AF2">
        <w:t xml:space="preserve">, </w:t>
      </w:r>
      <w:r w:rsidRPr="00685AF2">
        <w:rPr>
          <w:i/>
        </w:rPr>
        <w:t>14</w:t>
      </w:r>
      <w:r w:rsidRPr="00685AF2">
        <w:t xml:space="preserve">(6), 1541–1559. </w:t>
      </w:r>
      <w:hyperlink r:id="rId43">
        <w:r w:rsidRPr="001A7D4A">
          <w:rPr>
            <w:rStyle w:val="Hyperlink"/>
            <w:color w:val="auto"/>
          </w:rPr>
          <w:t>https://doi.org/10.5194/bg-14-1541-2017</w:t>
        </w:r>
      </w:hyperlink>
    </w:p>
    <w:p w14:paraId="56DFA22A" w14:textId="77777777" w:rsidR="008062F9" w:rsidRPr="003E2A48" w:rsidRDefault="00806920" w:rsidP="00AA3B73">
      <w:pPr>
        <w:pStyle w:val="Bibliography"/>
        <w:spacing w:line="480" w:lineRule="auto"/>
        <w:ind w:left="360" w:hanging="360"/>
      </w:pPr>
      <w:bookmarkStart w:id="87" w:name="ref-VenugopalanSrinath1998"/>
      <w:bookmarkEnd w:id="86"/>
      <w:r w:rsidRPr="001A7D4A">
        <w:t>Venugopalan,</w:t>
      </w:r>
      <w:r w:rsidRPr="00C71234">
        <w:t xml:space="preserve"> R., &amp; Srinath, M. (</w:t>
      </w:r>
      <w:r w:rsidRPr="003E2A48">
        <w:t xml:space="preserve">1998). Modelling and forecasting fish catches: Comparison of regression, univariate and multivariate time series methods. </w:t>
      </w:r>
      <w:r w:rsidRPr="003E2A48">
        <w:rPr>
          <w:i/>
        </w:rPr>
        <w:t>Indian Journal of Fisheries</w:t>
      </w:r>
      <w:r w:rsidRPr="003E2A48">
        <w:t xml:space="preserve">, </w:t>
      </w:r>
      <w:r w:rsidRPr="003E2A48">
        <w:rPr>
          <w:i/>
        </w:rPr>
        <w:t>45</w:t>
      </w:r>
      <w:r w:rsidRPr="003E2A48">
        <w:t>(3), 227–237.</w:t>
      </w:r>
    </w:p>
    <w:p w14:paraId="5C5CFB59" w14:textId="77777777" w:rsidR="008062F9" w:rsidRPr="003E2A48" w:rsidRDefault="00806920" w:rsidP="00AA3B73">
      <w:pPr>
        <w:pStyle w:val="Bibliography"/>
        <w:spacing w:line="480" w:lineRule="auto"/>
        <w:ind w:left="360" w:hanging="360"/>
      </w:pPr>
      <w:bookmarkStart w:id="88" w:name="ref-Vivekanandanetal2009"/>
      <w:bookmarkEnd w:id="87"/>
      <w:r w:rsidRPr="003E2A48">
        <w:t xml:space="preserve">Vivekanandan, E., Rajagopalan, M., &amp; Pillai, N. G. K. (2009). Recent trends in sea surface temperature and its impact on oil sardine. In P. K. Aggarwal (Ed.), </w:t>
      </w:r>
      <w:r w:rsidRPr="003E2A48">
        <w:rPr>
          <w:i/>
        </w:rPr>
        <w:t>Global climate change and Indian agriculture</w:t>
      </w:r>
      <w:r w:rsidRPr="003E2A48">
        <w:t xml:space="preserve"> (pp. 89–92). New Delhi: Indian Council of Agricultural Research.</w:t>
      </w:r>
    </w:p>
    <w:p w14:paraId="76237A38" w14:textId="77777777" w:rsidR="008062F9" w:rsidRPr="00685AF2" w:rsidRDefault="00806920" w:rsidP="00AA3B73">
      <w:pPr>
        <w:pStyle w:val="Bibliography"/>
        <w:spacing w:line="480" w:lineRule="auto"/>
        <w:ind w:left="360" w:hanging="360"/>
      </w:pPr>
      <w:bookmarkStart w:id="89" w:name="ref-Vivekanandanetal2003"/>
      <w:bookmarkEnd w:id="88"/>
      <w:r w:rsidRPr="00CE477A">
        <w:t>Vivekan</w:t>
      </w:r>
      <w:r w:rsidRPr="001A7D4A">
        <w:t>andan, E., Srinath, M., Pillai, V. N</w:t>
      </w:r>
      <w:r w:rsidRPr="00C71234">
        <w:t>., Immanuel, S., &amp; Kurup, K. N. (2003). Marine fisheries along the southwest co</w:t>
      </w:r>
      <w:r w:rsidRPr="00685AF2">
        <w:t xml:space="preserve">ast of India. In G. Silvestre, L. Garces, I. Stobutzki, C. Luna, M. Ahmad, R. A. Valmonte-Santos, … D. Pauly (Eds.), </w:t>
      </w:r>
      <w:r w:rsidRPr="00685AF2">
        <w:rPr>
          <w:i/>
        </w:rPr>
        <w:t>Assessment, management, and future directions for coastal fisheries in Asian countries</w:t>
      </w:r>
      <w:r w:rsidRPr="00685AF2">
        <w:t xml:space="preserve"> (pp. 759–792). WorldFish Center, Penang.: WorldFish Center Conference Proceedings 67.</w:t>
      </w:r>
    </w:p>
    <w:p w14:paraId="4E2702B4" w14:textId="6F504109" w:rsidR="00ED6329" w:rsidRDefault="00ED6329" w:rsidP="00AA3B73">
      <w:pPr>
        <w:pStyle w:val="Bibliography"/>
        <w:spacing w:line="480" w:lineRule="auto"/>
        <w:ind w:left="360" w:hanging="360"/>
      </w:pPr>
      <w:bookmarkStart w:id="90" w:name="ref-Wood2011"/>
      <w:bookmarkEnd w:id="89"/>
      <w:r w:rsidRPr="00ED6329">
        <w:t>Ward, E.</w:t>
      </w:r>
      <w:r>
        <w:t xml:space="preserve"> </w:t>
      </w:r>
      <w:r w:rsidRPr="00ED6329">
        <w:t xml:space="preserve">J., Holmes, </w:t>
      </w:r>
      <w:r>
        <w:t xml:space="preserve">E. E., </w:t>
      </w:r>
      <w:r w:rsidRPr="00ED6329">
        <w:t xml:space="preserve">Thorson, </w:t>
      </w:r>
      <w:r>
        <w:t xml:space="preserve">J. T., &amp; </w:t>
      </w:r>
      <w:r w:rsidRPr="00ED6329">
        <w:t>Collen</w:t>
      </w:r>
      <w:r>
        <w:t>, B</w:t>
      </w:r>
      <w:r w:rsidRPr="00ED6329">
        <w:t xml:space="preserve">. </w:t>
      </w:r>
      <w:r w:rsidR="0003002F">
        <w:t>(</w:t>
      </w:r>
      <w:r w:rsidRPr="00ED6329">
        <w:t>2014</w:t>
      </w:r>
      <w:r w:rsidR="0003002F">
        <w:t>)</w:t>
      </w:r>
      <w:r w:rsidRPr="00ED6329">
        <w:t xml:space="preserve">. Complexity is costly: a meta-analysis of parametric and non-parametric methods for short-term population forecasting. </w:t>
      </w:r>
      <w:r w:rsidRPr="0003002F">
        <w:rPr>
          <w:i/>
          <w:iCs/>
        </w:rPr>
        <w:t>Oikos, 123(6)</w:t>
      </w:r>
      <w:r w:rsidR="0003002F">
        <w:t>.</w:t>
      </w:r>
      <w:r w:rsidRPr="00ED6329">
        <w:t xml:space="preserve"> 652-661. </w:t>
      </w:r>
      <w:r w:rsidR="0003002F" w:rsidRPr="0003002F">
        <w:t>https://doi.org/10.1111/j.1600-0706.2014.00916.x</w:t>
      </w:r>
    </w:p>
    <w:p w14:paraId="4A149DF8" w14:textId="302D1FBA" w:rsidR="008062F9" w:rsidRPr="00CE477A" w:rsidRDefault="00806920" w:rsidP="00AA3B73">
      <w:pPr>
        <w:pStyle w:val="Bibliography"/>
        <w:spacing w:line="480" w:lineRule="auto"/>
        <w:ind w:left="360" w:hanging="360"/>
      </w:pPr>
      <w:r w:rsidRPr="00685AF2">
        <w:t xml:space="preserve">Wood, S. N. (2011). Fast stable restricted maximum likelihood and marginal likelihood estimation of semiparametric generalized linear models. </w:t>
      </w:r>
      <w:r w:rsidRPr="00685AF2">
        <w:rPr>
          <w:i/>
        </w:rPr>
        <w:t>Journal of the Royal Statistical Society B</w:t>
      </w:r>
      <w:r w:rsidRPr="00685AF2">
        <w:t xml:space="preserve">, </w:t>
      </w:r>
      <w:r w:rsidRPr="00685AF2">
        <w:rPr>
          <w:i/>
        </w:rPr>
        <w:t>73</w:t>
      </w:r>
      <w:r w:rsidRPr="00685AF2">
        <w:t xml:space="preserve">(1), 3–36. </w:t>
      </w:r>
      <w:hyperlink r:id="rId44">
        <w:r w:rsidRPr="001A7D4A">
          <w:rPr>
            <w:rStyle w:val="Hyperlink"/>
            <w:color w:val="auto"/>
          </w:rPr>
          <w:t>https://doi.org/10.1111/j.1467-9868.2010.00749.x</w:t>
        </w:r>
      </w:hyperlink>
    </w:p>
    <w:p w14:paraId="13FD1507" w14:textId="49AA5138" w:rsidR="008062F9" w:rsidRPr="001A7D4A" w:rsidRDefault="00806920" w:rsidP="00AA3B73">
      <w:pPr>
        <w:pStyle w:val="Bibliography"/>
        <w:spacing w:line="480" w:lineRule="auto"/>
        <w:ind w:left="360" w:hanging="360"/>
      </w:pPr>
      <w:bookmarkStart w:id="91" w:name="ref-Wood2017"/>
      <w:bookmarkEnd w:id="90"/>
      <w:r w:rsidRPr="001A7D4A">
        <w:t>Wood, S.</w:t>
      </w:r>
      <w:r w:rsidRPr="00C71234">
        <w:t xml:space="preserve"> N. (2017</w:t>
      </w:r>
      <w:r w:rsidRPr="003E2A48">
        <w:t xml:space="preserve">). </w:t>
      </w:r>
      <w:r w:rsidRPr="003E2A48">
        <w:rPr>
          <w:i/>
        </w:rPr>
        <w:t>Generalized additive models: An introduction with R</w:t>
      </w:r>
      <w:r w:rsidRPr="003E2A48">
        <w:t xml:space="preserve">. Boca Raton, FL: </w:t>
      </w:r>
      <w:r w:rsidRPr="00CE477A">
        <w:t>CRC Press.</w:t>
      </w:r>
      <w:r w:rsidR="009D26C4">
        <w:t xml:space="preserve"> </w:t>
      </w:r>
      <w:r w:rsidR="009D26C4" w:rsidRPr="009D26C4">
        <w:t>https://doi.org/10.1201/9781315370279</w:t>
      </w:r>
    </w:p>
    <w:p w14:paraId="46C3909F" w14:textId="77777777" w:rsidR="004F5179" w:rsidRDefault="00806920" w:rsidP="00AA3B73">
      <w:pPr>
        <w:pStyle w:val="Bibliography"/>
        <w:spacing w:line="480" w:lineRule="auto"/>
        <w:ind w:left="360" w:hanging="360"/>
        <w:rPr>
          <w:rStyle w:val="Hyperlink"/>
          <w:color w:val="auto"/>
        </w:rPr>
      </w:pPr>
      <w:bookmarkStart w:id="92" w:name="ref-XuBoyce2009"/>
      <w:bookmarkEnd w:id="91"/>
      <w:r w:rsidRPr="001A7D4A">
        <w:lastRenderedPageBreak/>
        <w:t>Xu, C</w:t>
      </w:r>
      <w:r w:rsidRPr="00C71234">
        <w:t>., &amp; B</w:t>
      </w:r>
      <w:r w:rsidRPr="00685AF2">
        <w:t>oyce, M. S. (2009). Oil sardine (</w:t>
      </w:r>
      <w:r w:rsidRPr="00CE1DC5">
        <w:rPr>
          <w:i/>
          <w:iCs/>
        </w:rPr>
        <w:t>Sardinella longiceps</w:t>
      </w:r>
      <w:r w:rsidRPr="00685AF2">
        <w:t>) off the Malabar coast: Density</w:t>
      </w:r>
      <w:r w:rsidRPr="003E2A48">
        <w:t xml:space="preserve"> dependence and environmental effects. </w:t>
      </w:r>
      <w:r w:rsidRPr="003E2A48">
        <w:rPr>
          <w:i/>
        </w:rPr>
        <w:t>Fisheries Oceanography</w:t>
      </w:r>
      <w:r w:rsidRPr="003E2A48">
        <w:t xml:space="preserve">, </w:t>
      </w:r>
      <w:r w:rsidRPr="003E2A48">
        <w:rPr>
          <w:i/>
        </w:rPr>
        <w:t>18</w:t>
      </w:r>
      <w:r w:rsidRPr="003E2A48">
        <w:t xml:space="preserve">(5), 359–370. </w:t>
      </w:r>
      <w:hyperlink r:id="rId45">
        <w:r w:rsidRPr="003E2A48">
          <w:rPr>
            <w:rStyle w:val="Hyperlink"/>
            <w:color w:val="auto"/>
          </w:rPr>
          <w:t>https://doi.org/10.1111/j.1365-2419.2009.00518.x</w:t>
        </w:r>
      </w:hyperlink>
    </w:p>
    <w:p w14:paraId="3D1C2751" w14:textId="214F3E1B" w:rsidR="005746B2" w:rsidRDefault="00DA350D" w:rsidP="00AA3B73">
      <w:pPr>
        <w:pStyle w:val="Bibliography"/>
        <w:spacing w:line="480" w:lineRule="auto"/>
        <w:ind w:left="360" w:hanging="360"/>
        <w:rPr>
          <w:rStyle w:val="Hyperlink"/>
          <w:color w:val="auto"/>
        </w:rPr>
      </w:pPr>
      <w:r w:rsidRPr="00DA350D">
        <w:rPr>
          <w:rStyle w:val="Hyperlink"/>
          <w:color w:val="auto"/>
        </w:rPr>
        <w:t xml:space="preserve">Zhang, R., </w:t>
      </w:r>
      <w:r w:rsidR="005746B2">
        <w:rPr>
          <w:rStyle w:val="Hyperlink"/>
          <w:color w:val="auto"/>
        </w:rPr>
        <w:t>&amp;</w:t>
      </w:r>
      <w:r w:rsidRPr="00DA350D">
        <w:rPr>
          <w:rStyle w:val="Hyperlink"/>
          <w:color w:val="auto"/>
        </w:rPr>
        <w:t xml:space="preserve"> Delworth, T. L. (2006). Impact of Atlantic multidecadal oscillations on India/Sahel rainfall and Atlantic hurricanes. </w:t>
      </w:r>
      <w:r w:rsidRPr="00BA076B">
        <w:rPr>
          <w:rStyle w:val="Hyperlink"/>
          <w:i/>
          <w:iCs/>
          <w:color w:val="auto"/>
        </w:rPr>
        <w:t>Geophysical Research Letters</w:t>
      </w:r>
      <w:r w:rsidRPr="00DA350D">
        <w:rPr>
          <w:rStyle w:val="Hyperlink"/>
          <w:color w:val="auto"/>
        </w:rPr>
        <w:t xml:space="preserve">, </w:t>
      </w:r>
      <w:r w:rsidRPr="00BA076B">
        <w:rPr>
          <w:rStyle w:val="Hyperlink"/>
          <w:i/>
          <w:iCs/>
          <w:color w:val="auto"/>
        </w:rPr>
        <w:t>33</w:t>
      </w:r>
      <w:r w:rsidR="005746B2">
        <w:rPr>
          <w:rStyle w:val="Hyperlink"/>
          <w:color w:val="auto"/>
        </w:rPr>
        <w:t>(17)</w:t>
      </w:r>
      <w:r w:rsidRPr="00DA350D">
        <w:rPr>
          <w:rStyle w:val="Hyperlink"/>
          <w:color w:val="auto"/>
        </w:rPr>
        <w:t>, L17712. https://doi.org/</w:t>
      </w:r>
      <w:r w:rsidR="005746B2" w:rsidRPr="005746B2">
        <w:rPr>
          <w:rStyle w:val="Hyperlink"/>
          <w:color w:val="auto"/>
        </w:rPr>
        <w:t>10.1029/2006GL026267</w:t>
      </w:r>
    </w:p>
    <w:p w14:paraId="3115D3B8" w14:textId="01693B7F" w:rsidR="00185159" w:rsidRDefault="004F5179" w:rsidP="00AA3B73">
      <w:pPr>
        <w:pStyle w:val="Bibliography"/>
        <w:spacing w:line="480" w:lineRule="auto"/>
        <w:ind w:left="360" w:hanging="360"/>
        <w:rPr>
          <w:rStyle w:val="Hyperlink"/>
          <w:color w:val="auto"/>
        </w:rPr>
      </w:pPr>
      <w:r w:rsidRPr="004F5179">
        <w:rPr>
          <w:rStyle w:val="Hyperlink"/>
          <w:color w:val="auto"/>
        </w:rPr>
        <w:t>Zhang, R., Sutton, R., Danabasoglu, G., Kwon, Y.‐O., Marsh, R., Yeager, S. G., Amrhein</w:t>
      </w:r>
      <w:r>
        <w:rPr>
          <w:rStyle w:val="Hyperlink"/>
          <w:color w:val="auto"/>
        </w:rPr>
        <w:t xml:space="preserve">, D. E, &amp; </w:t>
      </w:r>
      <w:r w:rsidRPr="004F5179">
        <w:rPr>
          <w:rStyle w:val="Hyperlink"/>
          <w:color w:val="auto"/>
        </w:rPr>
        <w:t>Little</w:t>
      </w:r>
      <w:r>
        <w:rPr>
          <w:rStyle w:val="Hyperlink"/>
          <w:color w:val="auto"/>
        </w:rPr>
        <w:t>, C. M</w:t>
      </w:r>
      <w:r w:rsidRPr="004F5179">
        <w:rPr>
          <w:rStyle w:val="Hyperlink"/>
          <w:color w:val="auto"/>
        </w:rPr>
        <w:t xml:space="preserve">. (2019). A review of the role of the Atlantic Meridional Overturning Circulation in Atlantic Multidecadal Variability and associated climate impacts. </w:t>
      </w:r>
      <w:r w:rsidRPr="00BA076B">
        <w:rPr>
          <w:rStyle w:val="Hyperlink"/>
          <w:i/>
          <w:iCs/>
          <w:color w:val="auto"/>
        </w:rPr>
        <w:t>Reviews of Geophysics</w:t>
      </w:r>
      <w:r w:rsidRPr="004F5179">
        <w:rPr>
          <w:rStyle w:val="Hyperlink"/>
          <w:color w:val="auto"/>
        </w:rPr>
        <w:t xml:space="preserve">, </w:t>
      </w:r>
      <w:r w:rsidRPr="00BA076B">
        <w:rPr>
          <w:rStyle w:val="Hyperlink"/>
          <w:i/>
          <w:iCs/>
          <w:color w:val="auto"/>
        </w:rPr>
        <w:t>57</w:t>
      </w:r>
      <w:r>
        <w:rPr>
          <w:rStyle w:val="Hyperlink"/>
          <w:color w:val="auto"/>
        </w:rPr>
        <w:t>(2)</w:t>
      </w:r>
      <w:r w:rsidRPr="004F5179">
        <w:rPr>
          <w:rStyle w:val="Hyperlink"/>
          <w:color w:val="auto"/>
        </w:rPr>
        <w:t>, 316–375. https://doi.org/10.1029/2019RG000644</w:t>
      </w:r>
      <w:r w:rsidR="00185159">
        <w:rPr>
          <w:rStyle w:val="Hyperlink"/>
          <w:color w:val="auto"/>
        </w:rPr>
        <w:br w:type="page"/>
      </w:r>
    </w:p>
    <w:p w14:paraId="2D680A3E" w14:textId="7F67144D" w:rsidR="008062F9" w:rsidRPr="003E2A48" w:rsidRDefault="00185159" w:rsidP="00354701">
      <w:pPr>
        <w:pStyle w:val="Heading1"/>
        <w:spacing w:before="0" w:line="480" w:lineRule="auto"/>
        <w:rPr>
          <w:rFonts w:asciiTheme="minorHAnsi" w:hAnsiTheme="minorHAnsi"/>
          <w:color w:val="auto"/>
          <w:sz w:val="24"/>
          <w:szCs w:val="24"/>
        </w:rPr>
      </w:pPr>
      <w:bookmarkStart w:id="93" w:name="figure-legends"/>
      <w:bookmarkEnd w:id="18"/>
      <w:bookmarkEnd w:id="92"/>
      <w:r w:rsidRPr="003E2A48">
        <w:rPr>
          <w:rFonts w:asciiTheme="minorHAnsi" w:hAnsiTheme="minorHAnsi"/>
          <w:color w:val="auto"/>
          <w:sz w:val="24"/>
          <w:szCs w:val="24"/>
        </w:rPr>
        <w:lastRenderedPageBreak/>
        <w:t>FIGURE LEGENDS</w:t>
      </w:r>
      <w:bookmarkEnd w:id="93"/>
    </w:p>
    <w:p w14:paraId="0B5DC28B" w14:textId="5A1EB040" w:rsidR="008062F9" w:rsidRPr="003E2A48" w:rsidRDefault="00185159" w:rsidP="00354701">
      <w:pPr>
        <w:pStyle w:val="FirstParagraph"/>
        <w:spacing w:before="0" w:after="0" w:line="480" w:lineRule="auto"/>
      </w:pPr>
      <w:r w:rsidRPr="00CE477A">
        <w:rPr>
          <w:b/>
          <w:bCs/>
        </w:rPr>
        <w:t>FIGURE 1</w:t>
      </w:r>
      <w:r w:rsidR="00806920" w:rsidRPr="003E2A48">
        <w:t xml:space="preserve"> </w:t>
      </w:r>
      <w:r w:rsidR="00D2216D">
        <w:t>The study area, located off the s</w:t>
      </w:r>
      <w:r w:rsidR="00806920" w:rsidRPr="003E2A48">
        <w:t>outhwest</w:t>
      </w:r>
      <w:r w:rsidR="00D2216D">
        <w:t>ern</w:t>
      </w:r>
      <w:r w:rsidR="00806920" w:rsidRPr="003E2A48">
        <w:t xml:space="preserve"> coast of India. Kerala is </w:t>
      </w:r>
      <w:r w:rsidR="00D2216D">
        <w:t>shad</w:t>
      </w:r>
      <w:r w:rsidR="00D2216D" w:rsidRPr="003E2A48">
        <w:t xml:space="preserve">ed </w:t>
      </w:r>
      <w:r w:rsidR="00806920" w:rsidRPr="003E2A48">
        <w:t>gr</w:t>
      </w:r>
      <w:r w:rsidR="00D2216D">
        <w:t>a</w:t>
      </w:r>
      <w:r w:rsidR="00806920" w:rsidRPr="003E2A48">
        <w:t>y</w:t>
      </w:r>
      <w:r w:rsidR="00AB54E1">
        <w:t xml:space="preserve">. </w:t>
      </w:r>
    </w:p>
    <w:p w14:paraId="3969ADC0" w14:textId="5040C152" w:rsidR="00AB54E1" w:rsidRPr="003E2A48" w:rsidRDefault="00AB54E1" w:rsidP="00AB54E1">
      <w:pPr>
        <w:pStyle w:val="BodyText"/>
        <w:spacing w:before="0" w:after="0" w:line="480" w:lineRule="auto"/>
      </w:pPr>
      <w:r w:rsidRPr="00CE477A">
        <w:rPr>
          <w:b/>
          <w:bCs/>
        </w:rPr>
        <w:t xml:space="preserve">FIGURE </w:t>
      </w:r>
      <w:r>
        <w:rPr>
          <w:b/>
          <w:bCs/>
        </w:rPr>
        <w:t>2</w:t>
      </w:r>
      <w:r w:rsidR="00491A14">
        <w:t xml:space="preserve"> S</w:t>
      </w:r>
      <w:r>
        <w:t xml:space="preserve">easonal </w:t>
      </w:r>
      <w:r w:rsidR="00DC615F">
        <w:t xml:space="preserve">average </w:t>
      </w:r>
      <w:r>
        <w:t>winds</w:t>
      </w:r>
      <w:r w:rsidR="001003BE">
        <w:t xml:space="preserve">, </w:t>
      </w:r>
      <w:r w:rsidR="00491A14">
        <w:t xml:space="preserve">sea surface temperature (SST) and currents </w:t>
      </w:r>
      <w:r>
        <w:t>during the summer monsoon versus the winter non-monsoon months</w:t>
      </w:r>
      <w:r w:rsidR="00491A14">
        <w:t xml:space="preserve"> in the study area</w:t>
      </w:r>
      <w:r>
        <w:t>.</w:t>
      </w:r>
      <w:r w:rsidR="00491A14">
        <w:t xml:space="preserve"> Winds and SST are from the Reanalysis Data ERA5 monthly product and averaged over 1979-2020. </w:t>
      </w:r>
      <w:r w:rsidR="00DC615F">
        <w:t xml:space="preserve">The bottom panels show the main seasonal currents </w:t>
      </w:r>
      <w:r w:rsidR="001003BE">
        <w:t>near the study area:</w:t>
      </w:r>
      <w:r w:rsidR="00DC615F">
        <w:t xml:space="preserve"> the West India Coastal Current going north in winter and south in summer</w:t>
      </w:r>
      <w:r w:rsidR="001003BE">
        <w:t xml:space="preserve"> and</w:t>
      </w:r>
      <w:r w:rsidR="00DC615F">
        <w:t xml:space="preserve"> the Summer Monsoon Current going west to east</w:t>
      </w:r>
      <w:r w:rsidR="001003BE">
        <w:t xml:space="preserve"> near 8</w:t>
      </w:r>
      <w:r w:rsidR="001003BE">
        <w:sym w:font="Symbol" w:char="F0B0"/>
      </w:r>
      <w:r w:rsidR="001003BE">
        <w:t>N.</w:t>
      </w:r>
    </w:p>
    <w:p w14:paraId="3DCEBE09" w14:textId="2071865A" w:rsidR="00D2216D" w:rsidRPr="003E2A48" w:rsidRDefault="00D2216D" w:rsidP="00D2216D">
      <w:pPr>
        <w:pStyle w:val="BodyText"/>
        <w:spacing w:before="0" w:after="0" w:line="480" w:lineRule="auto"/>
      </w:pPr>
      <w:r w:rsidRPr="00CE477A">
        <w:rPr>
          <w:b/>
          <w:bCs/>
        </w:rPr>
        <w:t xml:space="preserve">FIGURE </w:t>
      </w:r>
      <w:r w:rsidR="00AB54E1">
        <w:rPr>
          <w:b/>
          <w:bCs/>
        </w:rPr>
        <w:t>3</w:t>
      </w:r>
      <w:r w:rsidRPr="003E2A48">
        <w:t xml:space="preserve"> Key oil sardine life history events</w:t>
      </w:r>
      <w:r w:rsidR="00D218D2">
        <w:t xml:space="preserve"> (top colored bars)</w:t>
      </w:r>
      <w:r>
        <w:t>,</w:t>
      </w:r>
      <w:r w:rsidRPr="003E2A48">
        <w:t xml:space="preserve"> overlaid on the monthly </w:t>
      </w:r>
      <w:r>
        <w:t xml:space="preserve">nearshore and offshore </w:t>
      </w:r>
      <w:r w:rsidRPr="003E2A48">
        <w:t>sea surface temperature</w:t>
      </w:r>
      <w:r>
        <w:t>s (SSTs</w:t>
      </w:r>
      <w:r w:rsidR="00176CA9">
        <w:t xml:space="preserve">; </w:t>
      </w:r>
      <w:r w:rsidR="00176CA9">
        <w:sym w:font="Symbol" w:char="F0B0"/>
      </w:r>
      <w:r w:rsidR="00176CA9">
        <w:t>C</w:t>
      </w:r>
      <w:r>
        <w:t>)</w:t>
      </w:r>
      <w:r w:rsidRPr="003E2A48">
        <w:t xml:space="preserve"> and nearshore chlorophyll-a </w:t>
      </w:r>
      <w:r>
        <w:t xml:space="preserve">(Chl-a) </w:t>
      </w:r>
      <w:r w:rsidRPr="003E2A48">
        <w:t>concentration</w:t>
      </w:r>
      <w:r>
        <w:t>s</w:t>
      </w:r>
      <w:r w:rsidR="00D218D2">
        <w:t xml:space="preserve"> (mg</w:t>
      </w:r>
      <w:r w:rsidR="00E53259">
        <w:t xml:space="preserve"> </w:t>
      </w:r>
      <w:r w:rsidR="00D218D2">
        <w:t>m</w:t>
      </w:r>
      <w:r w:rsidR="00E53259">
        <w:rPr>
          <w:vertAlign w:val="superscript"/>
        </w:rPr>
        <w:t>-3</w:t>
      </w:r>
      <w:r w:rsidR="00D218D2">
        <w:t>)</w:t>
      </w:r>
      <w:r w:rsidRPr="003E2A48">
        <w:t>.</w:t>
      </w:r>
    </w:p>
    <w:p w14:paraId="26FD160E" w14:textId="2F3C6596" w:rsidR="008062F9" w:rsidRPr="003E2A48" w:rsidRDefault="00185159" w:rsidP="00354701">
      <w:pPr>
        <w:pStyle w:val="BodyText"/>
        <w:spacing w:before="0" w:after="0" w:line="480" w:lineRule="auto"/>
      </w:pPr>
      <w:r w:rsidRPr="00CE477A">
        <w:rPr>
          <w:b/>
          <w:bCs/>
        </w:rPr>
        <w:t xml:space="preserve">FIGURE </w:t>
      </w:r>
      <w:r w:rsidR="00AB54E1">
        <w:rPr>
          <w:b/>
          <w:bCs/>
        </w:rPr>
        <w:t>4</w:t>
      </w:r>
      <w:r w:rsidR="00806920" w:rsidRPr="003E2A48">
        <w:t xml:space="preserve"> </w:t>
      </w:r>
      <w:r w:rsidR="00106FD7">
        <w:t xml:space="preserve">Top panel: </w:t>
      </w:r>
      <w:r w:rsidR="00806920" w:rsidRPr="003E2A48">
        <w:t xml:space="preserve">Quarterly catch data </w:t>
      </w:r>
      <w:r w:rsidR="00AE2694">
        <w:t xml:space="preserve">for </w:t>
      </w:r>
      <w:r w:rsidR="00806920" w:rsidRPr="003E2A48">
        <w:t>1956</w:t>
      </w:r>
      <w:r w:rsidR="00AE2694">
        <w:t>–</w:t>
      </w:r>
      <w:r w:rsidR="00F9352D" w:rsidRPr="003E2A48">
        <w:t>201</w:t>
      </w:r>
      <w:r w:rsidR="00F9352D">
        <w:t>5</w:t>
      </w:r>
      <w:r w:rsidR="00F9352D" w:rsidRPr="003E2A48">
        <w:t xml:space="preserve"> </w:t>
      </w:r>
      <w:r w:rsidR="00806920" w:rsidRPr="003E2A48">
        <w:t>from Kerala. Note that the fishery is closed July 1</w:t>
      </w:r>
      <w:r w:rsidR="00AE2694">
        <w:t>–</w:t>
      </w:r>
      <w:r w:rsidR="00806920" w:rsidRPr="003E2A48">
        <w:t xml:space="preserve">mid-August, </w:t>
      </w:r>
      <w:r w:rsidR="00AE2694">
        <w:t>meaning that the quarter 3 catch represents</w:t>
      </w:r>
      <w:r w:rsidR="00806920" w:rsidRPr="003E2A48">
        <w:t xml:space="preserve"> only 1.5 months. </w:t>
      </w:r>
      <w:r w:rsidR="00AE2694">
        <w:t>M</w:t>
      </w:r>
      <w:r w:rsidR="00806920" w:rsidRPr="003E2A48">
        <w:t>ean catch</w:t>
      </w:r>
      <w:r w:rsidR="00AE2694">
        <w:t>es</w:t>
      </w:r>
      <w:r w:rsidR="00806920" w:rsidRPr="003E2A48">
        <w:t xml:space="preserve"> in quarters 1</w:t>
      </w:r>
      <w:r w:rsidR="00AE2694">
        <w:t>–</w:t>
      </w:r>
      <w:r w:rsidR="00806920" w:rsidRPr="003E2A48">
        <w:t xml:space="preserve">4 </w:t>
      </w:r>
      <w:r w:rsidR="00AE2694">
        <w:t>we</w:t>
      </w:r>
      <w:r w:rsidR="00AE2694" w:rsidRPr="003E2A48">
        <w:t xml:space="preserve">re </w:t>
      </w:r>
      <w:r w:rsidR="00806920" w:rsidRPr="003E2A48">
        <w:t>38, 19.2, 30.9, and 59.9 metric tons</w:t>
      </w:r>
      <w:r w:rsidR="00AE2694">
        <w:t>,</w:t>
      </w:r>
      <w:r w:rsidR="00806920" w:rsidRPr="003E2A48">
        <w:t xml:space="preserve"> respectively.</w:t>
      </w:r>
      <w:r w:rsidR="00106FD7">
        <w:t xml:space="preserve"> Bottom panel: The seasonal time series (Jul</w:t>
      </w:r>
      <w:r w:rsidR="001003BE">
        <w:t>y</w:t>
      </w:r>
      <w:r w:rsidR="00106FD7">
        <w:t>-Sep</w:t>
      </w:r>
      <w:r w:rsidR="001003BE">
        <w:t>tember</w:t>
      </w:r>
      <w:r w:rsidR="00106FD7">
        <w:t xml:space="preserve"> and Oct</w:t>
      </w:r>
      <w:r w:rsidR="001003BE">
        <w:t>ober</w:t>
      </w:r>
      <w:r w:rsidR="00106FD7">
        <w:t>-Mar</w:t>
      </w:r>
      <w:r w:rsidR="001003BE">
        <w:t>ch catch</w:t>
      </w:r>
      <w:r w:rsidR="00106FD7">
        <w:t>) used in the paper.</w:t>
      </w:r>
    </w:p>
    <w:p w14:paraId="046DC914" w14:textId="3D0CFD9E" w:rsidR="008062F9" w:rsidRPr="003E2A48" w:rsidRDefault="00185159" w:rsidP="00354701">
      <w:pPr>
        <w:pStyle w:val="BodyText"/>
        <w:spacing w:before="0" w:after="0" w:line="480" w:lineRule="auto"/>
      </w:pPr>
      <w:r w:rsidRPr="00F9352D">
        <w:rPr>
          <w:b/>
          <w:bCs/>
        </w:rPr>
        <w:t xml:space="preserve">FIGURE </w:t>
      </w:r>
      <w:r w:rsidR="00AB54E1">
        <w:rPr>
          <w:b/>
          <w:bCs/>
        </w:rPr>
        <w:t>5</w:t>
      </w:r>
      <w:r w:rsidR="00806920" w:rsidRPr="003E2A48">
        <w:t xml:space="preserve"> </w:t>
      </w:r>
      <w:r w:rsidR="00AB54E1">
        <w:t>Four of the r</w:t>
      </w:r>
      <w:r w:rsidR="00806920" w:rsidRPr="003E2A48">
        <w:t>emote sensing covariates used in the analysis. All data are monthly averages</w:t>
      </w:r>
      <w:r w:rsidR="006A5DF7">
        <w:t xml:space="preserve">. </w:t>
      </w:r>
      <w:r w:rsidR="00D400C1">
        <w:t>The u</w:t>
      </w:r>
      <w:r w:rsidR="00806920" w:rsidRPr="003E2A48">
        <w:t xml:space="preserve">pwelling </w:t>
      </w:r>
      <w:r w:rsidR="00AE2694">
        <w:t>i</w:t>
      </w:r>
      <w:r w:rsidR="00AE2694" w:rsidRPr="003E2A48">
        <w:t>ndex</w:t>
      </w:r>
      <w:r w:rsidR="00D400C1">
        <w:t xml:space="preserve"> was defined as</w:t>
      </w:r>
      <w:r w:rsidR="00AE2694">
        <w:t xml:space="preserve"> the</w:t>
      </w:r>
      <w:r w:rsidR="00806920" w:rsidRPr="003E2A48">
        <w:t xml:space="preserve"> difference between the nearshore </w:t>
      </w:r>
      <w:r w:rsidR="00AE2694">
        <w:t xml:space="preserve">and 3° </w:t>
      </w:r>
      <w:r w:rsidR="00A52EF3">
        <w:t xml:space="preserve">longitude </w:t>
      </w:r>
      <w:r w:rsidR="00AE2694">
        <w:t xml:space="preserve">offshore </w:t>
      </w:r>
      <w:r w:rsidR="00806920" w:rsidRPr="003E2A48">
        <w:t>sea surface temperature</w:t>
      </w:r>
      <w:r w:rsidR="00AE2694">
        <w:t>s</w:t>
      </w:r>
      <w:r w:rsidR="00806920" w:rsidRPr="003E2A48">
        <w:t xml:space="preserve"> (SST</w:t>
      </w:r>
      <w:r w:rsidR="00AE2694">
        <w:t>s</w:t>
      </w:r>
      <w:r w:rsidR="00806920" w:rsidRPr="003E2A48">
        <w:t xml:space="preserve">). </w:t>
      </w:r>
      <w:r w:rsidR="00D400C1">
        <w:t>S</w:t>
      </w:r>
      <w:r w:rsidR="00AE2694" w:rsidRPr="003E2A48">
        <w:t xml:space="preserve">urface </w:t>
      </w:r>
      <w:r w:rsidR="00806920" w:rsidRPr="003E2A48">
        <w:t xml:space="preserve">chlorophyll-a data </w:t>
      </w:r>
      <w:r w:rsidR="003F27BF">
        <w:t>are</w:t>
      </w:r>
      <w:r w:rsidR="003F27BF" w:rsidRPr="003E2A48">
        <w:t xml:space="preserve"> </w:t>
      </w:r>
      <w:r w:rsidR="00806920" w:rsidRPr="003E2A48">
        <w:t xml:space="preserve">available </w:t>
      </w:r>
      <w:r w:rsidR="00AE2694">
        <w:t xml:space="preserve">only </w:t>
      </w:r>
      <w:r w:rsidR="00806920" w:rsidRPr="003E2A48">
        <w:t xml:space="preserve">from </w:t>
      </w:r>
      <w:r w:rsidR="003F27BF">
        <w:t xml:space="preserve">September </w:t>
      </w:r>
      <w:r w:rsidR="00806920" w:rsidRPr="003E2A48">
        <w:t>1997 onward. S</w:t>
      </w:r>
      <w:r w:rsidR="00AE2694">
        <w:t xml:space="preserve">STs </w:t>
      </w:r>
      <w:r w:rsidR="00D400C1">
        <w:t xml:space="preserve">were </w:t>
      </w:r>
      <w:r w:rsidR="00AE2694">
        <w:t>obtained</w:t>
      </w:r>
      <w:r w:rsidR="00806920" w:rsidRPr="003E2A48">
        <w:t xml:space="preserve"> from</w:t>
      </w:r>
      <w:r w:rsidR="00AE2694">
        <w:t xml:space="preserve"> </w:t>
      </w:r>
      <w:r w:rsidR="00806920" w:rsidRPr="003E2A48">
        <w:t>Advanced Very High Resolution Radiometer</w:t>
      </w:r>
      <w:r w:rsidR="00F9352D">
        <w:t xml:space="preserve"> (AVHRR) products which provide high resolution nearshore measurements</w:t>
      </w:r>
      <w:r w:rsidR="00806920" w:rsidRPr="003E2A48">
        <w:t>.</w:t>
      </w:r>
    </w:p>
    <w:p w14:paraId="02C7C3CF" w14:textId="6ED6141B" w:rsidR="008062F9" w:rsidRPr="003E2A48" w:rsidRDefault="00185159" w:rsidP="00354701">
      <w:pPr>
        <w:pStyle w:val="BodyText"/>
        <w:spacing w:before="0" w:after="0" w:line="480" w:lineRule="auto"/>
      </w:pPr>
      <w:r w:rsidRPr="00CE477A">
        <w:rPr>
          <w:b/>
          <w:bCs/>
        </w:rPr>
        <w:lastRenderedPageBreak/>
        <w:t xml:space="preserve">FIGURE </w:t>
      </w:r>
      <w:r w:rsidR="00AB54E1">
        <w:rPr>
          <w:b/>
          <w:bCs/>
        </w:rPr>
        <w:t>6</w:t>
      </w:r>
      <w:r w:rsidR="00806920" w:rsidRPr="003E2A48">
        <w:t xml:space="preserve"> Effect</w:t>
      </w:r>
      <w:r w:rsidR="003E0F9B">
        <w:t xml:space="preserve"> sizes for the</w:t>
      </w:r>
      <w:r w:rsidR="00806920" w:rsidRPr="003E2A48">
        <w:t xml:space="preserve"> 2.5</w:t>
      </w:r>
      <w:r w:rsidR="00D400C1">
        <w:t>-</w:t>
      </w:r>
      <w:r w:rsidR="00806920" w:rsidRPr="003E2A48">
        <w:t xml:space="preserve">year average </w:t>
      </w:r>
      <w:r w:rsidR="00E5701D">
        <w:t>regional</w:t>
      </w:r>
      <w:r w:rsidR="00E5701D" w:rsidRPr="003E2A48">
        <w:t xml:space="preserve"> </w:t>
      </w:r>
      <w:r w:rsidR="00D400C1">
        <w:t>sea surface temperature (</w:t>
      </w:r>
      <w:r w:rsidR="00806920" w:rsidRPr="003E2A48">
        <w:t>SST</w:t>
      </w:r>
      <w:r w:rsidR="00D400C1">
        <w:t xml:space="preserve">; </w:t>
      </w:r>
      <w:r w:rsidR="00106FD7">
        <w:t>within 2</w:t>
      </w:r>
      <w:r w:rsidR="00106FD7">
        <w:sym w:font="Symbol" w:char="F0B0"/>
      </w:r>
      <w:r w:rsidR="00106FD7">
        <w:t xml:space="preserve"> of the Kerala coast</w:t>
      </w:r>
      <w:r w:rsidR="00D400C1">
        <w:t>)</w:t>
      </w:r>
      <w:r w:rsidR="00A40966">
        <w:t>,</w:t>
      </w:r>
      <w:r w:rsidR="00806920" w:rsidRPr="003E2A48">
        <w:t xml:space="preserve"> </w:t>
      </w:r>
      <w:r w:rsidR="00D400C1">
        <w:t xml:space="preserve">current-season </w:t>
      </w:r>
      <w:r w:rsidR="00806920" w:rsidRPr="003E2A48">
        <w:t>upwelling intensity</w:t>
      </w:r>
      <w:r w:rsidR="00D400C1">
        <w:t xml:space="preserve"> </w:t>
      </w:r>
      <w:r w:rsidR="00F23BC5">
        <w:t>(average June-September SST</w:t>
      </w:r>
      <w:r w:rsidR="00AB54E1">
        <w:t xml:space="preserve"> nearshore-offshore</w:t>
      </w:r>
      <w:r w:rsidR="00977DFF">
        <w:t xml:space="preserve"> upwelling</w:t>
      </w:r>
      <w:r w:rsidR="00F23BC5">
        <w:t xml:space="preserve"> index </w:t>
      </w:r>
      <w:r w:rsidR="002B4AB6">
        <w:t>off Kochi, Kerala</w:t>
      </w:r>
      <w:r w:rsidR="00F23BC5">
        <w:t>)</w:t>
      </w:r>
      <w:r w:rsidR="00AB54E1">
        <w:t>,</w:t>
      </w:r>
      <w:r w:rsidR="00A40966">
        <w:t xml:space="preserve"> </w:t>
      </w:r>
      <w:r w:rsidR="00AB54E1">
        <w:t xml:space="preserve">current season </w:t>
      </w:r>
      <w:r w:rsidR="00A40966">
        <w:t>June-July precipitation over land</w:t>
      </w:r>
      <w:r w:rsidR="00AB54E1">
        <w:t xml:space="preserve"> and the Atlantic Multidecadal Oscillation (AMO) index in the prior year</w:t>
      </w:r>
      <w:r w:rsidR="00A40966">
        <w:t xml:space="preserve"> </w:t>
      </w:r>
      <w:r w:rsidR="00D400C1">
        <w:t>on</w:t>
      </w:r>
      <w:r w:rsidR="00806920" w:rsidRPr="003E2A48">
        <w:t xml:space="preserve"> </w:t>
      </w:r>
      <w:r w:rsidR="00D400C1" w:rsidRPr="003E2A48">
        <w:t>Ju</w:t>
      </w:r>
      <w:r w:rsidR="00D400C1">
        <w:t>ly–</w:t>
      </w:r>
      <w:r w:rsidR="00806920" w:rsidRPr="003E2A48">
        <w:t>September</w:t>
      </w:r>
      <w:r w:rsidR="00D400C1">
        <w:t xml:space="preserve"> and October–March catches</w:t>
      </w:r>
      <w:r w:rsidR="00806920" w:rsidRPr="003E2A48">
        <w:t>.</w:t>
      </w:r>
      <w:r w:rsidR="00D400C1">
        <w:t xml:space="preserve"> As t</w:t>
      </w:r>
      <w:r w:rsidR="00806920" w:rsidRPr="003E2A48">
        <w:t>he</w:t>
      </w:r>
      <w:r w:rsidR="00D400C1">
        <w:t xml:space="preserve"> upwelling</w:t>
      </w:r>
      <w:r w:rsidR="00806920" w:rsidRPr="003E2A48">
        <w:t xml:space="preserve"> index </w:t>
      </w:r>
      <w:r w:rsidR="00D400C1">
        <w:t>reflects</w:t>
      </w:r>
      <w:r w:rsidR="00D400C1" w:rsidRPr="003E2A48">
        <w:t xml:space="preserve"> </w:t>
      </w:r>
      <w:r w:rsidR="00806920" w:rsidRPr="003E2A48">
        <w:t xml:space="preserve">the difference between offshore and </w:t>
      </w:r>
      <w:r w:rsidR="0013107F">
        <w:t xml:space="preserve">nearshore </w:t>
      </w:r>
      <w:r w:rsidR="00806920" w:rsidRPr="003E2A48">
        <w:t xml:space="preserve">SST, </w:t>
      </w:r>
      <w:r w:rsidR="00F23BC5">
        <w:t>positive</w:t>
      </w:r>
      <w:r w:rsidR="00F23BC5" w:rsidRPr="003E2A48">
        <w:t xml:space="preserve"> </w:t>
      </w:r>
      <w:r w:rsidR="00806920" w:rsidRPr="003E2A48">
        <w:t>value</w:t>
      </w:r>
      <w:r w:rsidR="00D400C1">
        <w:t>s</w:t>
      </w:r>
      <w:r w:rsidR="00806920" w:rsidRPr="003E2A48">
        <w:t xml:space="preserve"> indicate </w:t>
      </w:r>
      <w:r w:rsidR="00D400C1">
        <w:t>that</w:t>
      </w:r>
      <w:r w:rsidR="00D400C1" w:rsidRPr="003E2A48">
        <w:t xml:space="preserve"> </w:t>
      </w:r>
      <w:r w:rsidR="00806920" w:rsidRPr="003E2A48">
        <w:t>coastal surface water</w:t>
      </w:r>
      <w:r w:rsidR="00D400C1">
        <w:t xml:space="preserve">s are </w:t>
      </w:r>
      <w:r w:rsidR="00F23BC5">
        <w:t>colder</w:t>
      </w:r>
      <w:r w:rsidR="00F23BC5" w:rsidRPr="003E2A48">
        <w:t xml:space="preserve"> </w:t>
      </w:r>
      <w:r w:rsidR="00806920" w:rsidRPr="003E2A48">
        <w:t>than offshore</w:t>
      </w:r>
      <w:r w:rsidR="00D400C1">
        <w:t xml:space="preserve"> waters</w:t>
      </w:r>
      <w:r w:rsidR="00F23BC5">
        <w:t>. The more positive the difference, the stronger the upwelling intensity.</w:t>
      </w:r>
    </w:p>
    <w:p w14:paraId="7C194E18" w14:textId="1E4DA0E9" w:rsidR="00041204" w:rsidRDefault="00185159" w:rsidP="00F9352D">
      <w:pPr>
        <w:pStyle w:val="BodyText"/>
        <w:spacing w:before="0" w:after="0" w:line="480" w:lineRule="auto"/>
      </w:pPr>
      <w:r w:rsidRPr="00CE477A">
        <w:rPr>
          <w:b/>
          <w:bCs/>
        </w:rPr>
        <w:t xml:space="preserve">FIGURE </w:t>
      </w:r>
      <w:r w:rsidR="00AB54E1">
        <w:rPr>
          <w:b/>
          <w:bCs/>
        </w:rPr>
        <w:t>7</w:t>
      </w:r>
      <w:r w:rsidR="00806920" w:rsidRPr="003E2A48">
        <w:t xml:space="preserve"> </w:t>
      </w:r>
      <w:r w:rsidR="00226FBB">
        <w:t>Predicted</w:t>
      </w:r>
      <w:r w:rsidR="00226FBB" w:rsidRPr="003E2A48">
        <w:t xml:space="preserve"> </w:t>
      </w:r>
      <w:r w:rsidR="00806920" w:rsidRPr="003E2A48">
        <w:t>versus observed catch</w:t>
      </w:r>
      <w:r w:rsidR="00D400C1">
        <w:t>es obtained</w:t>
      </w:r>
      <w:r w:rsidR="00806920" w:rsidRPr="003E2A48">
        <w:t xml:space="preserve"> with models with and without the 2.5</w:t>
      </w:r>
      <w:r w:rsidR="00A32AFB">
        <w:t>-</w:t>
      </w:r>
      <w:r w:rsidR="00806920" w:rsidRPr="003E2A48">
        <w:t xml:space="preserve">year average </w:t>
      </w:r>
      <w:r w:rsidR="00A32AFB">
        <w:t>sea surface temperature (</w:t>
      </w:r>
      <w:r w:rsidR="00806920" w:rsidRPr="003E2A48">
        <w:t>SST</w:t>
      </w:r>
      <w:r w:rsidR="00A32AFB">
        <w:t>)</w:t>
      </w:r>
      <w:r w:rsidR="00806920" w:rsidRPr="003E2A48">
        <w:t xml:space="preserve"> included as a </w:t>
      </w:r>
      <w:r w:rsidR="00FE6751">
        <w:t>non-linear</w:t>
      </w:r>
      <w:r w:rsidR="00817FA9">
        <w:t xml:space="preserve"> </w:t>
      </w:r>
      <w:r w:rsidR="00806920" w:rsidRPr="003E2A48">
        <w:t>covariate. The line</w:t>
      </w:r>
      <w:r w:rsidR="00A32AFB">
        <w:t>s</w:t>
      </w:r>
      <w:r w:rsidR="00806920" w:rsidRPr="003E2A48">
        <w:t xml:space="preserve"> </w:t>
      </w:r>
      <w:r w:rsidR="00A32AFB">
        <w:t xml:space="preserve">indicate </w:t>
      </w:r>
      <w:r w:rsidR="00D562EB">
        <w:t xml:space="preserve">a perfect prediction where observed catch equals the predicted catch. </w:t>
      </w:r>
      <w:r w:rsidR="00226FBB">
        <w:t xml:space="preserve">The value to be predicted </w:t>
      </w:r>
      <w:r w:rsidR="00B63940">
        <w:t>w</w:t>
      </w:r>
      <w:r w:rsidR="00226FBB">
        <w:t xml:space="preserve">as left out in the model fitting. </w:t>
      </w:r>
      <w:r w:rsidR="00D562EB">
        <w:t>Values above the line are cases where the prediction was too high and values below the line are cases where the prediction was too low.</w:t>
      </w:r>
      <w:r w:rsidR="00D8282F">
        <w:t xml:space="preserve"> </w:t>
      </w:r>
      <w:r w:rsidR="00A32AFB">
        <w:t>a</w:t>
      </w:r>
      <w:r w:rsidR="00806920" w:rsidRPr="003E2A48">
        <w:t>) Jul</w:t>
      </w:r>
      <w:r w:rsidR="00A32AFB">
        <w:t>y–</w:t>
      </w:r>
      <w:r w:rsidR="00806920" w:rsidRPr="003E2A48">
        <w:t>Sep</w:t>
      </w:r>
      <w:r w:rsidR="00A32AFB">
        <w:t>tember catch, modeled</w:t>
      </w:r>
      <w:r w:rsidR="00806920" w:rsidRPr="003E2A48">
        <w:t xml:space="preserve"> with only</w:t>
      </w:r>
      <w:r w:rsidR="00A32AFB">
        <w:t xml:space="preserve"> the prior-season</w:t>
      </w:r>
      <w:r w:rsidR="00806920" w:rsidRPr="003E2A48">
        <w:t xml:space="preserve"> Oct</w:t>
      </w:r>
      <w:r w:rsidR="00A32AFB">
        <w:t>ober–March</w:t>
      </w:r>
      <w:r w:rsidR="00806920" w:rsidRPr="003E2A48">
        <w:t xml:space="preserve"> catch</w:t>
      </w:r>
      <w:r w:rsidR="00D562EB">
        <w:t xml:space="preserve"> as a covariate</w:t>
      </w:r>
      <w:r w:rsidR="00806920" w:rsidRPr="003E2A48">
        <w:t xml:space="preserve">. </w:t>
      </w:r>
      <w:r w:rsidR="00A32AFB">
        <w:t>b</w:t>
      </w:r>
      <w:r w:rsidR="00806920" w:rsidRPr="003E2A48">
        <w:t>) Jul</w:t>
      </w:r>
      <w:r w:rsidR="00A32AFB">
        <w:t>y–</w:t>
      </w:r>
      <w:r w:rsidR="00806920" w:rsidRPr="003E2A48">
        <w:t>Sep</w:t>
      </w:r>
      <w:r w:rsidR="00A32AFB">
        <w:t>tember catch, modeled</w:t>
      </w:r>
      <w:r w:rsidR="00806920" w:rsidRPr="003E2A48">
        <w:t xml:space="preserve"> with the </w:t>
      </w:r>
      <w:r w:rsidR="00A32AFB">
        <w:t>prior-season</w:t>
      </w:r>
      <w:r w:rsidR="00A32AFB" w:rsidRPr="003E2A48">
        <w:t xml:space="preserve"> Oct</w:t>
      </w:r>
      <w:r w:rsidR="00A32AFB">
        <w:t>ober–March</w:t>
      </w:r>
      <w:r w:rsidR="00A32AFB" w:rsidRPr="003E2A48">
        <w:t xml:space="preserve"> catch </w:t>
      </w:r>
      <w:r w:rsidR="00A32AFB">
        <w:t xml:space="preserve">and </w:t>
      </w:r>
      <w:r w:rsidR="00806920" w:rsidRPr="003E2A48">
        <w:t>2.5-year average SST</w:t>
      </w:r>
      <w:r w:rsidR="001003BE">
        <w:t xml:space="preserve"> as covariates</w:t>
      </w:r>
      <w:r w:rsidR="00226FBB">
        <w:t xml:space="preserve">. </w:t>
      </w:r>
      <w:r w:rsidR="00A32AFB">
        <w:t>c</w:t>
      </w:r>
      <w:r w:rsidR="00806920" w:rsidRPr="003E2A48">
        <w:t>) Oct</w:t>
      </w:r>
      <w:r w:rsidR="00A32AFB">
        <w:t>ober–</w:t>
      </w:r>
      <w:r w:rsidR="00806920" w:rsidRPr="003E2A48">
        <w:t>Mar</w:t>
      </w:r>
      <w:r w:rsidR="00A32AFB">
        <w:t>ch catch,</w:t>
      </w:r>
      <w:r w:rsidR="00806920" w:rsidRPr="003E2A48">
        <w:t xml:space="preserve"> </w:t>
      </w:r>
      <w:r w:rsidR="00A32AFB">
        <w:t xml:space="preserve">modeled </w:t>
      </w:r>
      <w:r w:rsidR="00806920" w:rsidRPr="003E2A48">
        <w:t xml:space="preserve">with </w:t>
      </w:r>
      <w:r w:rsidR="00A32AFB">
        <w:t>the prior-season</w:t>
      </w:r>
      <w:r w:rsidR="00A32AFB" w:rsidRPr="003E2A48">
        <w:t xml:space="preserve"> </w:t>
      </w:r>
      <w:r w:rsidR="00806920" w:rsidRPr="003E2A48">
        <w:t>Oct</w:t>
      </w:r>
      <w:r w:rsidR="00A32AFB">
        <w:t>ober–</w:t>
      </w:r>
      <w:r w:rsidR="00806920" w:rsidRPr="003E2A48">
        <w:t>Mar</w:t>
      </w:r>
      <w:r w:rsidR="00A32AFB">
        <w:t>ch</w:t>
      </w:r>
      <w:r w:rsidR="00806920" w:rsidRPr="003E2A48">
        <w:t xml:space="preserve"> catch</w:t>
      </w:r>
      <w:r w:rsidR="00226FBB">
        <w:t xml:space="preserve"> only</w:t>
      </w:r>
      <w:r w:rsidR="00806920" w:rsidRPr="003E2A48">
        <w:t xml:space="preserve">. </w:t>
      </w:r>
      <w:r w:rsidR="00A32AFB">
        <w:t>d</w:t>
      </w:r>
      <w:r w:rsidR="00806920" w:rsidRPr="003E2A48">
        <w:t>) Oct</w:t>
      </w:r>
      <w:r w:rsidR="00A32AFB">
        <w:t>ober–</w:t>
      </w:r>
      <w:r w:rsidR="00806920" w:rsidRPr="003E2A48">
        <w:t>Mar</w:t>
      </w:r>
      <w:r w:rsidR="00A32AFB">
        <w:t xml:space="preserve">ch, modeled as in </w:t>
      </w:r>
      <w:r w:rsidR="00977DFF">
        <w:t xml:space="preserve">panel </w:t>
      </w:r>
      <w:r w:rsidR="00A32AFB">
        <w:t>c</w:t>
      </w:r>
      <w:r w:rsidR="00806920" w:rsidRPr="003E2A48">
        <w:t xml:space="preserve"> with</w:t>
      </w:r>
      <w:r w:rsidR="00A32AFB">
        <w:t xml:space="preserve"> the addition of the</w:t>
      </w:r>
      <w:r w:rsidR="00806920" w:rsidRPr="003E2A48">
        <w:t xml:space="preserve"> 2.5-year average SST.</w:t>
      </w:r>
      <w:r w:rsidR="00A32AFB">
        <w:t xml:space="preserve"> </w:t>
      </w:r>
      <w:r w:rsidR="00226FBB">
        <w:t xml:space="preserve">LOOCV </w:t>
      </w:r>
      <w:r w:rsidR="00A32AFB">
        <w:t>RMSE</w:t>
      </w:r>
      <w:r w:rsidR="00450830">
        <w:t xml:space="preserve"> = </w:t>
      </w:r>
      <w:r w:rsidR="00226FBB">
        <w:t xml:space="preserve">leave one out </w:t>
      </w:r>
      <w:r w:rsidR="00A32AFB">
        <w:t xml:space="preserve">root mean squared </w:t>
      </w:r>
      <w:r w:rsidR="00226FBB">
        <w:t xml:space="preserve">prediction </w:t>
      </w:r>
      <w:r w:rsidR="00A32AFB">
        <w:t>error.</w:t>
      </w:r>
      <w:r w:rsidR="00D8282F">
        <w:t xml:space="preserve"> </w:t>
      </w:r>
      <w:r w:rsidR="00106FD7">
        <w:t>See Figures A1 and A2 for the same plots with other environmental covariates.</w:t>
      </w:r>
    </w:p>
    <w:p w14:paraId="1E55AF74" w14:textId="5F67FC40" w:rsidR="004C55C2" w:rsidRDefault="00041204" w:rsidP="00F9352D">
      <w:pPr>
        <w:pStyle w:val="BodyText"/>
        <w:spacing w:before="0" w:after="0" w:line="480" w:lineRule="auto"/>
      </w:pPr>
      <w:r w:rsidRPr="00CE477A">
        <w:rPr>
          <w:b/>
          <w:bCs/>
        </w:rPr>
        <w:t xml:space="preserve">FIGURE </w:t>
      </w:r>
      <w:r w:rsidR="00AB54E1">
        <w:rPr>
          <w:b/>
          <w:bCs/>
        </w:rPr>
        <w:t>8</w:t>
      </w:r>
      <w:r w:rsidRPr="003E2A48">
        <w:t xml:space="preserve"> </w:t>
      </w:r>
      <w:r w:rsidR="00FB7067">
        <w:t xml:space="preserve">Model fit over 10-year windows </w:t>
      </w:r>
      <w:r>
        <w:t>for dynamic linear models of October-Ma</w:t>
      </w:r>
      <w:r w:rsidR="00293521">
        <w:t>rch</w:t>
      </w:r>
      <w:r>
        <w:t xml:space="preserve"> catch 19</w:t>
      </w:r>
      <w:r w:rsidR="006E56B3">
        <w:t>60</w:t>
      </w:r>
      <w:r>
        <w:t xml:space="preserve">-2015 using the 2.5-year average </w:t>
      </w:r>
      <w:r w:rsidR="006750A6">
        <w:t>SST from the ICOADS data set</w:t>
      </w:r>
      <w:r w:rsidR="00106FD7">
        <w:t xml:space="preserve">, </w:t>
      </w:r>
      <w:r>
        <w:t>June-July precipitation over land</w:t>
      </w:r>
      <w:r w:rsidR="006750A6">
        <w:t xml:space="preserve"> (from land gauges)</w:t>
      </w:r>
      <w:r w:rsidR="00106FD7">
        <w:t>, and Atlantic Multidecadal Oscillation</w:t>
      </w:r>
      <w:r>
        <w:t xml:space="preserve"> </w:t>
      </w:r>
      <w:r w:rsidR="00977DFF">
        <w:t xml:space="preserve">index </w:t>
      </w:r>
      <w:r>
        <w:t xml:space="preserve">as </w:t>
      </w:r>
      <w:r>
        <w:lastRenderedPageBreak/>
        <w:t>covariates</w:t>
      </w:r>
      <w:r w:rsidR="00FB7067">
        <w:t>. These models allowed the covariate model to evolve over time</w:t>
      </w:r>
      <w:r>
        <w:t>. The models were fit to the residuals of the simpler base model (with only prior October-</w:t>
      </w:r>
      <w:r w:rsidR="00293521">
        <w:t xml:space="preserve">March </w:t>
      </w:r>
      <w:r>
        <w:t xml:space="preserve">catch as a covariate) </w:t>
      </w:r>
      <w:r w:rsidR="00FB7067">
        <w:t>with t</w:t>
      </w:r>
      <w:r w:rsidR="00C7703E">
        <w:t xml:space="preserve">he 1994 residual was removed. </w:t>
      </w:r>
      <w:r>
        <w:t>The covariates were z-scored (mean removed and standardized to variance of 1)</w:t>
      </w:r>
      <w:r w:rsidR="00C7703E">
        <w:t xml:space="preserve"> and included as a third-order polynomial to allow a non-linear effect</w:t>
      </w:r>
      <w:r w:rsidR="00122F24">
        <w:t>.</w:t>
      </w:r>
      <w:r w:rsidR="00D8282F">
        <w:t xml:space="preserve"> </w:t>
      </w:r>
      <w:r w:rsidR="00FB7067">
        <w:t xml:space="preserve">The plot shows the </w:t>
      </w:r>
      <w:r w:rsidR="00122F24">
        <w:t xml:space="preserve">RMSE </w:t>
      </w:r>
      <w:r w:rsidR="00F93284">
        <w:t xml:space="preserve">of the model residuals </w:t>
      </w:r>
      <w:r w:rsidR="00122F24">
        <w:t>computed on a 10-year sliding window</w:t>
      </w:r>
      <w:r w:rsidR="00C7703E">
        <w:t>.</w:t>
      </w:r>
    </w:p>
    <w:p w14:paraId="042470B2" w14:textId="6087DE45" w:rsidR="00173E30" w:rsidRDefault="00173E30" w:rsidP="0000127E">
      <w:pPr>
        <w:pStyle w:val="TableCaption"/>
        <w:rPr>
          <w:i w:val="0"/>
        </w:rPr>
        <w:sectPr w:rsidR="00173E30" w:rsidSect="00D638A7">
          <w:pgSz w:w="12240" w:h="15840"/>
          <w:pgMar w:top="1440" w:right="1440" w:bottom="1440" w:left="1440" w:header="720" w:footer="720" w:gutter="0"/>
          <w:lnNumType w:countBy="1" w:restart="continuous"/>
          <w:cols w:space="720"/>
          <w:docGrid w:linePitch="326"/>
        </w:sectPr>
      </w:pPr>
    </w:p>
    <w:p w14:paraId="558B6278" w14:textId="3E5FCD9C" w:rsidR="00B91833" w:rsidRDefault="00B91833" w:rsidP="00106FD7">
      <w:pPr>
        <w:spacing w:line="276" w:lineRule="auto"/>
        <w:ind w:right="43"/>
        <w:jc w:val="both"/>
        <w:rPr>
          <w:rFonts w:ascii="Cambria" w:eastAsia="Arial" w:hAnsi="Cambria"/>
        </w:rPr>
      </w:pPr>
      <w:r w:rsidRPr="004F1560">
        <w:rPr>
          <w:rFonts w:ascii="Cambria" w:eastAsia="Arial" w:hAnsi="Cambria"/>
          <w:b/>
          <w:bCs/>
        </w:rPr>
        <w:lastRenderedPageBreak/>
        <w:t>TABLE 1</w:t>
      </w:r>
      <w:r w:rsidRPr="00F25E8A">
        <w:rPr>
          <w:rFonts w:ascii="Cambria" w:eastAsia="Arial" w:hAnsi="Cambria"/>
        </w:rPr>
        <w:t xml:space="preserve"> </w:t>
      </w:r>
      <w:r w:rsidR="00716F79">
        <w:rPr>
          <w:rFonts w:ascii="Cambria" w:eastAsia="Arial" w:hAnsi="Cambria"/>
        </w:rPr>
        <w:t>Covariate models</w:t>
      </w:r>
      <w:r>
        <w:rPr>
          <w:rFonts w:ascii="Cambria" w:eastAsia="Arial" w:hAnsi="Cambria"/>
        </w:rPr>
        <w:t xml:space="preserve"> for the July–September (</w:t>
      </w:r>
      <w:r>
        <w:rPr>
          <w:rFonts w:ascii="Cambria" w:eastAsia="Arial" w:hAnsi="Cambria"/>
          <w:i/>
          <w:iCs/>
        </w:rPr>
        <w:t>S</w:t>
      </w:r>
      <w:r w:rsidR="006A3EF2" w:rsidRPr="00F25E8A">
        <w:rPr>
          <w:rFonts w:ascii="Cambria" w:eastAsia="Arial" w:hAnsi="Cambria"/>
          <w:i/>
          <w:vertAlign w:val="subscript"/>
        </w:rPr>
        <w:t>t</w:t>
      </w:r>
      <w:r>
        <w:rPr>
          <w:rFonts w:ascii="Cambria" w:eastAsia="Arial" w:hAnsi="Cambria"/>
        </w:rPr>
        <w:t xml:space="preserve">) and </w:t>
      </w:r>
      <w:r>
        <w:rPr>
          <w:rFonts w:ascii="Cambria" w:eastAsia="Arial" w:hAnsi="Cambria"/>
          <w:iCs/>
        </w:rPr>
        <w:t>October–March</w:t>
      </w:r>
      <w:r w:rsidRPr="00F25E8A">
        <w:rPr>
          <w:rFonts w:ascii="Cambria" w:eastAsia="Arial" w:hAnsi="Cambria"/>
        </w:rPr>
        <w:t xml:space="preserve"> </w:t>
      </w:r>
      <w:r>
        <w:rPr>
          <w:rFonts w:ascii="Cambria" w:eastAsia="Arial" w:hAnsi="Cambria"/>
        </w:rPr>
        <w:t>(</w:t>
      </w:r>
      <w:proofErr w:type="spellStart"/>
      <w:r w:rsidR="00945044">
        <w:rPr>
          <w:rFonts w:ascii="Cambria" w:eastAsia="Arial" w:hAnsi="Cambria"/>
          <w:i/>
        </w:rPr>
        <w:t>W</w:t>
      </w:r>
      <w:r w:rsidR="00945044" w:rsidRPr="00F25E8A">
        <w:rPr>
          <w:rFonts w:ascii="Cambria" w:eastAsia="Arial" w:hAnsi="Cambria"/>
          <w:i/>
          <w:vertAlign w:val="subscript"/>
        </w:rPr>
        <w:t>t</w:t>
      </w:r>
      <w:proofErr w:type="spellEnd"/>
      <w:r>
        <w:rPr>
          <w:rFonts w:ascii="Cambria" w:eastAsia="Arial" w:hAnsi="Cambria"/>
          <w:iCs/>
        </w:rPr>
        <w:t>)</w:t>
      </w:r>
      <w:r w:rsidRPr="00F25E8A">
        <w:rPr>
          <w:rFonts w:ascii="Cambria" w:eastAsia="Arial" w:hAnsi="Cambria"/>
        </w:rPr>
        <w:t xml:space="preserve"> landings</w:t>
      </w:r>
      <w:r>
        <w:rPr>
          <w:rFonts w:ascii="Cambria" w:eastAsia="Arial" w:hAnsi="Cambria"/>
        </w:rPr>
        <w:t xml:space="preserve">. </w:t>
      </w:r>
      <w:r w:rsidR="008E784A">
        <w:rPr>
          <w:rFonts w:ascii="Cambria" w:eastAsia="Arial" w:hAnsi="Cambria"/>
        </w:rPr>
        <w:t>In the model (left) column, the first line is the environmental covariate.</w:t>
      </w:r>
      <w:r>
        <w:rPr>
          <w:rFonts w:ascii="Cambria" w:eastAsia="Arial" w:hAnsi="Cambria"/>
        </w:rPr>
        <w:t xml:space="preserve"> </w:t>
      </w:r>
      <w:r w:rsidR="008E784A">
        <w:rPr>
          <w:rFonts w:ascii="Cambria" w:eastAsia="Arial" w:hAnsi="Cambria"/>
        </w:rPr>
        <w:t xml:space="preserve">The response variable and the mechanism by which the covariate is postulated to affect catch is shown below the covariate (see Notes for the codes). </w:t>
      </w:r>
      <w:r>
        <w:rPr>
          <w:rFonts w:ascii="Cambria" w:eastAsia="Arial" w:hAnsi="Cambria"/>
        </w:rPr>
        <w:t xml:space="preserve">The tests did not impose a direction (positive or negative) and some </w:t>
      </w:r>
      <w:r w:rsidR="006A3EF2">
        <w:rPr>
          <w:rFonts w:ascii="Cambria" w:eastAsia="Arial" w:hAnsi="Cambria"/>
        </w:rPr>
        <w:t xml:space="preserve">environmental </w:t>
      </w:r>
      <w:r>
        <w:rPr>
          <w:rFonts w:ascii="Cambria" w:eastAsia="Arial" w:hAnsi="Cambria"/>
        </w:rPr>
        <w:t xml:space="preserve">covariates have been hypothesized to have both positive and negative impacts on oil sardines. </w:t>
      </w:r>
    </w:p>
    <w:p w14:paraId="5F4D69D0" w14:textId="77777777" w:rsidR="00B91833" w:rsidRPr="004F1560" w:rsidRDefault="00B91833" w:rsidP="00D638A7">
      <w:pPr>
        <w:spacing w:line="276" w:lineRule="auto"/>
        <w:ind w:right="43"/>
        <w:jc w:val="both"/>
        <w:rPr>
          <w:rFonts w:ascii="Cambria" w:hAnsi="Cambria"/>
        </w:rPr>
      </w:pPr>
    </w:p>
    <w:tbl>
      <w:tblPr>
        <w:tblW w:w="0" w:type="auto"/>
        <w:tblInd w:w="40" w:type="dxa"/>
        <w:tblBorders>
          <w:bottom w:val="single" w:sz="8" w:space="0" w:color="auto"/>
          <w:insideH w:val="single" w:sz="8" w:space="0" w:color="auto"/>
        </w:tblBorders>
        <w:tblLayout w:type="fixed"/>
        <w:tblCellMar>
          <w:left w:w="0" w:type="dxa"/>
          <w:right w:w="0" w:type="dxa"/>
        </w:tblCellMar>
        <w:tblLook w:val="0000" w:firstRow="0" w:lastRow="0" w:firstColumn="0" w:lastColumn="0" w:noHBand="0" w:noVBand="0"/>
      </w:tblPr>
      <w:tblGrid>
        <w:gridCol w:w="3110"/>
        <w:gridCol w:w="6170"/>
      </w:tblGrid>
      <w:tr w:rsidR="00B91833" w:rsidRPr="004F1560" w14:paraId="46E0A18F" w14:textId="77777777" w:rsidTr="00D638A7">
        <w:trPr>
          <w:cantSplit/>
          <w:trHeight w:val="20"/>
        </w:trPr>
        <w:tc>
          <w:tcPr>
            <w:tcW w:w="3110" w:type="dxa"/>
            <w:tcBorders>
              <w:top w:val="nil"/>
              <w:bottom w:val="single" w:sz="18" w:space="0" w:color="auto"/>
            </w:tcBorders>
            <w:shd w:val="clear" w:color="auto" w:fill="auto"/>
          </w:tcPr>
          <w:p w14:paraId="37E130B2" w14:textId="77777777" w:rsidR="00B91833" w:rsidRPr="004F1560" w:rsidRDefault="00B91833" w:rsidP="00D638A7">
            <w:pPr>
              <w:spacing w:line="276" w:lineRule="auto"/>
              <w:ind w:left="120"/>
              <w:rPr>
                <w:rFonts w:ascii="Cambria" w:eastAsia="Arial" w:hAnsi="Cambria"/>
                <w:b/>
                <w:bCs/>
              </w:rPr>
            </w:pPr>
            <w:r>
              <w:rPr>
                <w:rFonts w:ascii="Cambria" w:eastAsia="Arial" w:hAnsi="Cambria"/>
                <w:b/>
                <w:bCs/>
              </w:rPr>
              <w:t>Model</w:t>
            </w:r>
          </w:p>
        </w:tc>
        <w:tc>
          <w:tcPr>
            <w:tcW w:w="6170" w:type="dxa"/>
            <w:tcBorders>
              <w:top w:val="nil"/>
              <w:bottom w:val="single" w:sz="18" w:space="0" w:color="auto"/>
            </w:tcBorders>
            <w:shd w:val="clear" w:color="auto" w:fill="auto"/>
          </w:tcPr>
          <w:p w14:paraId="5515F83A" w14:textId="77777777" w:rsidR="00B91833" w:rsidRPr="004F1560" w:rsidRDefault="00B91833" w:rsidP="00D638A7">
            <w:pPr>
              <w:spacing w:line="276" w:lineRule="auto"/>
              <w:ind w:left="100"/>
              <w:rPr>
                <w:rFonts w:ascii="Cambria" w:eastAsia="Arial" w:hAnsi="Cambria"/>
                <w:b/>
                <w:bCs/>
              </w:rPr>
            </w:pPr>
            <w:r w:rsidRPr="004F1560">
              <w:rPr>
                <w:rFonts w:ascii="Cambria" w:eastAsia="Arial" w:hAnsi="Cambria"/>
                <w:b/>
                <w:bCs/>
              </w:rPr>
              <w:t>Description</w:t>
            </w:r>
            <w:r>
              <w:rPr>
                <w:rFonts w:ascii="Cambria" w:eastAsia="Arial" w:hAnsi="Cambria"/>
                <w:b/>
                <w:bCs/>
              </w:rPr>
              <w:t xml:space="preserve"> and justification</w:t>
            </w:r>
          </w:p>
        </w:tc>
      </w:tr>
      <w:tr w:rsidR="006A3EF2" w:rsidRPr="00F25E8A" w14:paraId="2E83CE81" w14:textId="77777777" w:rsidTr="00AA42F8">
        <w:trPr>
          <w:cantSplit/>
          <w:trHeight w:val="20"/>
        </w:trPr>
        <w:tc>
          <w:tcPr>
            <w:tcW w:w="3110" w:type="dxa"/>
            <w:shd w:val="clear" w:color="auto" w:fill="auto"/>
          </w:tcPr>
          <w:p w14:paraId="1D2DF7B3" w14:textId="4A76499D" w:rsidR="006A3EF2" w:rsidRDefault="006A3EF2" w:rsidP="00B03CAD">
            <w:pPr>
              <w:spacing w:line="276" w:lineRule="auto"/>
              <w:rPr>
                <w:rFonts w:ascii="Cambria" w:eastAsia="Arial" w:hAnsi="Cambria"/>
              </w:rPr>
            </w:pPr>
            <w:r w:rsidRPr="00F25E8A">
              <w:rPr>
                <w:rFonts w:ascii="Cambria" w:eastAsia="Arial" w:hAnsi="Cambria"/>
              </w:rPr>
              <w:t>Jun</w:t>
            </w:r>
            <w:r>
              <w:rPr>
                <w:rFonts w:ascii="Cambria" w:eastAsia="Arial" w:hAnsi="Cambria"/>
              </w:rPr>
              <w:t>–</w:t>
            </w:r>
            <w:r w:rsidRPr="00F25E8A">
              <w:rPr>
                <w:rFonts w:ascii="Cambria" w:eastAsia="Arial" w:hAnsi="Cambria"/>
              </w:rPr>
              <w:t xml:space="preserve">Jul </w:t>
            </w:r>
            <w:r>
              <w:rPr>
                <w:rFonts w:ascii="Cambria" w:eastAsia="Arial" w:hAnsi="Cambria"/>
              </w:rPr>
              <w:t xml:space="preserve">and Apr-Mar </w:t>
            </w:r>
            <w:r w:rsidR="00B03CAD">
              <w:rPr>
                <w:rFonts w:ascii="Cambria" w:eastAsia="Arial" w:hAnsi="Cambria"/>
              </w:rPr>
              <w:t xml:space="preserve">ocean </w:t>
            </w:r>
            <w:r>
              <w:rPr>
                <w:rFonts w:ascii="Cambria" w:eastAsia="Arial" w:hAnsi="Cambria"/>
              </w:rPr>
              <w:t>precipitation</w:t>
            </w:r>
          </w:p>
          <w:p w14:paraId="32A2D8A5" w14:textId="0ACFCF1B" w:rsidR="00B03CAD" w:rsidRPr="00B03CAD" w:rsidRDefault="002D6D7C" w:rsidP="00B03CAD">
            <w:pPr>
              <w:spacing w:line="276" w:lineRule="auto"/>
              <w:rPr>
                <w:rFonts w:ascii="Cambria" w:eastAsia="Arial" w:hAnsi="Cambria"/>
              </w:rPr>
            </w:pPr>
            <w:r>
              <w:rPr>
                <w:rFonts w:ascii="Cambria" w:eastAsia="Arial" w:hAnsi="Cambria"/>
              </w:rPr>
              <w:t xml:space="preserve">  </w:t>
            </w:r>
            <w:r w:rsidR="00164EFB">
              <w:rPr>
                <w:rFonts w:ascii="Cambria" w:eastAsia="Arial" w:hAnsi="Cambria"/>
              </w:rPr>
              <w:t>AF</w:t>
            </w:r>
            <w:r w:rsidR="00B03CAD">
              <w:rPr>
                <w:rFonts w:ascii="Cambria" w:eastAsia="Arial" w:hAnsi="Cambria"/>
              </w:rPr>
              <w:t xml:space="preserve">: </w:t>
            </w:r>
            <w:r w:rsidR="00B03CAD" w:rsidRPr="00F25E8A">
              <w:rPr>
                <w:rFonts w:ascii="Cambria" w:eastAsia="Arial" w:hAnsi="Cambria"/>
                <w:i/>
              </w:rPr>
              <w:t>S</w:t>
            </w:r>
            <w:r w:rsidR="00B03CAD" w:rsidRPr="00F25E8A">
              <w:rPr>
                <w:rFonts w:ascii="Cambria" w:eastAsia="Arial" w:hAnsi="Cambria"/>
                <w:i/>
                <w:vertAlign w:val="subscript"/>
              </w:rPr>
              <w:t>t</w:t>
            </w:r>
          </w:p>
        </w:tc>
        <w:tc>
          <w:tcPr>
            <w:tcW w:w="6170" w:type="dxa"/>
            <w:shd w:val="clear" w:color="auto" w:fill="auto"/>
          </w:tcPr>
          <w:p w14:paraId="2C5E08C9" w14:textId="51E7A7F5" w:rsidR="006A3EF2" w:rsidRPr="00F25E8A" w:rsidRDefault="00804BF8" w:rsidP="00D638A7">
            <w:pPr>
              <w:spacing w:line="276" w:lineRule="auto"/>
              <w:ind w:left="100"/>
              <w:rPr>
                <w:rFonts w:ascii="Cambria" w:eastAsia="Arial" w:hAnsi="Cambria"/>
              </w:rPr>
            </w:pPr>
            <w:r>
              <w:rPr>
                <w:rFonts w:ascii="Cambria" w:eastAsia="Arial" w:hAnsi="Cambria"/>
              </w:rPr>
              <w:t>P</w:t>
            </w:r>
            <w:r w:rsidR="006A3EF2" w:rsidRPr="00F25E8A">
              <w:rPr>
                <w:rFonts w:ascii="Cambria" w:eastAsia="Arial" w:hAnsi="Cambria"/>
              </w:rPr>
              <w:t xml:space="preserve">recipitation </w:t>
            </w:r>
            <w:r w:rsidR="006A3EF2">
              <w:rPr>
                <w:rFonts w:ascii="Cambria" w:eastAsia="Arial" w:hAnsi="Cambria"/>
              </w:rPr>
              <w:t xml:space="preserve">over the ocean </w:t>
            </w:r>
            <w:r w:rsidR="00820BAB">
              <w:rPr>
                <w:rFonts w:ascii="Cambria" w:eastAsia="Arial" w:hAnsi="Cambria"/>
              </w:rPr>
              <w:t xml:space="preserve">may </w:t>
            </w:r>
            <w:r w:rsidR="006A3EF2" w:rsidRPr="00F25E8A">
              <w:rPr>
                <w:rFonts w:ascii="Cambria" w:eastAsia="Arial" w:hAnsi="Cambria"/>
              </w:rPr>
              <w:t>directly or indirectly</w:t>
            </w:r>
            <w:r w:rsidR="006A3EF2" w:rsidRPr="00F25E8A">
              <w:rPr>
                <w:rFonts w:ascii="Cambria" w:eastAsia="Arial" w:hAnsi="Cambria"/>
                <w:w w:val="98"/>
              </w:rPr>
              <w:t xml:space="preserve"> </w:t>
            </w:r>
            <w:r w:rsidR="006A3EF2">
              <w:rPr>
                <w:rFonts w:ascii="Cambria" w:eastAsia="Arial" w:hAnsi="Cambria"/>
                <w:w w:val="98"/>
              </w:rPr>
              <w:t>prompt spawning</w:t>
            </w:r>
            <w:r w:rsidR="006A3EF2" w:rsidRPr="00F25E8A">
              <w:rPr>
                <w:rFonts w:ascii="Cambria" w:eastAsia="Arial" w:hAnsi="Cambria"/>
                <w:w w:val="98"/>
              </w:rPr>
              <w:t>, after which spent adults</w:t>
            </w:r>
            <w:r w:rsidR="006A3EF2" w:rsidRPr="00F25E8A">
              <w:rPr>
                <w:rFonts w:ascii="Cambria" w:eastAsia="Arial" w:hAnsi="Cambria"/>
              </w:rPr>
              <w:t xml:space="preserve"> migrate inshore </w:t>
            </w:r>
            <w:r w:rsidR="006A3EF2">
              <w:rPr>
                <w:rFonts w:ascii="Cambria" w:eastAsia="Arial" w:hAnsi="Cambria"/>
              </w:rPr>
              <w:t>and are exposed to</w:t>
            </w:r>
            <w:r w:rsidR="006A3EF2" w:rsidRPr="00F25E8A">
              <w:rPr>
                <w:rFonts w:ascii="Cambria" w:eastAsia="Arial" w:hAnsi="Cambria"/>
              </w:rPr>
              <w:t xml:space="preserve"> the </w:t>
            </w:r>
            <w:r w:rsidR="00164EFB">
              <w:rPr>
                <w:rFonts w:ascii="Cambria" w:eastAsia="Arial" w:hAnsi="Cambria"/>
              </w:rPr>
              <w:t xml:space="preserve">nearshore </w:t>
            </w:r>
            <w:r w:rsidR="006A3EF2" w:rsidRPr="00F25E8A">
              <w:rPr>
                <w:rFonts w:ascii="Cambria" w:eastAsia="Arial" w:hAnsi="Cambria"/>
              </w:rPr>
              <w:t>fishery</w:t>
            </w:r>
            <w:r w:rsidR="006A3EF2">
              <w:rPr>
                <w:rFonts w:ascii="Cambria" w:eastAsia="Arial" w:hAnsi="Cambria"/>
              </w:rPr>
              <w:t xml:space="preserve">. </w:t>
            </w:r>
          </w:p>
        </w:tc>
      </w:tr>
      <w:tr w:rsidR="006A3EF2" w:rsidRPr="00F25E8A" w14:paraId="43B7BE38" w14:textId="77777777" w:rsidTr="00D638A7">
        <w:trPr>
          <w:cantSplit/>
          <w:trHeight w:val="20"/>
        </w:trPr>
        <w:tc>
          <w:tcPr>
            <w:tcW w:w="3110" w:type="dxa"/>
            <w:shd w:val="clear" w:color="auto" w:fill="auto"/>
          </w:tcPr>
          <w:p w14:paraId="68397C4A" w14:textId="26C5FE25" w:rsidR="00B03CAD" w:rsidRDefault="00B03CAD" w:rsidP="006A3EF2">
            <w:pPr>
              <w:spacing w:line="276" w:lineRule="auto"/>
              <w:rPr>
                <w:rFonts w:ascii="Cambria" w:eastAsia="Arial" w:hAnsi="Cambria"/>
              </w:rPr>
            </w:pPr>
            <w:r>
              <w:rPr>
                <w:rFonts w:ascii="Cambria" w:eastAsia="Arial" w:hAnsi="Cambria"/>
              </w:rPr>
              <w:t>Jun–Jul land precipitation</w:t>
            </w:r>
            <w:r w:rsidRPr="00F25E8A">
              <w:rPr>
                <w:rFonts w:ascii="Cambria" w:eastAsia="Arial" w:hAnsi="Cambria"/>
              </w:rPr>
              <w:t xml:space="preserve"> </w:t>
            </w:r>
          </w:p>
          <w:p w14:paraId="467D2FA0" w14:textId="532580DA" w:rsidR="00B03CAD" w:rsidRDefault="002D6D7C" w:rsidP="006A3EF2">
            <w:pPr>
              <w:spacing w:line="276" w:lineRule="auto"/>
              <w:rPr>
                <w:rFonts w:ascii="Cambria" w:eastAsia="Arial" w:hAnsi="Cambria"/>
              </w:rPr>
            </w:pPr>
            <w:r>
              <w:rPr>
                <w:rFonts w:ascii="Cambria" w:eastAsia="Arial" w:hAnsi="Cambria"/>
              </w:rPr>
              <w:t xml:space="preserve"> </w:t>
            </w:r>
            <w:r w:rsidR="00164EFB">
              <w:rPr>
                <w:rFonts w:ascii="Cambria" w:eastAsia="Arial" w:hAnsi="Cambria"/>
              </w:rPr>
              <w:t xml:space="preserve"> AF</w:t>
            </w:r>
            <w:r w:rsidR="006A3EF2">
              <w:rPr>
                <w:rFonts w:ascii="Cambria" w:eastAsia="Arial" w:hAnsi="Cambria"/>
              </w:rPr>
              <w:t xml:space="preserve">: </w:t>
            </w:r>
            <w:r w:rsidR="006A3EF2" w:rsidRPr="00F25E8A">
              <w:rPr>
                <w:rFonts w:ascii="Cambria" w:eastAsia="Arial" w:hAnsi="Cambria"/>
                <w:i/>
              </w:rPr>
              <w:t>S</w:t>
            </w:r>
            <w:r w:rsidR="006A3EF2" w:rsidRPr="00F25E8A">
              <w:rPr>
                <w:rFonts w:ascii="Cambria" w:eastAsia="Arial" w:hAnsi="Cambria"/>
                <w:i/>
                <w:vertAlign w:val="subscript"/>
              </w:rPr>
              <w:t>t</w:t>
            </w:r>
          </w:p>
          <w:p w14:paraId="1195E948" w14:textId="47464C5D" w:rsidR="006A3EF2" w:rsidRPr="00B03CAD" w:rsidRDefault="002D6D7C" w:rsidP="006A3EF2">
            <w:pPr>
              <w:spacing w:line="276" w:lineRule="auto"/>
              <w:rPr>
                <w:rFonts w:ascii="Cambria" w:eastAsia="Arial" w:hAnsi="Cambria"/>
                <w:i/>
              </w:rPr>
            </w:pPr>
            <w:r>
              <w:rPr>
                <w:rFonts w:ascii="Cambria" w:eastAsia="Arial" w:hAnsi="Cambria"/>
              </w:rPr>
              <w:t xml:space="preserve">  </w:t>
            </w:r>
            <w:r w:rsidR="00B03CAD">
              <w:rPr>
                <w:rFonts w:ascii="Cambria" w:eastAsia="Arial" w:hAnsi="Cambria"/>
              </w:rPr>
              <w:t>GS:</w:t>
            </w:r>
            <w:r w:rsidR="00B03CAD">
              <w:rPr>
                <w:rFonts w:ascii="Cambria" w:eastAsia="Arial" w:hAnsi="Cambria"/>
                <w:i/>
              </w:rPr>
              <w:t xml:space="preserve"> </w:t>
            </w:r>
            <w:proofErr w:type="spellStart"/>
            <w:r w:rsidR="000609CA">
              <w:rPr>
                <w:rFonts w:ascii="Cambria" w:eastAsia="Arial" w:hAnsi="Cambria"/>
                <w:i/>
              </w:rPr>
              <w:t>W</w:t>
            </w:r>
            <w:r w:rsidR="000609CA" w:rsidRPr="00F25E8A">
              <w:rPr>
                <w:rFonts w:ascii="Cambria" w:eastAsia="Arial" w:hAnsi="Cambria"/>
                <w:i/>
                <w:vertAlign w:val="subscript"/>
              </w:rPr>
              <w:t>t</w:t>
            </w:r>
            <w:proofErr w:type="spellEnd"/>
            <w:r w:rsidR="00B03CAD">
              <w:rPr>
                <w:rFonts w:ascii="Cambria" w:eastAsia="Arial" w:hAnsi="Cambria"/>
                <w:i/>
              </w:rPr>
              <w:t xml:space="preserve">, </w:t>
            </w:r>
            <w:r w:rsidR="000609CA">
              <w:rPr>
                <w:rFonts w:ascii="Cambria" w:eastAsia="Arial" w:hAnsi="Cambria"/>
                <w:i/>
              </w:rPr>
              <w:t>W</w:t>
            </w:r>
            <w:r w:rsidR="000609CA" w:rsidRPr="00F25E8A">
              <w:rPr>
                <w:rFonts w:ascii="Cambria" w:eastAsia="Arial" w:hAnsi="Cambria"/>
                <w:i/>
                <w:vertAlign w:val="subscript"/>
              </w:rPr>
              <w:t>t</w:t>
            </w:r>
            <w:r w:rsidR="00B03CAD">
              <w:rPr>
                <w:rFonts w:ascii="Cambria" w:eastAsia="Arial" w:hAnsi="Cambria"/>
                <w:i/>
                <w:vertAlign w:val="subscript"/>
              </w:rPr>
              <w:t>+1</w:t>
            </w:r>
            <w:r w:rsidR="00B03CAD">
              <w:rPr>
                <w:rFonts w:ascii="Cambria" w:eastAsia="Arial" w:hAnsi="Cambria"/>
                <w:i/>
              </w:rPr>
              <w:t>,</w:t>
            </w:r>
            <w:r w:rsidR="00B03CAD" w:rsidRPr="00F25E8A">
              <w:rPr>
                <w:rFonts w:ascii="Cambria" w:eastAsia="Arial" w:hAnsi="Cambria"/>
                <w:i/>
              </w:rPr>
              <w:t xml:space="preserve"> </w:t>
            </w:r>
            <w:r w:rsidR="00B03CAD">
              <w:rPr>
                <w:rFonts w:ascii="Cambria" w:eastAsia="Arial" w:hAnsi="Cambria"/>
                <w:i/>
              </w:rPr>
              <w:t>S</w:t>
            </w:r>
            <w:r w:rsidR="00B03CAD" w:rsidRPr="00F25E8A">
              <w:rPr>
                <w:rFonts w:ascii="Cambria" w:eastAsia="Arial" w:hAnsi="Cambria"/>
                <w:i/>
                <w:vertAlign w:val="subscript"/>
              </w:rPr>
              <w:t>t</w:t>
            </w:r>
            <w:r w:rsidR="00B03CAD">
              <w:rPr>
                <w:rFonts w:ascii="Cambria" w:eastAsia="Arial" w:hAnsi="Cambria"/>
                <w:i/>
                <w:vertAlign w:val="subscript"/>
              </w:rPr>
              <w:t>+1</w:t>
            </w:r>
          </w:p>
        </w:tc>
        <w:tc>
          <w:tcPr>
            <w:tcW w:w="6170" w:type="dxa"/>
            <w:shd w:val="clear" w:color="auto" w:fill="auto"/>
          </w:tcPr>
          <w:p w14:paraId="3F232E65" w14:textId="07348116" w:rsidR="006A3EF2" w:rsidRPr="00F25E8A" w:rsidRDefault="006A3EF2" w:rsidP="00D638A7">
            <w:pPr>
              <w:spacing w:line="276" w:lineRule="auto"/>
              <w:ind w:left="100"/>
              <w:rPr>
                <w:rFonts w:ascii="Cambria" w:eastAsia="Arial" w:hAnsi="Cambria"/>
              </w:rPr>
            </w:pPr>
            <w:r>
              <w:rPr>
                <w:rFonts w:ascii="Cambria" w:eastAsia="Arial" w:hAnsi="Cambria"/>
              </w:rPr>
              <w:t>Summer monsoon precipitation</w:t>
            </w:r>
            <w:r w:rsidRPr="00F25E8A">
              <w:rPr>
                <w:rFonts w:ascii="Cambria" w:eastAsia="Arial" w:hAnsi="Cambria"/>
              </w:rPr>
              <w:t xml:space="preserve"> </w:t>
            </w:r>
            <w:r w:rsidR="00B03CAD">
              <w:rPr>
                <w:rFonts w:ascii="Cambria" w:eastAsia="Arial" w:hAnsi="Cambria"/>
              </w:rPr>
              <w:t xml:space="preserve">over land </w:t>
            </w:r>
            <w:r>
              <w:rPr>
                <w:rFonts w:ascii="Cambria" w:eastAsia="Arial" w:hAnsi="Cambria"/>
              </w:rPr>
              <w:t>leads to high nutrient input from river discharge</w:t>
            </w:r>
            <w:r w:rsidR="00AA42F8">
              <w:rPr>
                <w:rFonts w:ascii="Cambria" w:eastAsia="Arial" w:hAnsi="Cambria"/>
              </w:rPr>
              <w:t>. At high levels, this leads to eutrophication and anoxia, which drives adults off-shore away from the fishery</w:t>
            </w:r>
            <w:r w:rsidR="00B03CAD">
              <w:rPr>
                <w:rFonts w:ascii="Cambria" w:eastAsia="Arial" w:hAnsi="Cambria"/>
              </w:rPr>
              <w:t>. A</w:t>
            </w:r>
            <w:r w:rsidR="00AA42F8">
              <w:rPr>
                <w:rFonts w:ascii="Cambria" w:eastAsia="Arial" w:hAnsi="Cambria"/>
              </w:rPr>
              <w:t>t moderate levels</w:t>
            </w:r>
            <w:r w:rsidR="00B03CAD">
              <w:rPr>
                <w:rFonts w:ascii="Cambria" w:eastAsia="Arial" w:hAnsi="Cambria"/>
              </w:rPr>
              <w:t>, this</w:t>
            </w:r>
            <w:r w:rsidR="00AA42F8">
              <w:rPr>
                <w:rFonts w:ascii="Cambria" w:eastAsia="Arial" w:hAnsi="Cambria"/>
              </w:rPr>
              <w:t xml:space="preserve"> supports nearshore</w:t>
            </w:r>
            <w:r>
              <w:rPr>
                <w:rFonts w:ascii="Cambria" w:eastAsia="Arial" w:hAnsi="Cambria"/>
              </w:rPr>
              <w:t xml:space="preserve"> productivity.</w:t>
            </w:r>
          </w:p>
        </w:tc>
      </w:tr>
      <w:tr w:rsidR="006A3EF2" w:rsidRPr="00F25E8A" w14:paraId="34D6D7F7" w14:textId="77777777" w:rsidTr="00D638A7">
        <w:trPr>
          <w:cantSplit/>
          <w:trHeight w:val="20"/>
        </w:trPr>
        <w:tc>
          <w:tcPr>
            <w:tcW w:w="3110" w:type="dxa"/>
            <w:shd w:val="clear" w:color="auto" w:fill="auto"/>
          </w:tcPr>
          <w:p w14:paraId="1CA0D0C3" w14:textId="46FDC76D" w:rsidR="006A3EF2" w:rsidRDefault="006A3EF2" w:rsidP="00CA5105">
            <w:pPr>
              <w:spacing w:line="276" w:lineRule="auto"/>
              <w:rPr>
                <w:rFonts w:ascii="Cambria" w:eastAsia="Arial" w:hAnsi="Cambria"/>
              </w:rPr>
            </w:pPr>
            <w:r w:rsidRPr="00F25E8A">
              <w:rPr>
                <w:rFonts w:ascii="Cambria" w:eastAsia="Arial" w:hAnsi="Cambria"/>
              </w:rPr>
              <w:t>Apr</w:t>
            </w:r>
            <w:r>
              <w:rPr>
                <w:rFonts w:ascii="Cambria" w:eastAsia="Arial" w:hAnsi="Cambria"/>
              </w:rPr>
              <w:t>–</w:t>
            </w:r>
            <w:r w:rsidRPr="00F25E8A">
              <w:rPr>
                <w:rFonts w:ascii="Cambria" w:eastAsia="Arial" w:hAnsi="Cambria"/>
              </w:rPr>
              <w:t xml:space="preserve">Mar </w:t>
            </w:r>
            <w:r w:rsidR="00B03CAD">
              <w:rPr>
                <w:rFonts w:ascii="Cambria" w:eastAsia="Arial" w:hAnsi="Cambria"/>
              </w:rPr>
              <w:t xml:space="preserve">ocean </w:t>
            </w:r>
            <w:r w:rsidRPr="00F25E8A">
              <w:rPr>
                <w:rFonts w:ascii="Cambria" w:eastAsia="Arial" w:hAnsi="Cambria"/>
              </w:rPr>
              <w:t>precipitation</w:t>
            </w:r>
          </w:p>
          <w:p w14:paraId="7B0948E6" w14:textId="61C73637" w:rsidR="00B03CAD" w:rsidRPr="00F25E8A" w:rsidRDefault="002D6D7C" w:rsidP="00CA5105">
            <w:pPr>
              <w:spacing w:line="276" w:lineRule="auto"/>
              <w:rPr>
                <w:rFonts w:ascii="Cambria" w:eastAsia="Arial" w:hAnsi="Cambria"/>
              </w:rPr>
            </w:pPr>
            <w:r>
              <w:rPr>
                <w:rFonts w:ascii="Cambria" w:eastAsia="Arial" w:hAnsi="Cambria"/>
              </w:rPr>
              <w:t xml:space="preserve">  </w:t>
            </w:r>
            <w:r w:rsidR="00B03CAD" w:rsidRPr="00F25E8A">
              <w:rPr>
                <w:rFonts w:ascii="Cambria" w:eastAsia="Arial" w:hAnsi="Cambria"/>
              </w:rPr>
              <w:t>S</w:t>
            </w:r>
            <w:r w:rsidR="00B03CAD">
              <w:rPr>
                <w:rFonts w:ascii="Cambria" w:eastAsia="Arial" w:hAnsi="Cambria"/>
              </w:rPr>
              <w:t xml:space="preserve">S: </w:t>
            </w:r>
            <w:proofErr w:type="spellStart"/>
            <w:r w:rsidR="000609CA">
              <w:rPr>
                <w:rFonts w:ascii="Cambria" w:eastAsia="Arial" w:hAnsi="Cambria"/>
                <w:i/>
              </w:rPr>
              <w:t>W</w:t>
            </w:r>
            <w:r w:rsidR="000609CA" w:rsidRPr="00F25E8A">
              <w:rPr>
                <w:rFonts w:ascii="Cambria" w:eastAsia="Arial" w:hAnsi="Cambria"/>
                <w:i/>
                <w:vertAlign w:val="subscript"/>
              </w:rPr>
              <w:t>t</w:t>
            </w:r>
            <w:proofErr w:type="spellEnd"/>
            <w:r w:rsidR="00B03CAD">
              <w:rPr>
                <w:rFonts w:ascii="Cambria" w:eastAsia="Arial" w:hAnsi="Cambria"/>
                <w:i/>
              </w:rPr>
              <w:t xml:space="preserve">, </w:t>
            </w:r>
            <w:r w:rsidR="000609CA">
              <w:rPr>
                <w:rFonts w:ascii="Cambria" w:eastAsia="Arial" w:hAnsi="Cambria"/>
                <w:i/>
              </w:rPr>
              <w:t>W</w:t>
            </w:r>
            <w:r w:rsidR="000609CA" w:rsidRPr="00F25E8A">
              <w:rPr>
                <w:rFonts w:ascii="Cambria" w:eastAsia="Arial" w:hAnsi="Cambria"/>
                <w:i/>
                <w:vertAlign w:val="subscript"/>
              </w:rPr>
              <w:t>t</w:t>
            </w:r>
            <w:r w:rsidR="00B03CAD">
              <w:rPr>
                <w:rFonts w:ascii="Cambria" w:eastAsia="Arial" w:hAnsi="Cambria"/>
                <w:i/>
                <w:vertAlign w:val="subscript"/>
              </w:rPr>
              <w:t>+1</w:t>
            </w:r>
            <w:r w:rsidR="00B03CAD">
              <w:rPr>
                <w:rFonts w:ascii="Cambria" w:eastAsia="Arial" w:hAnsi="Cambria"/>
                <w:i/>
              </w:rPr>
              <w:t>,</w:t>
            </w:r>
            <w:r w:rsidR="00B03CAD" w:rsidRPr="00F25E8A">
              <w:rPr>
                <w:rFonts w:ascii="Cambria" w:eastAsia="Arial" w:hAnsi="Cambria"/>
                <w:i/>
              </w:rPr>
              <w:t xml:space="preserve"> </w:t>
            </w:r>
            <w:r w:rsidR="00B03CAD">
              <w:rPr>
                <w:rFonts w:ascii="Cambria" w:eastAsia="Arial" w:hAnsi="Cambria"/>
                <w:i/>
              </w:rPr>
              <w:t>S</w:t>
            </w:r>
            <w:r w:rsidR="00B03CAD" w:rsidRPr="00F25E8A">
              <w:rPr>
                <w:rFonts w:ascii="Cambria" w:eastAsia="Arial" w:hAnsi="Cambria"/>
                <w:i/>
                <w:vertAlign w:val="subscript"/>
              </w:rPr>
              <w:t>t</w:t>
            </w:r>
            <w:r w:rsidR="00B03CAD">
              <w:rPr>
                <w:rFonts w:ascii="Cambria" w:eastAsia="Arial" w:hAnsi="Cambria"/>
                <w:i/>
                <w:vertAlign w:val="subscript"/>
              </w:rPr>
              <w:t>+1</w:t>
            </w:r>
          </w:p>
        </w:tc>
        <w:tc>
          <w:tcPr>
            <w:tcW w:w="6170" w:type="dxa"/>
            <w:shd w:val="clear" w:color="auto" w:fill="auto"/>
          </w:tcPr>
          <w:p w14:paraId="2E3EA89A" w14:textId="7C3357B2" w:rsidR="006A3EF2" w:rsidRPr="00F25E8A" w:rsidRDefault="006A3EF2" w:rsidP="00D638A7">
            <w:pPr>
              <w:spacing w:line="276" w:lineRule="auto"/>
              <w:ind w:left="100"/>
              <w:rPr>
                <w:rFonts w:ascii="Cambria" w:eastAsia="Arial" w:hAnsi="Cambria"/>
              </w:rPr>
            </w:pPr>
            <w:r>
              <w:rPr>
                <w:rFonts w:ascii="Cambria" w:eastAsia="Arial" w:hAnsi="Cambria"/>
              </w:rPr>
              <w:t>Spring p</w:t>
            </w:r>
            <w:r w:rsidRPr="00F25E8A">
              <w:rPr>
                <w:rFonts w:ascii="Cambria" w:eastAsia="Arial" w:hAnsi="Cambria"/>
              </w:rPr>
              <w:t>recipitation is an indicator of climatic conditions during</w:t>
            </w:r>
            <w:r w:rsidRPr="00F25E8A">
              <w:rPr>
                <w:rFonts w:ascii="Cambria" w:eastAsia="Arial" w:hAnsi="Cambria"/>
                <w:w w:val="99"/>
              </w:rPr>
              <w:t xml:space="preserve"> egg development</w:t>
            </w:r>
            <w:r>
              <w:rPr>
                <w:rFonts w:ascii="Cambria" w:eastAsia="Arial" w:hAnsi="Cambria"/>
                <w:w w:val="99"/>
              </w:rPr>
              <w:t>, which</w:t>
            </w:r>
            <w:r w:rsidRPr="00F25E8A">
              <w:rPr>
                <w:rFonts w:ascii="Cambria" w:eastAsia="Arial" w:hAnsi="Cambria"/>
                <w:w w:val="99"/>
              </w:rPr>
              <w:t xml:space="preserve"> aﬀect</w:t>
            </w:r>
            <w:r>
              <w:rPr>
                <w:rFonts w:ascii="Cambria" w:eastAsia="Arial" w:hAnsi="Cambria"/>
                <w:w w:val="99"/>
              </w:rPr>
              <w:t xml:space="preserve"> spawning </w:t>
            </w:r>
            <w:r w:rsidRPr="00F25E8A">
              <w:rPr>
                <w:rFonts w:ascii="Cambria" w:eastAsia="Arial" w:hAnsi="Cambria"/>
                <w:w w:val="99"/>
              </w:rPr>
              <w:t xml:space="preserve">success </w:t>
            </w:r>
            <w:r>
              <w:rPr>
                <w:rFonts w:ascii="Cambria" w:eastAsia="Arial" w:hAnsi="Cambria"/>
                <w:w w:val="99"/>
              </w:rPr>
              <w:t>and</w:t>
            </w:r>
            <w:r w:rsidRPr="00F25E8A">
              <w:rPr>
                <w:rFonts w:ascii="Cambria" w:eastAsia="Arial" w:hAnsi="Cambria"/>
              </w:rPr>
              <w:t xml:space="preserve"> thus the </w:t>
            </w:r>
            <w:r>
              <w:rPr>
                <w:rFonts w:ascii="Cambria" w:eastAsia="Arial" w:hAnsi="Cambria"/>
              </w:rPr>
              <w:t>cohort strength.</w:t>
            </w:r>
          </w:p>
        </w:tc>
      </w:tr>
      <w:tr w:rsidR="006A3EF2" w:rsidRPr="00F25E8A" w14:paraId="2E6B5FD4" w14:textId="77777777" w:rsidTr="00D638A7">
        <w:trPr>
          <w:cantSplit/>
          <w:trHeight w:val="20"/>
        </w:trPr>
        <w:tc>
          <w:tcPr>
            <w:tcW w:w="3110" w:type="dxa"/>
            <w:shd w:val="clear" w:color="auto" w:fill="auto"/>
          </w:tcPr>
          <w:p w14:paraId="3D2A1223" w14:textId="77777777" w:rsidR="006A3EF2" w:rsidRDefault="006A3EF2" w:rsidP="006A3EF2">
            <w:pPr>
              <w:spacing w:line="276" w:lineRule="auto"/>
              <w:rPr>
                <w:rFonts w:ascii="Cambria" w:eastAsia="Arial" w:hAnsi="Cambria"/>
              </w:rPr>
            </w:pPr>
            <w:r w:rsidRPr="00F25E8A">
              <w:rPr>
                <w:rFonts w:ascii="Cambria" w:eastAsia="Arial" w:hAnsi="Cambria"/>
              </w:rPr>
              <w:t>Jun</w:t>
            </w:r>
            <w:r>
              <w:rPr>
                <w:rFonts w:ascii="Cambria" w:eastAsia="Arial" w:hAnsi="Cambria"/>
              </w:rPr>
              <w:t>–</w:t>
            </w:r>
            <w:r w:rsidRPr="00F25E8A">
              <w:rPr>
                <w:rFonts w:ascii="Cambria" w:eastAsia="Arial" w:hAnsi="Cambria"/>
              </w:rPr>
              <w:t xml:space="preserve">Sep </w:t>
            </w:r>
            <w:r>
              <w:rPr>
                <w:rFonts w:ascii="Cambria" w:eastAsia="Arial" w:hAnsi="Cambria"/>
              </w:rPr>
              <w:t>upwelling</w:t>
            </w:r>
          </w:p>
          <w:p w14:paraId="50BD70B6" w14:textId="63817BB0" w:rsidR="00B03CAD" w:rsidRDefault="002D6D7C" w:rsidP="006A3EF2">
            <w:pPr>
              <w:spacing w:line="276" w:lineRule="auto"/>
              <w:rPr>
                <w:rFonts w:ascii="Cambria" w:eastAsia="Arial" w:hAnsi="Cambria"/>
              </w:rPr>
            </w:pPr>
            <w:r>
              <w:rPr>
                <w:rFonts w:ascii="Cambria" w:eastAsia="Arial" w:hAnsi="Cambria"/>
              </w:rPr>
              <w:t xml:space="preserve">  </w:t>
            </w:r>
            <w:r w:rsidR="00164EFB">
              <w:rPr>
                <w:rFonts w:ascii="Cambria" w:eastAsia="Arial" w:hAnsi="Cambria"/>
              </w:rPr>
              <w:t>AF</w:t>
            </w:r>
            <w:r w:rsidR="00B03CAD">
              <w:rPr>
                <w:rFonts w:ascii="Cambria" w:eastAsia="Arial" w:hAnsi="Cambria"/>
              </w:rPr>
              <w:t xml:space="preserve">: </w:t>
            </w:r>
            <w:r w:rsidR="00B03CAD" w:rsidRPr="00F25E8A">
              <w:rPr>
                <w:rFonts w:ascii="Cambria" w:eastAsia="Arial" w:hAnsi="Cambria"/>
                <w:i/>
              </w:rPr>
              <w:t>S</w:t>
            </w:r>
            <w:r w:rsidR="00B03CAD" w:rsidRPr="00F25E8A">
              <w:rPr>
                <w:rFonts w:ascii="Cambria" w:eastAsia="Arial" w:hAnsi="Cambria"/>
                <w:i/>
                <w:vertAlign w:val="subscript"/>
              </w:rPr>
              <w:t>t</w:t>
            </w:r>
          </w:p>
          <w:p w14:paraId="3DDDB4F9" w14:textId="35C927FD" w:rsidR="00B03CAD" w:rsidRDefault="002D6D7C" w:rsidP="006A3EF2">
            <w:pPr>
              <w:spacing w:line="276" w:lineRule="auto"/>
              <w:rPr>
                <w:rFonts w:ascii="Cambria" w:eastAsia="Arial" w:hAnsi="Cambria"/>
                <w:i/>
              </w:rPr>
            </w:pPr>
            <w:r>
              <w:rPr>
                <w:rFonts w:ascii="Cambria" w:eastAsia="Arial" w:hAnsi="Cambria"/>
              </w:rPr>
              <w:t xml:space="preserve">  </w:t>
            </w:r>
            <w:r w:rsidR="00B03CAD">
              <w:rPr>
                <w:rFonts w:ascii="Cambria" w:eastAsia="Arial" w:hAnsi="Cambria"/>
              </w:rPr>
              <w:t>GS+</w:t>
            </w:r>
            <w:r w:rsidR="00164EFB">
              <w:rPr>
                <w:rFonts w:ascii="Cambria" w:eastAsia="Arial" w:hAnsi="Cambria"/>
              </w:rPr>
              <w:t>AF</w:t>
            </w:r>
            <w:r w:rsidR="00B03CAD">
              <w:rPr>
                <w:rFonts w:ascii="Cambria" w:eastAsia="Arial" w:hAnsi="Cambria"/>
              </w:rPr>
              <w:t>:</w:t>
            </w:r>
            <w:r w:rsidR="00B03CAD">
              <w:rPr>
                <w:rFonts w:ascii="Cambria" w:eastAsia="Arial" w:hAnsi="Cambria"/>
                <w:i/>
              </w:rPr>
              <w:t xml:space="preserve"> </w:t>
            </w:r>
            <w:proofErr w:type="spellStart"/>
            <w:r w:rsidR="000609CA">
              <w:rPr>
                <w:rFonts w:ascii="Cambria" w:eastAsia="Arial" w:hAnsi="Cambria"/>
                <w:i/>
              </w:rPr>
              <w:t>W</w:t>
            </w:r>
            <w:r w:rsidR="000609CA" w:rsidRPr="00F25E8A">
              <w:rPr>
                <w:rFonts w:ascii="Cambria" w:eastAsia="Arial" w:hAnsi="Cambria"/>
                <w:i/>
                <w:vertAlign w:val="subscript"/>
              </w:rPr>
              <w:t>t</w:t>
            </w:r>
            <w:proofErr w:type="spellEnd"/>
          </w:p>
          <w:p w14:paraId="3127E52A" w14:textId="67A18EBB" w:rsidR="00B03CAD" w:rsidRPr="00F25E8A" w:rsidRDefault="002D6D7C" w:rsidP="006A3EF2">
            <w:pPr>
              <w:spacing w:line="276" w:lineRule="auto"/>
              <w:rPr>
                <w:rFonts w:ascii="Cambria" w:eastAsia="Arial" w:hAnsi="Cambria"/>
              </w:rPr>
            </w:pPr>
            <w:r>
              <w:rPr>
                <w:rFonts w:ascii="Cambria" w:eastAsia="Arial" w:hAnsi="Cambria"/>
                <w:iCs/>
              </w:rPr>
              <w:t xml:space="preserve">  </w:t>
            </w:r>
            <w:r w:rsidR="00B03CAD" w:rsidRPr="00B03CAD">
              <w:rPr>
                <w:rFonts w:ascii="Cambria" w:eastAsia="Arial" w:hAnsi="Cambria"/>
                <w:iCs/>
              </w:rPr>
              <w:t>GS:</w:t>
            </w:r>
            <w:r w:rsidR="00B03CAD">
              <w:rPr>
                <w:rFonts w:ascii="Cambria" w:eastAsia="Arial" w:hAnsi="Cambria"/>
                <w:i/>
              </w:rPr>
              <w:t xml:space="preserve"> </w:t>
            </w:r>
            <w:proofErr w:type="spellStart"/>
            <w:r w:rsidR="000609CA">
              <w:rPr>
                <w:rFonts w:ascii="Cambria" w:eastAsia="Arial" w:hAnsi="Cambria"/>
                <w:i/>
              </w:rPr>
              <w:t>W</w:t>
            </w:r>
            <w:r w:rsidR="000609CA" w:rsidRPr="00F25E8A">
              <w:rPr>
                <w:rFonts w:ascii="Cambria" w:eastAsia="Arial" w:hAnsi="Cambria"/>
                <w:i/>
                <w:vertAlign w:val="subscript"/>
              </w:rPr>
              <w:t>t</w:t>
            </w:r>
            <w:proofErr w:type="spellEnd"/>
            <w:r w:rsidR="006D021C">
              <w:rPr>
                <w:rFonts w:ascii="Cambria" w:eastAsia="Arial" w:hAnsi="Cambria"/>
                <w:i/>
              </w:rPr>
              <w:t xml:space="preserve">, </w:t>
            </w:r>
            <w:r w:rsidR="000609CA">
              <w:rPr>
                <w:rFonts w:ascii="Cambria" w:eastAsia="Arial" w:hAnsi="Cambria"/>
                <w:i/>
              </w:rPr>
              <w:t>W</w:t>
            </w:r>
            <w:r w:rsidR="000609CA" w:rsidRPr="00F25E8A">
              <w:rPr>
                <w:rFonts w:ascii="Cambria" w:eastAsia="Arial" w:hAnsi="Cambria"/>
                <w:i/>
                <w:vertAlign w:val="subscript"/>
              </w:rPr>
              <w:t>t</w:t>
            </w:r>
            <w:r w:rsidR="006D021C">
              <w:rPr>
                <w:rFonts w:ascii="Cambria" w:eastAsia="Arial" w:hAnsi="Cambria"/>
                <w:i/>
                <w:vertAlign w:val="subscript"/>
              </w:rPr>
              <w:t>+1</w:t>
            </w:r>
            <w:r w:rsidR="006D021C">
              <w:rPr>
                <w:rFonts w:ascii="Cambria" w:eastAsia="Arial" w:hAnsi="Cambria"/>
                <w:i/>
              </w:rPr>
              <w:t>,</w:t>
            </w:r>
            <w:r w:rsidR="006D021C" w:rsidRPr="00F25E8A">
              <w:rPr>
                <w:rFonts w:ascii="Cambria" w:eastAsia="Arial" w:hAnsi="Cambria"/>
                <w:i/>
              </w:rPr>
              <w:t xml:space="preserve"> </w:t>
            </w:r>
            <w:r w:rsidR="006D021C">
              <w:rPr>
                <w:rFonts w:ascii="Cambria" w:eastAsia="Arial" w:hAnsi="Cambria"/>
                <w:i/>
              </w:rPr>
              <w:t>S</w:t>
            </w:r>
            <w:r w:rsidR="006D021C" w:rsidRPr="00F25E8A">
              <w:rPr>
                <w:rFonts w:ascii="Cambria" w:eastAsia="Arial" w:hAnsi="Cambria"/>
                <w:i/>
                <w:vertAlign w:val="subscript"/>
              </w:rPr>
              <w:t>t</w:t>
            </w:r>
            <w:r w:rsidR="006D021C">
              <w:rPr>
                <w:rFonts w:ascii="Cambria" w:eastAsia="Arial" w:hAnsi="Cambria"/>
                <w:i/>
                <w:vertAlign w:val="subscript"/>
              </w:rPr>
              <w:t>+1</w:t>
            </w:r>
          </w:p>
        </w:tc>
        <w:tc>
          <w:tcPr>
            <w:tcW w:w="6170" w:type="dxa"/>
            <w:shd w:val="clear" w:color="auto" w:fill="auto"/>
          </w:tcPr>
          <w:p w14:paraId="628F4C34" w14:textId="249FB569" w:rsidR="006A3EF2" w:rsidRPr="00F25E8A" w:rsidRDefault="00820BAB" w:rsidP="00D638A7">
            <w:pPr>
              <w:spacing w:line="276" w:lineRule="auto"/>
              <w:ind w:left="100"/>
              <w:rPr>
                <w:rFonts w:ascii="Cambria" w:eastAsia="Arial" w:hAnsi="Cambria"/>
              </w:rPr>
            </w:pPr>
            <w:r>
              <w:rPr>
                <w:rFonts w:ascii="Cambria" w:eastAsia="Arial" w:hAnsi="Cambria"/>
              </w:rPr>
              <w:t>U</w:t>
            </w:r>
            <w:r w:rsidR="006A3EF2">
              <w:rPr>
                <w:rFonts w:ascii="Cambria" w:eastAsia="Arial" w:hAnsi="Cambria"/>
              </w:rPr>
              <w:t xml:space="preserve">pwelling </w:t>
            </w:r>
            <w:r w:rsidR="00096628">
              <w:rPr>
                <w:rFonts w:ascii="Cambria" w:eastAsia="Arial" w:hAnsi="Cambria"/>
              </w:rPr>
              <w:t>drives</w:t>
            </w:r>
            <w:r w:rsidR="00096628" w:rsidRPr="00F25E8A">
              <w:rPr>
                <w:rFonts w:ascii="Cambria" w:eastAsia="Arial" w:hAnsi="Cambria"/>
              </w:rPr>
              <w:t xml:space="preserve"> phytoplankton </w:t>
            </w:r>
            <w:r w:rsidR="007B7B73">
              <w:rPr>
                <w:rFonts w:ascii="Cambria" w:eastAsia="Arial" w:hAnsi="Cambria"/>
              </w:rPr>
              <w:t xml:space="preserve">blooms which </w:t>
            </w:r>
            <w:r w:rsidR="006A3EF2">
              <w:rPr>
                <w:rFonts w:ascii="Cambria" w:eastAsia="Arial" w:hAnsi="Cambria"/>
              </w:rPr>
              <w:t xml:space="preserve">bring fish closer to the coast </w:t>
            </w:r>
            <w:r w:rsidR="002D6D7C">
              <w:rPr>
                <w:rFonts w:ascii="Cambria" w:eastAsia="Arial" w:hAnsi="Cambria"/>
              </w:rPr>
              <w:t xml:space="preserve">(and the fishery) </w:t>
            </w:r>
            <w:r w:rsidR="00096628">
              <w:rPr>
                <w:rFonts w:ascii="Cambria" w:eastAsia="Arial" w:hAnsi="Cambria"/>
              </w:rPr>
              <w:t xml:space="preserve">and </w:t>
            </w:r>
            <w:r w:rsidR="007B7B73">
              <w:rPr>
                <w:rFonts w:ascii="Cambria" w:eastAsia="Arial" w:hAnsi="Cambria"/>
              </w:rPr>
              <w:t xml:space="preserve">which </w:t>
            </w:r>
            <w:r>
              <w:rPr>
                <w:rFonts w:ascii="Cambria" w:eastAsia="Arial" w:hAnsi="Cambria"/>
              </w:rPr>
              <w:t>promote</w:t>
            </w:r>
            <w:r w:rsidR="00096628" w:rsidRPr="00F25E8A">
              <w:rPr>
                <w:rFonts w:ascii="Cambria" w:eastAsia="Arial" w:hAnsi="Cambria"/>
              </w:rPr>
              <w:t xml:space="preserve"> larval and juvenile growth</w:t>
            </w:r>
            <w:r w:rsidR="00096628">
              <w:rPr>
                <w:rFonts w:ascii="Cambria" w:eastAsia="Arial" w:hAnsi="Cambria"/>
              </w:rPr>
              <w:t xml:space="preserve"> and survival. However</w:t>
            </w:r>
            <w:r w:rsidR="006A3EF2">
              <w:rPr>
                <w:rFonts w:ascii="Cambria" w:eastAsia="Arial" w:hAnsi="Cambria"/>
              </w:rPr>
              <w:t xml:space="preserve"> </w:t>
            </w:r>
            <w:r>
              <w:rPr>
                <w:rFonts w:ascii="Cambria" w:eastAsia="Arial" w:hAnsi="Cambria"/>
              </w:rPr>
              <w:t>extreme</w:t>
            </w:r>
            <w:r w:rsidR="006A3EF2" w:rsidRPr="00F25E8A">
              <w:rPr>
                <w:rFonts w:ascii="Cambria" w:eastAsia="Arial" w:hAnsi="Cambria"/>
              </w:rPr>
              <w:t xml:space="preserve"> </w:t>
            </w:r>
            <w:r w:rsidR="006A3EF2">
              <w:rPr>
                <w:rFonts w:ascii="Cambria" w:eastAsia="Arial" w:hAnsi="Cambria"/>
              </w:rPr>
              <w:t>upwelling</w:t>
            </w:r>
            <w:r w:rsidR="006A3EF2" w:rsidRPr="00F25E8A">
              <w:rPr>
                <w:rFonts w:ascii="Cambria" w:eastAsia="Arial" w:hAnsi="Cambria"/>
              </w:rPr>
              <w:t xml:space="preserve"> </w:t>
            </w:r>
            <w:r w:rsidR="006A3EF2">
              <w:rPr>
                <w:rFonts w:ascii="Cambria" w:eastAsia="Arial" w:hAnsi="Cambria"/>
              </w:rPr>
              <w:t>advects</w:t>
            </w:r>
            <w:r w:rsidR="006A3EF2" w:rsidRPr="00F25E8A">
              <w:rPr>
                <w:rFonts w:ascii="Cambria" w:eastAsia="Arial" w:hAnsi="Cambria"/>
              </w:rPr>
              <w:t xml:space="preserve"> phytoplankton biomass </w:t>
            </w:r>
            <w:r w:rsidR="006A3EF2">
              <w:rPr>
                <w:rFonts w:ascii="Cambria" w:eastAsia="Arial" w:hAnsi="Cambria"/>
              </w:rPr>
              <w:t>offshore and brings</w:t>
            </w:r>
            <w:r w:rsidR="006A3EF2" w:rsidRPr="00F25E8A">
              <w:rPr>
                <w:rFonts w:ascii="Cambria" w:eastAsia="Arial" w:hAnsi="Cambria"/>
              </w:rPr>
              <w:t xml:space="preserve"> hypoxic water to the surface</w:t>
            </w:r>
            <w:r w:rsidR="00096628">
              <w:rPr>
                <w:rFonts w:ascii="Cambria" w:eastAsia="Arial" w:hAnsi="Cambria"/>
              </w:rPr>
              <w:t>.</w:t>
            </w:r>
          </w:p>
        </w:tc>
      </w:tr>
      <w:tr w:rsidR="006A3EF2" w:rsidRPr="00F25E8A" w14:paraId="7FAE9B66" w14:textId="77777777" w:rsidTr="00D638A7">
        <w:trPr>
          <w:cantSplit/>
          <w:trHeight w:val="20"/>
        </w:trPr>
        <w:tc>
          <w:tcPr>
            <w:tcW w:w="3110" w:type="dxa"/>
            <w:shd w:val="clear" w:color="auto" w:fill="auto"/>
          </w:tcPr>
          <w:p w14:paraId="24F6B8DE" w14:textId="3BED7985" w:rsidR="006A3EF2" w:rsidRDefault="006A3EF2" w:rsidP="006A3EF2">
            <w:pPr>
              <w:spacing w:line="276" w:lineRule="auto"/>
              <w:rPr>
                <w:rFonts w:ascii="Cambria" w:eastAsia="Arial" w:hAnsi="Cambria"/>
              </w:rPr>
            </w:pPr>
            <w:r w:rsidRPr="00F25E8A">
              <w:rPr>
                <w:rFonts w:ascii="Cambria" w:eastAsia="Arial" w:hAnsi="Cambria"/>
              </w:rPr>
              <w:t>Mar</w:t>
            </w:r>
            <w:r>
              <w:rPr>
                <w:rFonts w:ascii="Cambria" w:eastAsia="Arial" w:hAnsi="Cambria"/>
              </w:rPr>
              <w:t>–</w:t>
            </w:r>
            <w:r w:rsidRPr="00F25E8A">
              <w:rPr>
                <w:rFonts w:ascii="Cambria" w:eastAsia="Arial" w:hAnsi="Cambria"/>
              </w:rPr>
              <w:t xml:space="preserve">May </w:t>
            </w:r>
            <w:r w:rsidR="00A64AF3">
              <w:rPr>
                <w:rFonts w:ascii="Cambria" w:eastAsia="Arial" w:hAnsi="Cambria"/>
              </w:rPr>
              <w:t>r-</w:t>
            </w:r>
            <w:r w:rsidRPr="00F25E8A">
              <w:rPr>
                <w:rFonts w:ascii="Cambria" w:eastAsia="Arial" w:hAnsi="Cambria"/>
              </w:rPr>
              <w:t>SST</w:t>
            </w:r>
          </w:p>
          <w:p w14:paraId="15C12F6E" w14:textId="0A2BA48A" w:rsidR="00B03CAD" w:rsidRDefault="002D6D7C" w:rsidP="006A3EF2">
            <w:pPr>
              <w:spacing w:line="276" w:lineRule="auto"/>
              <w:rPr>
                <w:rFonts w:ascii="Cambria" w:eastAsia="Arial" w:hAnsi="Cambria"/>
                <w:i/>
              </w:rPr>
            </w:pPr>
            <w:r>
              <w:rPr>
                <w:rFonts w:ascii="Cambria" w:eastAsia="Arial" w:hAnsi="Cambria"/>
              </w:rPr>
              <w:t xml:space="preserve">  </w:t>
            </w:r>
            <w:r w:rsidR="00164EFB">
              <w:rPr>
                <w:rFonts w:ascii="Cambria" w:eastAsia="Arial" w:hAnsi="Cambria"/>
              </w:rPr>
              <w:t>AF</w:t>
            </w:r>
            <w:r w:rsidR="00B03CAD">
              <w:rPr>
                <w:rFonts w:ascii="Cambria" w:eastAsia="Arial" w:hAnsi="Cambria"/>
              </w:rPr>
              <w:t xml:space="preserve">: </w:t>
            </w:r>
            <w:r w:rsidR="00B03CAD" w:rsidRPr="00F25E8A">
              <w:rPr>
                <w:rFonts w:ascii="Cambria" w:eastAsia="Arial" w:hAnsi="Cambria"/>
                <w:i/>
              </w:rPr>
              <w:t>S</w:t>
            </w:r>
            <w:r w:rsidR="00B03CAD" w:rsidRPr="00F25E8A">
              <w:rPr>
                <w:rFonts w:ascii="Cambria" w:eastAsia="Arial" w:hAnsi="Cambria"/>
                <w:i/>
                <w:vertAlign w:val="subscript"/>
              </w:rPr>
              <w:t>t</w:t>
            </w:r>
            <w:r w:rsidR="00B03CAD">
              <w:rPr>
                <w:rFonts w:ascii="Cambria" w:eastAsia="Arial" w:hAnsi="Cambria"/>
                <w:i/>
              </w:rPr>
              <w:t xml:space="preserve"> </w:t>
            </w:r>
          </w:p>
          <w:p w14:paraId="684801EF" w14:textId="79B3E1DD" w:rsidR="00B03CAD" w:rsidRPr="00F25E8A" w:rsidRDefault="002D6D7C" w:rsidP="006A3EF2">
            <w:pPr>
              <w:spacing w:line="276" w:lineRule="auto"/>
              <w:rPr>
                <w:rFonts w:ascii="Cambria" w:eastAsia="Arial" w:hAnsi="Cambria"/>
              </w:rPr>
            </w:pPr>
            <w:r>
              <w:rPr>
                <w:rFonts w:ascii="Cambria" w:eastAsia="Arial" w:hAnsi="Cambria"/>
                <w:i/>
              </w:rPr>
              <w:t xml:space="preserve">  </w:t>
            </w:r>
            <w:r w:rsidR="00B03CAD">
              <w:rPr>
                <w:rFonts w:ascii="Cambria" w:eastAsia="Arial" w:hAnsi="Cambria"/>
                <w:i/>
              </w:rPr>
              <w:t xml:space="preserve">SS: </w:t>
            </w:r>
            <w:proofErr w:type="spellStart"/>
            <w:r w:rsidR="000609CA">
              <w:rPr>
                <w:rFonts w:ascii="Cambria" w:eastAsia="Arial" w:hAnsi="Cambria"/>
                <w:i/>
              </w:rPr>
              <w:t>W</w:t>
            </w:r>
            <w:r w:rsidR="00B03CAD" w:rsidRPr="00F25E8A">
              <w:rPr>
                <w:rFonts w:ascii="Cambria" w:eastAsia="Arial" w:hAnsi="Cambria"/>
                <w:i/>
                <w:vertAlign w:val="subscript"/>
              </w:rPr>
              <w:t>t</w:t>
            </w:r>
            <w:proofErr w:type="spellEnd"/>
            <w:r w:rsidR="00B03CAD">
              <w:rPr>
                <w:rFonts w:ascii="Cambria" w:eastAsia="Arial" w:hAnsi="Cambria"/>
                <w:i/>
              </w:rPr>
              <w:t xml:space="preserve">, </w:t>
            </w:r>
            <w:r w:rsidR="000609CA">
              <w:rPr>
                <w:rFonts w:ascii="Cambria" w:eastAsia="Arial" w:hAnsi="Cambria"/>
                <w:i/>
              </w:rPr>
              <w:t>W</w:t>
            </w:r>
            <w:r w:rsidR="00B03CAD" w:rsidRPr="00F25E8A">
              <w:rPr>
                <w:rFonts w:ascii="Cambria" w:eastAsia="Arial" w:hAnsi="Cambria"/>
                <w:i/>
                <w:vertAlign w:val="subscript"/>
              </w:rPr>
              <w:t>t</w:t>
            </w:r>
            <w:r w:rsidR="00B03CAD">
              <w:rPr>
                <w:rFonts w:ascii="Cambria" w:eastAsia="Arial" w:hAnsi="Cambria"/>
                <w:i/>
                <w:vertAlign w:val="subscript"/>
              </w:rPr>
              <w:t>+1</w:t>
            </w:r>
            <w:r w:rsidR="00B03CAD">
              <w:rPr>
                <w:rFonts w:ascii="Cambria" w:eastAsia="Arial" w:hAnsi="Cambria"/>
                <w:i/>
              </w:rPr>
              <w:t>,</w:t>
            </w:r>
            <w:r w:rsidR="00B03CAD" w:rsidRPr="00F25E8A">
              <w:rPr>
                <w:rFonts w:ascii="Cambria" w:eastAsia="Arial" w:hAnsi="Cambria"/>
                <w:i/>
              </w:rPr>
              <w:t xml:space="preserve"> </w:t>
            </w:r>
            <w:r w:rsidR="00B03CAD">
              <w:rPr>
                <w:rFonts w:ascii="Cambria" w:eastAsia="Arial" w:hAnsi="Cambria"/>
                <w:i/>
              </w:rPr>
              <w:t>S</w:t>
            </w:r>
            <w:r w:rsidR="00B03CAD" w:rsidRPr="00F25E8A">
              <w:rPr>
                <w:rFonts w:ascii="Cambria" w:eastAsia="Arial" w:hAnsi="Cambria"/>
                <w:i/>
                <w:vertAlign w:val="subscript"/>
              </w:rPr>
              <w:t>t</w:t>
            </w:r>
            <w:r w:rsidR="00B03CAD">
              <w:rPr>
                <w:rFonts w:ascii="Cambria" w:eastAsia="Arial" w:hAnsi="Cambria"/>
                <w:i/>
                <w:vertAlign w:val="subscript"/>
              </w:rPr>
              <w:t>+1</w:t>
            </w:r>
          </w:p>
        </w:tc>
        <w:tc>
          <w:tcPr>
            <w:tcW w:w="6170" w:type="dxa"/>
            <w:shd w:val="clear" w:color="auto" w:fill="auto"/>
          </w:tcPr>
          <w:p w14:paraId="2D7F1753" w14:textId="5DAF0FB6" w:rsidR="006A3EF2" w:rsidRPr="00F25E8A" w:rsidRDefault="006A3EF2" w:rsidP="00D638A7">
            <w:pPr>
              <w:spacing w:line="276" w:lineRule="auto"/>
              <w:ind w:left="100"/>
              <w:rPr>
                <w:rFonts w:ascii="Cambria" w:eastAsia="Arial" w:hAnsi="Cambria"/>
              </w:rPr>
            </w:pPr>
            <w:r w:rsidRPr="00F25E8A">
              <w:rPr>
                <w:rFonts w:ascii="Cambria" w:eastAsia="Arial" w:hAnsi="Cambria"/>
              </w:rPr>
              <w:t xml:space="preserve">Extreme </w:t>
            </w:r>
            <w:r>
              <w:rPr>
                <w:rFonts w:ascii="Cambria" w:eastAsia="Arial" w:hAnsi="Cambria"/>
              </w:rPr>
              <w:t xml:space="preserve">pre-monsoon </w:t>
            </w:r>
            <w:r w:rsidRPr="00F25E8A">
              <w:rPr>
                <w:rFonts w:ascii="Cambria" w:eastAsia="Arial" w:hAnsi="Cambria"/>
              </w:rPr>
              <w:t>heating events drive mature fish from</w:t>
            </w:r>
            <w:r>
              <w:rPr>
                <w:rFonts w:ascii="Cambria" w:eastAsia="Arial" w:hAnsi="Cambria"/>
              </w:rPr>
              <w:t xml:space="preserve"> </w:t>
            </w:r>
            <w:r w:rsidRPr="00F25E8A">
              <w:rPr>
                <w:rFonts w:ascii="Cambria" w:eastAsia="Arial" w:hAnsi="Cambria"/>
              </w:rPr>
              <w:t>spawning areas, resulting in poor recruitment and fewer 0</w:t>
            </w:r>
            <w:r>
              <w:rPr>
                <w:rFonts w:ascii="Cambria" w:eastAsia="Arial" w:hAnsi="Cambria"/>
              </w:rPr>
              <w:t>-year</w:t>
            </w:r>
            <w:r w:rsidRPr="00F25E8A">
              <w:rPr>
                <w:rFonts w:ascii="Cambria" w:eastAsia="Arial" w:hAnsi="Cambria"/>
              </w:rPr>
              <w:t xml:space="preserve"> fish</w:t>
            </w:r>
            <w:r w:rsidR="00B03CAD">
              <w:rPr>
                <w:rFonts w:ascii="Cambria" w:eastAsia="Arial" w:hAnsi="Cambria"/>
              </w:rPr>
              <w:t>.</w:t>
            </w:r>
          </w:p>
        </w:tc>
      </w:tr>
      <w:tr w:rsidR="006A3EF2" w:rsidRPr="00F25E8A" w14:paraId="04B48A5A" w14:textId="77777777" w:rsidTr="00D638A7">
        <w:trPr>
          <w:cantSplit/>
          <w:trHeight w:val="20"/>
        </w:trPr>
        <w:tc>
          <w:tcPr>
            <w:tcW w:w="3110" w:type="dxa"/>
            <w:shd w:val="clear" w:color="auto" w:fill="auto"/>
          </w:tcPr>
          <w:p w14:paraId="123D45C2" w14:textId="04ECE29C" w:rsidR="006A3EF2" w:rsidRDefault="006A3EF2" w:rsidP="00B03CAD">
            <w:pPr>
              <w:spacing w:line="276" w:lineRule="auto"/>
              <w:rPr>
                <w:rFonts w:ascii="Cambria" w:eastAsia="Arial" w:hAnsi="Cambria"/>
              </w:rPr>
            </w:pPr>
            <w:r w:rsidRPr="00F25E8A">
              <w:rPr>
                <w:rFonts w:ascii="Cambria" w:eastAsia="Arial" w:hAnsi="Cambria"/>
              </w:rPr>
              <w:t>Oct</w:t>
            </w:r>
            <w:r>
              <w:rPr>
                <w:rFonts w:ascii="Cambria" w:eastAsia="Arial" w:hAnsi="Cambria"/>
              </w:rPr>
              <w:t>–</w:t>
            </w:r>
            <w:r w:rsidRPr="00F25E8A">
              <w:rPr>
                <w:rFonts w:ascii="Cambria" w:eastAsia="Arial" w:hAnsi="Cambria"/>
              </w:rPr>
              <w:t xml:space="preserve">Dec </w:t>
            </w:r>
            <w:r w:rsidR="00A64AF3">
              <w:rPr>
                <w:rFonts w:ascii="Cambria" w:eastAsia="Arial" w:hAnsi="Cambria"/>
              </w:rPr>
              <w:t>ns-</w:t>
            </w:r>
            <w:r w:rsidRPr="00F25E8A">
              <w:rPr>
                <w:rFonts w:ascii="Cambria" w:eastAsia="Arial" w:hAnsi="Cambria"/>
              </w:rPr>
              <w:t>SST</w:t>
            </w:r>
          </w:p>
          <w:p w14:paraId="688C867F" w14:textId="31423660" w:rsidR="00B03CAD" w:rsidRPr="00F25E8A" w:rsidRDefault="002D6D7C" w:rsidP="00B03CAD">
            <w:pPr>
              <w:spacing w:line="276" w:lineRule="auto"/>
              <w:rPr>
                <w:rFonts w:ascii="Cambria" w:eastAsia="Arial" w:hAnsi="Cambria"/>
              </w:rPr>
            </w:pPr>
            <w:r>
              <w:rPr>
                <w:rFonts w:ascii="Cambria" w:eastAsia="Arial" w:hAnsi="Cambria"/>
              </w:rPr>
              <w:t xml:space="preserve">  </w:t>
            </w:r>
            <w:r w:rsidR="00B03CAD">
              <w:rPr>
                <w:rFonts w:ascii="Cambria" w:eastAsia="Arial" w:hAnsi="Cambria"/>
              </w:rPr>
              <w:t xml:space="preserve">GS: </w:t>
            </w:r>
            <w:proofErr w:type="spellStart"/>
            <w:r w:rsidR="000609CA">
              <w:rPr>
                <w:rFonts w:ascii="Cambria" w:eastAsia="Arial" w:hAnsi="Cambria"/>
                <w:i/>
              </w:rPr>
              <w:t>W</w:t>
            </w:r>
            <w:r w:rsidR="00B03CAD" w:rsidRPr="00F25E8A">
              <w:rPr>
                <w:rFonts w:ascii="Cambria" w:eastAsia="Arial" w:hAnsi="Cambria"/>
                <w:i/>
                <w:vertAlign w:val="subscript"/>
              </w:rPr>
              <w:t>t</w:t>
            </w:r>
            <w:proofErr w:type="spellEnd"/>
            <w:r w:rsidR="00B03CAD">
              <w:rPr>
                <w:rFonts w:ascii="Cambria" w:eastAsia="Arial" w:hAnsi="Cambria"/>
                <w:i/>
              </w:rPr>
              <w:t xml:space="preserve">, </w:t>
            </w:r>
            <w:r w:rsidR="000609CA">
              <w:rPr>
                <w:rFonts w:ascii="Cambria" w:eastAsia="Arial" w:hAnsi="Cambria"/>
                <w:i/>
              </w:rPr>
              <w:t>W</w:t>
            </w:r>
            <w:r w:rsidR="00B03CAD" w:rsidRPr="00F25E8A">
              <w:rPr>
                <w:rFonts w:ascii="Cambria" w:eastAsia="Arial" w:hAnsi="Cambria"/>
                <w:i/>
                <w:vertAlign w:val="subscript"/>
              </w:rPr>
              <w:t>t</w:t>
            </w:r>
            <w:r w:rsidR="00B03CAD">
              <w:rPr>
                <w:rFonts w:ascii="Cambria" w:eastAsia="Arial" w:hAnsi="Cambria"/>
                <w:i/>
                <w:vertAlign w:val="subscript"/>
              </w:rPr>
              <w:t>+1</w:t>
            </w:r>
            <w:r w:rsidR="00B03CAD">
              <w:rPr>
                <w:rFonts w:ascii="Cambria" w:eastAsia="Arial" w:hAnsi="Cambria"/>
                <w:i/>
              </w:rPr>
              <w:t>,</w:t>
            </w:r>
            <w:r w:rsidR="00B03CAD" w:rsidRPr="00F25E8A">
              <w:rPr>
                <w:rFonts w:ascii="Cambria" w:eastAsia="Arial" w:hAnsi="Cambria"/>
                <w:i/>
              </w:rPr>
              <w:t xml:space="preserve"> </w:t>
            </w:r>
            <w:r w:rsidR="00B03CAD">
              <w:rPr>
                <w:rFonts w:ascii="Cambria" w:eastAsia="Arial" w:hAnsi="Cambria"/>
                <w:i/>
              </w:rPr>
              <w:t>S</w:t>
            </w:r>
            <w:r w:rsidR="00B03CAD" w:rsidRPr="00F25E8A">
              <w:rPr>
                <w:rFonts w:ascii="Cambria" w:eastAsia="Arial" w:hAnsi="Cambria"/>
                <w:i/>
                <w:vertAlign w:val="subscript"/>
              </w:rPr>
              <w:t>t</w:t>
            </w:r>
            <w:r w:rsidR="00B03CAD">
              <w:rPr>
                <w:rFonts w:ascii="Cambria" w:eastAsia="Arial" w:hAnsi="Cambria"/>
                <w:i/>
                <w:vertAlign w:val="subscript"/>
              </w:rPr>
              <w:t>+1</w:t>
            </w:r>
          </w:p>
        </w:tc>
        <w:tc>
          <w:tcPr>
            <w:tcW w:w="6170" w:type="dxa"/>
            <w:shd w:val="clear" w:color="auto" w:fill="auto"/>
          </w:tcPr>
          <w:p w14:paraId="7210AC72" w14:textId="0453B709" w:rsidR="006A3EF2" w:rsidRPr="00F25E8A" w:rsidRDefault="006A3EF2" w:rsidP="00D638A7">
            <w:pPr>
              <w:spacing w:line="276" w:lineRule="auto"/>
              <w:ind w:left="100"/>
              <w:rPr>
                <w:rFonts w:ascii="Cambria" w:eastAsia="Arial" w:hAnsi="Cambria"/>
              </w:rPr>
            </w:pPr>
            <w:r>
              <w:rPr>
                <w:rFonts w:ascii="Cambria" w:eastAsia="Arial" w:hAnsi="Cambria"/>
              </w:rPr>
              <w:t xml:space="preserve">October-December are </w:t>
            </w:r>
            <w:r w:rsidR="00820BAB">
              <w:rPr>
                <w:rFonts w:ascii="Cambria" w:eastAsia="Arial" w:hAnsi="Cambria"/>
              </w:rPr>
              <w:t xml:space="preserve">the </w:t>
            </w:r>
            <w:r>
              <w:rPr>
                <w:rFonts w:ascii="Cambria" w:eastAsia="Arial" w:hAnsi="Cambria"/>
              </w:rPr>
              <w:t>peak somatic growth months, and l</w:t>
            </w:r>
            <w:r w:rsidRPr="00F25E8A">
              <w:rPr>
                <w:rFonts w:ascii="Cambria" w:eastAsia="Arial" w:hAnsi="Cambria"/>
              </w:rPr>
              <w:t xml:space="preserve">arval and juvenile growth and survival </w:t>
            </w:r>
            <w:r>
              <w:rPr>
                <w:rFonts w:ascii="Cambria" w:eastAsia="Arial" w:hAnsi="Cambria"/>
              </w:rPr>
              <w:t>are</w:t>
            </w:r>
            <w:r w:rsidRPr="00F25E8A">
              <w:rPr>
                <w:rFonts w:ascii="Cambria" w:eastAsia="Arial" w:hAnsi="Cambria"/>
              </w:rPr>
              <w:t xml:space="preserve"> aﬀected by temperatur</w:t>
            </w:r>
            <w:r>
              <w:rPr>
                <w:rFonts w:ascii="Cambria" w:eastAsia="Arial" w:hAnsi="Cambria"/>
              </w:rPr>
              <w:t>e</w:t>
            </w:r>
            <w:r w:rsidR="00A64AF3">
              <w:rPr>
                <w:rFonts w:ascii="Cambria" w:eastAsia="Arial" w:hAnsi="Cambria"/>
              </w:rPr>
              <w:t xml:space="preserve"> in the nearshore feeding area</w:t>
            </w:r>
            <w:r>
              <w:rPr>
                <w:rFonts w:ascii="Cambria" w:eastAsia="Arial" w:hAnsi="Cambria"/>
              </w:rPr>
              <w:t xml:space="preserve">. </w:t>
            </w:r>
          </w:p>
        </w:tc>
      </w:tr>
      <w:tr w:rsidR="006A3EF2" w:rsidRPr="00F25E8A" w14:paraId="54CB5794" w14:textId="77777777" w:rsidTr="00D638A7">
        <w:trPr>
          <w:cantSplit/>
          <w:trHeight w:val="20"/>
        </w:trPr>
        <w:tc>
          <w:tcPr>
            <w:tcW w:w="3110" w:type="dxa"/>
            <w:shd w:val="clear" w:color="auto" w:fill="auto"/>
          </w:tcPr>
          <w:p w14:paraId="2695D788" w14:textId="77777777" w:rsidR="006A3EF2" w:rsidRDefault="006A3EF2" w:rsidP="00096628">
            <w:pPr>
              <w:spacing w:line="276" w:lineRule="auto"/>
              <w:rPr>
                <w:rFonts w:ascii="Cambria" w:eastAsia="Arial" w:hAnsi="Cambria"/>
              </w:rPr>
            </w:pPr>
            <w:r w:rsidRPr="00762A24">
              <w:rPr>
                <w:rFonts w:ascii="Cambria" w:eastAsia="Arial" w:hAnsi="Cambria"/>
              </w:rPr>
              <w:t xml:space="preserve">Jul-Sep and Oct-Dec </w:t>
            </w:r>
            <w:r w:rsidRPr="00D95FB8">
              <w:rPr>
                <w:rFonts w:ascii="Cambria" w:eastAsia="Arial" w:hAnsi="Cambria"/>
              </w:rPr>
              <w:t>CHL</w:t>
            </w:r>
          </w:p>
          <w:p w14:paraId="7467D89E" w14:textId="64A0C0ED" w:rsidR="00096628" w:rsidRDefault="00164EFB" w:rsidP="00096628">
            <w:pPr>
              <w:spacing w:line="276" w:lineRule="auto"/>
              <w:rPr>
                <w:rFonts w:ascii="Cambria" w:eastAsia="Arial" w:hAnsi="Cambria"/>
              </w:rPr>
            </w:pPr>
            <w:r>
              <w:rPr>
                <w:rFonts w:ascii="Cambria" w:eastAsia="Arial" w:hAnsi="Cambria"/>
              </w:rPr>
              <w:t xml:space="preserve">  AF</w:t>
            </w:r>
            <w:r w:rsidR="00096628">
              <w:rPr>
                <w:rFonts w:ascii="Cambria" w:eastAsia="Arial" w:hAnsi="Cambria"/>
              </w:rPr>
              <w:t xml:space="preserve">: </w:t>
            </w:r>
            <w:r w:rsidR="00096628" w:rsidRPr="00F25E8A">
              <w:rPr>
                <w:rFonts w:ascii="Cambria" w:eastAsia="Arial" w:hAnsi="Cambria"/>
                <w:i/>
              </w:rPr>
              <w:t>S</w:t>
            </w:r>
            <w:r w:rsidR="00096628" w:rsidRPr="00F25E8A">
              <w:rPr>
                <w:rFonts w:ascii="Cambria" w:eastAsia="Arial" w:hAnsi="Cambria"/>
                <w:i/>
                <w:vertAlign w:val="subscript"/>
              </w:rPr>
              <w:t>t</w:t>
            </w:r>
          </w:p>
          <w:p w14:paraId="4EEE2646" w14:textId="542CC416" w:rsidR="00096628" w:rsidRDefault="002D6D7C" w:rsidP="00096628">
            <w:pPr>
              <w:spacing w:line="276" w:lineRule="auto"/>
              <w:rPr>
                <w:rFonts w:ascii="Cambria" w:eastAsia="Arial" w:hAnsi="Cambria"/>
                <w:i/>
              </w:rPr>
            </w:pPr>
            <w:r>
              <w:rPr>
                <w:rFonts w:ascii="Cambria" w:eastAsia="Arial" w:hAnsi="Cambria"/>
              </w:rPr>
              <w:t xml:space="preserve">  </w:t>
            </w:r>
            <w:r w:rsidR="00096628">
              <w:rPr>
                <w:rFonts w:ascii="Cambria" w:eastAsia="Arial" w:hAnsi="Cambria"/>
              </w:rPr>
              <w:t>GS+</w:t>
            </w:r>
            <w:r w:rsidR="00164EFB">
              <w:rPr>
                <w:rFonts w:ascii="Cambria" w:eastAsia="Arial" w:hAnsi="Cambria"/>
              </w:rPr>
              <w:t>AF</w:t>
            </w:r>
            <w:r w:rsidR="00096628">
              <w:rPr>
                <w:rFonts w:ascii="Cambria" w:eastAsia="Arial" w:hAnsi="Cambria"/>
              </w:rPr>
              <w:t>:</w:t>
            </w:r>
            <w:r w:rsidR="00096628">
              <w:rPr>
                <w:rFonts w:ascii="Cambria" w:eastAsia="Arial" w:hAnsi="Cambria"/>
                <w:i/>
              </w:rPr>
              <w:t xml:space="preserve"> </w:t>
            </w:r>
            <w:proofErr w:type="spellStart"/>
            <w:r w:rsidR="000609CA">
              <w:rPr>
                <w:rFonts w:ascii="Cambria" w:eastAsia="Arial" w:hAnsi="Cambria"/>
                <w:i/>
              </w:rPr>
              <w:t>W</w:t>
            </w:r>
            <w:r w:rsidR="00096628" w:rsidRPr="00F25E8A">
              <w:rPr>
                <w:rFonts w:ascii="Cambria" w:eastAsia="Arial" w:hAnsi="Cambria"/>
                <w:i/>
                <w:vertAlign w:val="subscript"/>
              </w:rPr>
              <w:t>t</w:t>
            </w:r>
            <w:proofErr w:type="spellEnd"/>
          </w:p>
          <w:p w14:paraId="74BCC84D" w14:textId="546B5735" w:rsidR="00096628" w:rsidRPr="00F25E8A" w:rsidRDefault="002D6D7C" w:rsidP="00096628">
            <w:pPr>
              <w:spacing w:line="276" w:lineRule="auto"/>
              <w:rPr>
                <w:rFonts w:ascii="Cambria" w:eastAsia="Arial" w:hAnsi="Cambria"/>
              </w:rPr>
            </w:pPr>
            <w:r>
              <w:rPr>
                <w:rFonts w:ascii="Cambria" w:eastAsia="Arial" w:hAnsi="Cambria"/>
                <w:iCs/>
              </w:rPr>
              <w:t xml:space="preserve">  </w:t>
            </w:r>
            <w:r w:rsidR="00096628" w:rsidRPr="00B03CAD">
              <w:rPr>
                <w:rFonts w:ascii="Cambria" w:eastAsia="Arial" w:hAnsi="Cambria"/>
                <w:iCs/>
              </w:rPr>
              <w:t>GS:</w:t>
            </w:r>
            <w:r w:rsidR="00096628">
              <w:rPr>
                <w:rFonts w:ascii="Cambria" w:eastAsia="Arial" w:hAnsi="Cambria"/>
                <w:i/>
              </w:rPr>
              <w:t xml:space="preserve"> </w:t>
            </w:r>
            <w:r w:rsidR="000609CA">
              <w:rPr>
                <w:rFonts w:ascii="Cambria" w:eastAsia="Arial" w:hAnsi="Cambria"/>
                <w:i/>
              </w:rPr>
              <w:t>W</w:t>
            </w:r>
            <w:r w:rsidR="00096628" w:rsidRPr="00F25E8A">
              <w:rPr>
                <w:rFonts w:ascii="Cambria" w:eastAsia="Arial" w:hAnsi="Cambria"/>
                <w:i/>
                <w:vertAlign w:val="subscript"/>
              </w:rPr>
              <w:t>t</w:t>
            </w:r>
            <w:r w:rsidR="00096628">
              <w:rPr>
                <w:rFonts w:ascii="Cambria" w:eastAsia="Arial" w:hAnsi="Cambria"/>
                <w:i/>
                <w:vertAlign w:val="subscript"/>
              </w:rPr>
              <w:t>+1</w:t>
            </w:r>
            <w:r w:rsidR="00096628">
              <w:rPr>
                <w:rFonts w:ascii="Cambria" w:eastAsia="Arial" w:hAnsi="Cambria"/>
                <w:i/>
              </w:rPr>
              <w:t>,</w:t>
            </w:r>
            <w:r w:rsidR="00096628" w:rsidRPr="00F25E8A">
              <w:rPr>
                <w:rFonts w:ascii="Cambria" w:eastAsia="Arial" w:hAnsi="Cambria"/>
                <w:i/>
              </w:rPr>
              <w:t xml:space="preserve"> </w:t>
            </w:r>
            <w:r w:rsidR="00096628">
              <w:rPr>
                <w:rFonts w:ascii="Cambria" w:eastAsia="Arial" w:hAnsi="Cambria"/>
                <w:i/>
              </w:rPr>
              <w:t>S</w:t>
            </w:r>
            <w:r w:rsidR="00096628" w:rsidRPr="00F25E8A">
              <w:rPr>
                <w:rFonts w:ascii="Cambria" w:eastAsia="Arial" w:hAnsi="Cambria"/>
                <w:i/>
                <w:vertAlign w:val="subscript"/>
              </w:rPr>
              <w:t>t</w:t>
            </w:r>
            <w:r w:rsidR="00096628">
              <w:rPr>
                <w:rFonts w:ascii="Cambria" w:eastAsia="Arial" w:hAnsi="Cambria"/>
                <w:i/>
                <w:vertAlign w:val="subscript"/>
              </w:rPr>
              <w:t>+1</w:t>
            </w:r>
          </w:p>
        </w:tc>
        <w:tc>
          <w:tcPr>
            <w:tcW w:w="6170" w:type="dxa"/>
            <w:shd w:val="clear" w:color="auto" w:fill="auto"/>
          </w:tcPr>
          <w:p w14:paraId="095D2118" w14:textId="0E7894E5" w:rsidR="006A3EF2" w:rsidRPr="00F25E8A" w:rsidRDefault="00820BAB" w:rsidP="00D638A7">
            <w:pPr>
              <w:spacing w:line="276" w:lineRule="auto"/>
              <w:ind w:left="100"/>
              <w:rPr>
                <w:rFonts w:ascii="Cambria" w:eastAsia="Arial" w:hAnsi="Cambria"/>
              </w:rPr>
            </w:pPr>
            <w:r>
              <w:rPr>
                <w:rFonts w:ascii="Cambria" w:eastAsia="Arial" w:hAnsi="Cambria"/>
              </w:rPr>
              <w:t>S</w:t>
            </w:r>
            <w:r w:rsidR="006A3EF2" w:rsidRPr="00F25E8A">
              <w:rPr>
                <w:rFonts w:ascii="Cambria" w:eastAsia="Arial" w:hAnsi="Cambria"/>
              </w:rPr>
              <w:t xml:space="preserve">urface </w:t>
            </w:r>
            <w:r w:rsidR="006A3EF2">
              <w:rPr>
                <w:rFonts w:ascii="Cambria" w:eastAsia="Arial" w:hAnsi="Cambria"/>
              </w:rPr>
              <w:t>chlorophyll-a concentration</w:t>
            </w:r>
            <w:r w:rsidR="006A3EF2" w:rsidRPr="00F25E8A">
              <w:rPr>
                <w:rFonts w:ascii="Cambria" w:eastAsia="Arial" w:hAnsi="Cambria"/>
              </w:rPr>
              <w:t xml:space="preserve"> is a proxy for phytoplankton abundance.</w:t>
            </w:r>
            <w:r w:rsidR="006A3EF2">
              <w:rPr>
                <w:rFonts w:ascii="Cambria" w:eastAsia="Arial" w:hAnsi="Cambria"/>
              </w:rPr>
              <w:t xml:space="preserve"> Peak chlorophyll-a concentration is in July-September </w:t>
            </w:r>
            <w:r w:rsidR="00096628">
              <w:rPr>
                <w:rFonts w:ascii="Cambria" w:eastAsia="Arial" w:hAnsi="Cambria"/>
              </w:rPr>
              <w:t>while</w:t>
            </w:r>
            <w:r w:rsidR="006A3EF2">
              <w:rPr>
                <w:rFonts w:ascii="Cambria" w:eastAsia="Arial" w:hAnsi="Cambria"/>
              </w:rPr>
              <w:t xml:space="preserve"> October-December are critical months for juvenile growth and survival.</w:t>
            </w:r>
          </w:p>
        </w:tc>
      </w:tr>
      <w:tr w:rsidR="006A3EF2" w:rsidRPr="00F25E8A" w14:paraId="74C6E081" w14:textId="77777777" w:rsidTr="00D638A7">
        <w:trPr>
          <w:cantSplit/>
          <w:trHeight w:val="20"/>
        </w:trPr>
        <w:tc>
          <w:tcPr>
            <w:tcW w:w="3110" w:type="dxa"/>
            <w:shd w:val="clear" w:color="auto" w:fill="auto"/>
          </w:tcPr>
          <w:p w14:paraId="745E95AC" w14:textId="77777777" w:rsidR="006A3EF2" w:rsidRDefault="006A3EF2" w:rsidP="00096628">
            <w:pPr>
              <w:spacing w:line="276" w:lineRule="auto"/>
              <w:rPr>
                <w:rFonts w:ascii="Cambria" w:eastAsia="Arial" w:hAnsi="Cambria"/>
              </w:rPr>
            </w:pPr>
            <w:r w:rsidRPr="00F25E8A">
              <w:rPr>
                <w:rFonts w:ascii="Cambria" w:eastAsia="Arial" w:hAnsi="Cambria"/>
              </w:rPr>
              <w:t>2.5-y</w:t>
            </w:r>
            <w:r>
              <w:rPr>
                <w:rFonts w:ascii="Cambria" w:eastAsia="Arial" w:hAnsi="Cambria"/>
              </w:rPr>
              <w:t>ear</w:t>
            </w:r>
            <w:r w:rsidRPr="00F25E8A">
              <w:rPr>
                <w:rFonts w:ascii="Cambria" w:eastAsia="Arial" w:hAnsi="Cambria"/>
              </w:rPr>
              <w:t xml:space="preserve"> </w:t>
            </w:r>
            <w:r>
              <w:rPr>
                <w:rFonts w:ascii="Cambria" w:eastAsia="Arial" w:hAnsi="Cambria"/>
              </w:rPr>
              <w:t>average r</w:t>
            </w:r>
            <w:r w:rsidRPr="00F25E8A">
              <w:rPr>
                <w:rFonts w:ascii="Cambria" w:eastAsia="Arial" w:hAnsi="Cambria"/>
              </w:rPr>
              <w:t>-SST</w:t>
            </w:r>
          </w:p>
          <w:p w14:paraId="17EBBC02" w14:textId="7ABADBF0" w:rsidR="00096628" w:rsidRPr="00F25E8A" w:rsidRDefault="002D6D7C" w:rsidP="00096628">
            <w:pPr>
              <w:spacing w:line="276" w:lineRule="auto"/>
              <w:rPr>
                <w:rFonts w:ascii="Cambria" w:eastAsia="Arial" w:hAnsi="Cambria"/>
                <w:i/>
              </w:rPr>
            </w:pPr>
            <w:r>
              <w:rPr>
                <w:rFonts w:ascii="Cambria" w:eastAsia="Arial" w:hAnsi="Cambria"/>
              </w:rPr>
              <w:t xml:space="preserve">  </w:t>
            </w:r>
            <w:r w:rsidR="00820BAB">
              <w:rPr>
                <w:rFonts w:ascii="Cambria" w:eastAsia="Arial" w:hAnsi="Cambria"/>
              </w:rPr>
              <w:t>I</w:t>
            </w:r>
            <w:r w:rsidR="00096628">
              <w:rPr>
                <w:rFonts w:ascii="Cambria" w:eastAsia="Arial" w:hAnsi="Cambria"/>
              </w:rPr>
              <w:t xml:space="preserve">A: </w:t>
            </w:r>
            <w:r w:rsidR="00096628">
              <w:rPr>
                <w:rFonts w:ascii="Cambria" w:eastAsia="Arial" w:hAnsi="Cambria"/>
                <w:i/>
              </w:rPr>
              <w:t>S</w:t>
            </w:r>
            <w:r w:rsidR="00096628" w:rsidRPr="00F25E8A">
              <w:rPr>
                <w:rFonts w:ascii="Cambria" w:eastAsia="Arial" w:hAnsi="Cambria"/>
                <w:i/>
                <w:vertAlign w:val="subscript"/>
              </w:rPr>
              <w:t>t</w:t>
            </w:r>
            <w:r w:rsidR="00096628">
              <w:rPr>
                <w:rFonts w:ascii="Cambria" w:eastAsia="Arial" w:hAnsi="Cambria"/>
                <w:i/>
              </w:rPr>
              <w:t xml:space="preserve">, </w:t>
            </w:r>
            <w:proofErr w:type="spellStart"/>
            <w:r w:rsidR="000609CA">
              <w:rPr>
                <w:rFonts w:ascii="Cambria" w:eastAsia="Arial" w:hAnsi="Cambria"/>
                <w:i/>
              </w:rPr>
              <w:t>W</w:t>
            </w:r>
            <w:r w:rsidR="00096628" w:rsidRPr="00F25E8A">
              <w:rPr>
                <w:rFonts w:ascii="Cambria" w:eastAsia="Arial" w:hAnsi="Cambria"/>
                <w:i/>
                <w:vertAlign w:val="subscript"/>
              </w:rPr>
              <w:t>t</w:t>
            </w:r>
            <w:proofErr w:type="spellEnd"/>
            <w:r w:rsidR="00096628">
              <w:rPr>
                <w:rFonts w:ascii="Cambria" w:eastAsia="Arial" w:hAnsi="Cambria"/>
                <w:i/>
              </w:rPr>
              <w:t xml:space="preserve">, </w:t>
            </w:r>
            <w:r w:rsidR="000609CA">
              <w:rPr>
                <w:rFonts w:ascii="Cambria" w:eastAsia="Arial" w:hAnsi="Cambria"/>
                <w:i/>
              </w:rPr>
              <w:t>W</w:t>
            </w:r>
            <w:r w:rsidR="00096628" w:rsidRPr="00F25E8A">
              <w:rPr>
                <w:rFonts w:ascii="Cambria" w:eastAsia="Arial" w:hAnsi="Cambria"/>
                <w:i/>
                <w:vertAlign w:val="subscript"/>
              </w:rPr>
              <w:t>t</w:t>
            </w:r>
            <w:r w:rsidR="00096628">
              <w:rPr>
                <w:rFonts w:ascii="Cambria" w:eastAsia="Arial" w:hAnsi="Cambria"/>
                <w:i/>
                <w:vertAlign w:val="subscript"/>
              </w:rPr>
              <w:t>+1</w:t>
            </w:r>
            <w:r w:rsidR="00096628">
              <w:rPr>
                <w:rFonts w:ascii="Cambria" w:eastAsia="Arial" w:hAnsi="Cambria"/>
                <w:i/>
              </w:rPr>
              <w:t>,</w:t>
            </w:r>
            <w:r w:rsidR="00096628" w:rsidRPr="00F25E8A">
              <w:rPr>
                <w:rFonts w:ascii="Cambria" w:eastAsia="Arial" w:hAnsi="Cambria"/>
                <w:i/>
              </w:rPr>
              <w:t xml:space="preserve"> </w:t>
            </w:r>
            <w:r w:rsidR="00096628">
              <w:rPr>
                <w:rFonts w:ascii="Cambria" w:eastAsia="Arial" w:hAnsi="Cambria"/>
                <w:i/>
              </w:rPr>
              <w:t>S</w:t>
            </w:r>
            <w:r w:rsidR="00096628" w:rsidRPr="00F25E8A">
              <w:rPr>
                <w:rFonts w:ascii="Cambria" w:eastAsia="Arial" w:hAnsi="Cambria"/>
                <w:i/>
                <w:vertAlign w:val="subscript"/>
              </w:rPr>
              <w:t>t</w:t>
            </w:r>
            <w:r w:rsidR="00096628">
              <w:rPr>
                <w:rFonts w:ascii="Cambria" w:eastAsia="Arial" w:hAnsi="Cambria"/>
                <w:i/>
                <w:vertAlign w:val="subscript"/>
              </w:rPr>
              <w:t>+1</w:t>
            </w:r>
          </w:p>
        </w:tc>
        <w:tc>
          <w:tcPr>
            <w:tcW w:w="6170" w:type="dxa"/>
            <w:shd w:val="clear" w:color="auto" w:fill="auto"/>
          </w:tcPr>
          <w:p w14:paraId="49985A24" w14:textId="446CB3C4" w:rsidR="006A3EF2" w:rsidRPr="00F25E8A" w:rsidRDefault="006A3EF2" w:rsidP="00D638A7">
            <w:pPr>
              <w:spacing w:line="276" w:lineRule="auto"/>
              <w:ind w:left="100"/>
              <w:rPr>
                <w:rFonts w:ascii="Cambria" w:eastAsia="Arial" w:hAnsi="Cambria"/>
              </w:rPr>
            </w:pPr>
            <w:r w:rsidRPr="00F25E8A">
              <w:rPr>
                <w:rFonts w:ascii="Cambria" w:eastAsia="Arial" w:hAnsi="Cambria"/>
                <w:w w:val="99"/>
              </w:rPr>
              <w:t>Spawning, early survival, and recruitment depend on</w:t>
            </w:r>
            <w:r w:rsidRPr="00F25E8A">
              <w:rPr>
                <w:rFonts w:ascii="Cambria" w:eastAsia="Arial" w:hAnsi="Cambria"/>
              </w:rPr>
              <w:t xml:space="preserve"> </w:t>
            </w:r>
            <w:r>
              <w:rPr>
                <w:rFonts w:ascii="Cambria" w:eastAsia="Arial" w:hAnsi="Cambria"/>
              </w:rPr>
              <w:t>many</w:t>
            </w:r>
            <w:r w:rsidRPr="00F25E8A">
              <w:rPr>
                <w:rFonts w:ascii="Cambria" w:eastAsia="Arial" w:hAnsi="Cambria"/>
              </w:rPr>
              <w:t xml:space="preserve"> cascading factors summarized by the </w:t>
            </w:r>
            <w:r>
              <w:rPr>
                <w:rFonts w:ascii="Cambria" w:eastAsia="Arial" w:hAnsi="Cambria"/>
              </w:rPr>
              <w:t xml:space="preserve">average regional </w:t>
            </w:r>
            <w:r w:rsidRPr="00F25E8A">
              <w:rPr>
                <w:rFonts w:ascii="Cambria" w:eastAsia="Arial" w:hAnsi="Cambria"/>
              </w:rPr>
              <w:t>SST</w:t>
            </w:r>
            <w:r>
              <w:rPr>
                <w:rFonts w:ascii="Cambria" w:eastAsia="Arial" w:hAnsi="Cambria"/>
              </w:rPr>
              <w:t xml:space="preserve"> over the lifespan of an oil sardine. </w:t>
            </w:r>
          </w:p>
        </w:tc>
      </w:tr>
      <w:tr w:rsidR="006A3EF2" w:rsidRPr="00F25E8A" w14:paraId="4DB2CBA8" w14:textId="77777777" w:rsidTr="00D638A7">
        <w:trPr>
          <w:cantSplit/>
          <w:trHeight w:val="20"/>
        </w:trPr>
        <w:tc>
          <w:tcPr>
            <w:tcW w:w="3110" w:type="dxa"/>
            <w:shd w:val="clear" w:color="auto" w:fill="auto"/>
          </w:tcPr>
          <w:p w14:paraId="19C1C9A0" w14:textId="63F80723" w:rsidR="006A3EF2" w:rsidRDefault="006A3EF2" w:rsidP="00096628">
            <w:pPr>
              <w:spacing w:line="276" w:lineRule="auto"/>
              <w:rPr>
                <w:rFonts w:ascii="Cambria" w:eastAsia="Arial" w:hAnsi="Cambria"/>
              </w:rPr>
            </w:pPr>
            <w:r w:rsidRPr="00F25E8A">
              <w:rPr>
                <w:rFonts w:ascii="Cambria" w:eastAsia="Arial" w:hAnsi="Cambria"/>
              </w:rPr>
              <w:lastRenderedPageBreak/>
              <w:t>ONI</w:t>
            </w:r>
            <w:r w:rsidR="00096628">
              <w:rPr>
                <w:rFonts w:ascii="Cambria" w:eastAsia="Arial" w:hAnsi="Cambria"/>
              </w:rPr>
              <w:t>, PDO, AMO</w:t>
            </w:r>
          </w:p>
          <w:p w14:paraId="0C9FB55E" w14:textId="723FE6C0" w:rsidR="00096628" w:rsidRPr="00F25E8A" w:rsidRDefault="002D6D7C" w:rsidP="00096628">
            <w:pPr>
              <w:spacing w:line="276" w:lineRule="auto"/>
              <w:rPr>
                <w:rFonts w:ascii="Cambria" w:eastAsia="Arial" w:hAnsi="Cambria"/>
              </w:rPr>
            </w:pPr>
            <w:r>
              <w:rPr>
                <w:rFonts w:ascii="Cambria" w:eastAsia="Arial" w:hAnsi="Cambria"/>
              </w:rPr>
              <w:t xml:space="preserve">  </w:t>
            </w:r>
            <w:r w:rsidR="00820BAB">
              <w:rPr>
                <w:rFonts w:ascii="Cambria" w:eastAsia="Arial" w:hAnsi="Cambria"/>
              </w:rPr>
              <w:t>I</w:t>
            </w:r>
            <w:r w:rsidR="00096628" w:rsidRPr="00F25E8A">
              <w:rPr>
                <w:rFonts w:ascii="Cambria" w:eastAsia="Arial" w:hAnsi="Cambria"/>
              </w:rPr>
              <w:t>A</w:t>
            </w:r>
            <w:r w:rsidR="00096628">
              <w:rPr>
                <w:rFonts w:ascii="Cambria" w:eastAsia="Arial" w:hAnsi="Cambria"/>
              </w:rPr>
              <w:t xml:space="preserve">: </w:t>
            </w:r>
            <w:r w:rsidR="00096628">
              <w:rPr>
                <w:rFonts w:ascii="Cambria" w:eastAsia="Arial" w:hAnsi="Cambria"/>
                <w:i/>
              </w:rPr>
              <w:t>S</w:t>
            </w:r>
            <w:r w:rsidR="00096628" w:rsidRPr="00F25E8A">
              <w:rPr>
                <w:rFonts w:ascii="Cambria" w:eastAsia="Arial" w:hAnsi="Cambria"/>
                <w:i/>
                <w:vertAlign w:val="subscript"/>
              </w:rPr>
              <w:t>t</w:t>
            </w:r>
            <w:r w:rsidR="00096628">
              <w:rPr>
                <w:rFonts w:ascii="Cambria" w:eastAsia="Arial" w:hAnsi="Cambria"/>
                <w:i/>
              </w:rPr>
              <w:t xml:space="preserve">, </w:t>
            </w:r>
            <w:proofErr w:type="spellStart"/>
            <w:r w:rsidR="000609CA">
              <w:rPr>
                <w:rFonts w:ascii="Cambria" w:eastAsia="Arial" w:hAnsi="Cambria"/>
                <w:i/>
              </w:rPr>
              <w:t>W</w:t>
            </w:r>
            <w:r w:rsidR="00096628" w:rsidRPr="00F25E8A">
              <w:rPr>
                <w:rFonts w:ascii="Cambria" w:eastAsia="Arial" w:hAnsi="Cambria"/>
                <w:i/>
                <w:vertAlign w:val="subscript"/>
              </w:rPr>
              <w:t>t</w:t>
            </w:r>
            <w:proofErr w:type="spellEnd"/>
            <w:r w:rsidR="00096628">
              <w:rPr>
                <w:rFonts w:ascii="Cambria" w:eastAsia="Arial" w:hAnsi="Cambria"/>
                <w:i/>
              </w:rPr>
              <w:t xml:space="preserve">, </w:t>
            </w:r>
            <w:r w:rsidR="000609CA">
              <w:rPr>
                <w:rFonts w:ascii="Cambria" w:eastAsia="Arial" w:hAnsi="Cambria"/>
                <w:i/>
              </w:rPr>
              <w:t>W</w:t>
            </w:r>
            <w:r w:rsidR="00096628" w:rsidRPr="00F25E8A">
              <w:rPr>
                <w:rFonts w:ascii="Cambria" w:eastAsia="Arial" w:hAnsi="Cambria"/>
                <w:i/>
                <w:vertAlign w:val="subscript"/>
              </w:rPr>
              <w:t>t</w:t>
            </w:r>
            <w:r w:rsidR="00096628">
              <w:rPr>
                <w:rFonts w:ascii="Cambria" w:eastAsia="Arial" w:hAnsi="Cambria"/>
                <w:i/>
                <w:vertAlign w:val="subscript"/>
              </w:rPr>
              <w:t>+1</w:t>
            </w:r>
            <w:r w:rsidR="00096628">
              <w:rPr>
                <w:rFonts w:ascii="Cambria" w:eastAsia="Arial" w:hAnsi="Cambria"/>
                <w:i/>
              </w:rPr>
              <w:t>,</w:t>
            </w:r>
            <w:r w:rsidR="00096628" w:rsidRPr="00F25E8A">
              <w:rPr>
                <w:rFonts w:ascii="Cambria" w:eastAsia="Arial" w:hAnsi="Cambria"/>
                <w:i/>
              </w:rPr>
              <w:t xml:space="preserve"> </w:t>
            </w:r>
            <w:r w:rsidR="00096628">
              <w:rPr>
                <w:rFonts w:ascii="Cambria" w:eastAsia="Arial" w:hAnsi="Cambria"/>
                <w:i/>
              </w:rPr>
              <w:t>S</w:t>
            </w:r>
            <w:r w:rsidR="00096628" w:rsidRPr="00F25E8A">
              <w:rPr>
                <w:rFonts w:ascii="Cambria" w:eastAsia="Arial" w:hAnsi="Cambria"/>
                <w:i/>
                <w:vertAlign w:val="subscript"/>
              </w:rPr>
              <w:t>t</w:t>
            </w:r>
            <w:r w:rsidR="00096628">
              <w:rPr>
                <w:rFonts w:ascii="Cambria" w:eastAsia="Arial" w:hAnsi="Cambria"/>
                <w:i/>
                <w:vertAlign w:val="subscript"/>
              </w:rPr>
              <w:t>+1</w:t>
            </w:r>
          </w:p>
        </w:tc>
        <w:tc>
          <w:tcPr>
            <w:tcW w:w="6170" w:type="dxa"/>
            <w:shd w:val="clear" w:color="auto" w:fill="auto"/>
          </w:tcPr>
          <w:p w14:paraId="65FD9E67" w14:textId="7B0C4F67" w:rsidR="006A3EF2" w:rsidRPr="00F25E8A" w:rsidRDefault="00BE7320" w:rsidP="00D638A7">
            <w:pPr>
              <w:spacing w:line="276" w:lineRule="auto"/>
              <w:ind w:left="100"/>
              <w:rPr>
                <w:rFonts w:ascii="Cambria" w:eastAsia="Arial" w:hAnsi="Cambria"/>
              </w:rPr>
            </w:pPr>
            <w:r>
              <w:rPr>
                <w:rFonts w:ascii="Cambria" w:eastAsia="Arial" w:hAnsi="Cambria"/>
              </w:rPr>
              <w:t>The l</w:t>
            </w:r>
            <w:r w:rsidR="00096628">
              <w:rPr>
                <w:rFonts w:ascii="Cambria" w:eastAsia="Arial" w:hAnsi="Cambria"/>
              </w:rPr>
              <w:t xml:space="preserve">arge-scale ocean climate </w:t>
            </w:r>
            <w:r w:rsidR="006A3EF2">
              <w:rPr>
                <w:rFonts w:ascii="Cambria" w:eastAsia="Arial" w:hAnsi="Cambria"/>
              </w:rPr>
              <w:t xml:space="preserve">has </w:t>
            </w:r>
            <w:r w:rsidR="006A3EF2" w:rsidRPr="00F25E8A">
              <w:rPr>
                <w:rFonts w:ascii="Cambria" w:eastAsia="Arial" w:hAnsi="Cambria"/>
              </w:rPr>
              <w:t xml:space="preserve">impacts </w:t>
            </w:r>
            <w:r w:rsidR="006A3EF2">
              <w:rPr>
                <w:rFonts w:ascii="Cambria" w:eastAsia="Arial" w:hAnsi="Cambria"/>
              </w:rPr>
              <w:t xml:space="preserve">on </w:t>
            </w:r>
            <w:r w:rsidR="006A3EF2" w:rsidRPr="00F25E8A">
              <w:rPr>
                <w:rFonts w:ascii="Cambria" w:eastAsia="Arial" w:hAnsi="Cambria"/>
                <w:w w:val="99"/>
              </w:rPr>
              <w:t xml:space="preserve">precipitation, SST, </w:t>
            </w:r>
            <w:r w:rsidR="006A3EF2" w:rsidRPr="00F25E8A">
              <w:rPr>
                <w:rFonts w:ascii="Cambria" w:eastAsia="Arial" w:hAnsi="Cambria"/>
              </w:rPr>
              <w:t>wind</w:t>
            </w:r>
            <w:r w:rsidR="00820BAB">
              <w:rPr>
                <w:rFonts w:ascii="Cambria" w:eastAsia="Arial" w:hAnsi="Cambria"/>
              </w:rPr>
              <w:t>, currents</w:t>
            </w:r>
            <w:r w:rsidR="006A3EF2">
              <w:rPr>
                <w:rFonts w:ascii="Cambria" w:eastAsia="Arial" w:hAnsi="Cambria"/>
              </w:rPr>
              <w:t xml:space="preserve"> and upwelling patterns </w:t>
            </w:r>
            <w:r w:rsidR="00096628">
              <w:rPr>
                <w:rFonts w:ascii="Cambria" w:eastAsia="Arial" w:hAnsi="Cambria"/>
              </w:rPr>
              <w:t>in the south-western Indian Ocean. These in turn have</w:t>
            </w:r>
            <w:r w:rsidR="006A3EF2">
              <w:rPr>
                <w:rFonts w:ascii="Cambria" w:eastAsia="Arial" w:hAnsi="Cambria"/>
              </w:rPr>
              <w:t xml:space="preserve"> cascading </w:t>
            </w:r>
            <w:r w:rsidR="006A3EF2" w:rsidRPr="00F25E8A">
              <w:rPr>
                <w:rFonts w:ascii="Cambria" w:eastAsia="Arial" w:hAnsi="Cambria"/>
              </w:rPr>
              <w:t>impact</w:t>
            </w:r>
            <w:r w:rsidR="006A3EF2">
              <w:rPr>
                <w:rFonts w:ascii="Cambria" w:eastAsia="Arial" w:hAnsi="Cambria"/>
              </w:rPr>
              <w:t>s</w:t>
            </w:r>
            <w:r w:rsidR="006A3EF2" w:rsidRPr="00F25E8A">
              <w:rPr>
                <w:rFonts w:ascii="Cambria" w:eastAsia="Arial" w:hAnsi="Cambria"/>
              </w:rPr>
              <w:t xml:space="preserve"> </w:t>
            </w:r>
            <w:r w:rsidR="00096628">
              <w:rPr>
                <w:rFonts w:ascii="Cambria" w:eastAsia="Arial" w:hAnsi="Cambria"/>
              </w:rPr>
              <w:t xml:space="preserve">on </w:t>
            </w:r>
            <w:r w:rsidR="006A3EF2" w:rsidRPr="00F25E8A">
              <w:rPr>
                <w:rFonts w:ascii="Cambria" w:eastAsia="Arial" w:hAnsi="Cambria"/>
              </w:rPr>
              <w:t>spawning</w:t>
            </w:r>
            <w:r w:rsidR="00096628">
              <w:rPr>
                <w:rFonts w:ascii="Cambria" w:eastAsia="Arial" w:hAnsi="Cambria"/>
              </w:rPr>
              <w:t xml:space="preserve">, </w:t>
            </w:r>
            <w:r w:rsidR="006A3EF2" w:rsidRPr="00F25E8A">
              <w:rPr>
                <w:rFonts w:ascii="Cambria" w:eastAsia="Arial" w:hAnsi="Cambria"/>
              </w:rPr>
              <w:t>early survival</w:t>
            </w:r>
            <w:r w:rsidR="006A3EF2">
              <w:rPr>
                <w:rFonts w:ascii="Cambria" w:eastAsia="Arial" w:hAnsi="Cambria"/>
              </w:rPr>
              <w:t xml:space="preserve"> and abundance.</w:t>
            </w:r>
          </w:p>
        </w:tc>
      </w:tr>
      <w:tr w:rsidR="006A3EF2" w:rsidRPr="00F25E8A" w14:paraId="60F6F4BC" w14:textId="77777777" w:rsidTr="00F93284">
        <w:trPr>
          <w:cantSplit/>
          <w:trHeight w:val="20"/>
        </w:trPr>
        <w:tc>
          <w:tcPr>
            <w:tcW w:w="3110" w:type="dxa"/>
            <w:tcBorders>
              <w:bottom w:val="single" w:sz="8" w:space="0" w:color="auto"/>
            </w:tcBorders>
            <w:shd w:val="clear" w:color="auto" w:fill="auto"/>
          </w:tcPr>
          <w:p w14:paraId="0391D7F5" w14:textId="77777777" w:rsidR="00096628" w:rsidRDefault="00096628" w:rsidP="00096628">
            <w:pPr>
              <w:spacing w:line="276" w:lineRule="auto"/>
              <w:rPr>
                <w:rFonts w:ascii="Cambria" w:eastAsia="Arial" w:hAnsi="Cambria"/>
              </w:rPr>
            </w:pPr>
            <w:r>
              <w:rPr>
                <w:rFonts w:ascii="Cambria" w:eastAsia="Arial" w:hAnsi="Cambria"/>
              </w:rPr>
              <w:t xml:space="preserve">Sep-Nov </w:t>
            </w:r>
            <w:r w:rsidRPr="00F25E8A">
              <w:rPr>
                <w:rFonts w:ascii="Cambria" w:eastAsia="Arial" w:hAnsi="Cambria"/>
              </w:rPr>
              <w:t xml:space="preserve">DMI </w:t>
            </w:r>
          </w:p>
          <w:p w14:paraId="1EAC7B49" w14:textId="1884456B" w:rsidR="002D6D7C" w:rsidRDefault="002D6D7C" w:rsidP="002D6D7C">
            <w:pPr>
              <w:spacing w:line="276" w:lineRule="auto"/>
              <w:rPr>
                <w:rFonts w:ascii="Cambria" w:eastAsia="Arial" w:hAnsi="Cambria"/>
                <w:i/>
              </w:rPr>
            </w:pPr>
            <w:r>
              <w:rPr>
                <w:rFonts w:ascii="Cambria" w:eastAsia="Arial" w:hAnsi="Cambria"/>
              </w:rPr>
              <w:t xml:space="preserve">  GS+</w:t>
            </w:r>
            <w:r w:rsidR="00164EFB">
              <w:rPr>
                <w:rFonts w:ascii="Cambria" w:eastAsia="Arial" w:hAnsi="Cambria"/>
              </w:rPr>
              <w:t>AF</w:t>
            </w:r>
            <w:r>
              <w:rPr>
                <w:rFonts w:ascii="Cambria" w:eastAsia="Arial" w:hAnsi="Cambria"/>
              </w:rPr>
              <w:t>:</w:t>
            </w:r>
            <w:r>
              <w:rPr>
                <w:rFonts w:ascii="Cambria" w:eastAsia="Arial" w:hAnsi="Cambria"/>
                <w:i/>
              </w:rPr>
              <w:t xml:space="preserve"> </w:t>
            </w:r>
            <w:proofErr w:type="spellStart"/>
            <w:r w:rsidR="000609CA">
              <w:rPr>
                <w:rFonts w:ascii="Cambria" w:eastAsia="Arial" w:hAnsi="Cambria"/>
                <w:i/>
              </w:rPr>
              <w:t>W</w:t>
            </w:r>
            <w:r w:rsidRPr="00F25E8A">
              <w:rPr>
                <w:rFonts w:ascii="Cambria" w:eastAsia="Arial" w:hAnsi="Cambria"/>
                <w:i/>
                <w:vertAlign w:val="subscript"/>
              </w:rPr>
              <w:t>t</w:t>
            </w:r>
            <w:proofErr w:type="spellEnd"/>
          </w:p>
          <w:p w14:paraId="5F3BB7A2" w14:textId="1D683C89" w:rsidR="006A3EF2" w:rsidRPr="00F25E8A" w:rsidRDefault="002D6D7C" w:rsidP="002D6D7C">
            <w:pPr>
              <w:spacing w:line="276" w:lineRule="auto"/>
              <w:rPr>
                <w:rFonts w:ascii="Cambria" w:eastAsia="Arial" w:hAnsi="Cambria"/>
              </w:rPr>
            </w:pPr>
            <w:r>
              <w:rPr>
                <w:rFonts w:ascii="Cambria" w:eastAsia="Arial" w:hAnsi="Cambria"/>
                <w:iCs/>
              </w:rPr>
              <w:t xml:space="preserve">  </w:t>
            </w:r>
            <w:r w:rsidRPr="00B03CAD">
              <w:rPr>
                <w:rFonts w:ascii="Cambria" w:eastAsia="Arial" w:hAnsi="Cambria"/>
                <w:iCs/>
              </w:rPr>
              <w:t>GS:</w:t>
            </w:r>
            <w:r>
              <w:rPr>
                <w:rFonts w:ascii="Cambria" w:eastAsia="Arial" w:hAnsi="Cambria"/>
                <w:i/>
              </w:rPr>
              <w:t xml:space="preserve"> </w:t>
            </w:r>
            <w:proofErr w:type="spellStart"/>
            <w:r w:rsidR="000609CA">
              <w:rPr>
                <w:rFonts w:ascii="Cambria" w:eastAsia="Arial" w:hAnsi="Cambria"/>
                <w:i/>
              </w:rPr>
              <w:t>W</w:t>
            </w:r>
            <w:r w:rsidRPr="00F25E8A">
              <w:rPr>
                <w:rFonts w:ascii="Cambria" w:eastAsia="Arial" w:hAnsi="Cambria"/>
                <w:i/>
                <w:vertAlign w:val="subscript"/>
              </w:rPr>
              <w:t>t</w:t>
            </w:r>
            <w:proofErr w:type="spellEnd"/>
            <w:r>
              <w:rPr>
                <w:rFonts w:ascii="Cambria" w:eastAsia="Arial" w:hAnsi="Cambria"/>
                <w:i/>
              </w:rPr>
              <w:t>,</w:t>
            </w:r>
            <w:r w:rsidRPr="00F25E8A">
              <w:rPr>
                <w:rFonts w:ascii="Cambria" w:eastAsia="Arial" w:hAnsi="Cambria"/>
                <w:i/>
              </w:rPr>
              <w:t xml:space="preserve"> </w:t>
            </w:r>
            <w:r w:rsidR="000609CA">
              <w:rPr>
                <w:rFonts w:ascii="Cambria" w:eastAsia="Arial" w:hAnsi="Cambria"/>
                <w:i/>
              </w:rPr>
              <w:t>W</w:t>
            </w:r>
            <w:r w:rsidRPr="00F25E8A">
              <w:rPr>
                <w:rFonts w:ascii="Cambria" w:eastAsia="Arial" w:hAnsi="Cambria"/>
                <w:i/>
                <w:vertAlign w:val="subscript"/>
              </w:rPr>
              <w:t>t</w:t>
            </w:r>
            <w:r>
              <w:rPr>
                <w:rFonts w:ascii="Cambria" w:eastAsia="Arial" w:hAnsi="Cambria"/>
                <w:i/>
                <w:vertAlign w:val="subscript"/>
              </w:rPr>
              <w:t>+1</w:t>
            </w:r>
            <w:r>
              <w:rPr>
                <w:rFonts w:ascii="Cambria" w:eastAsia="Arial" w:hAnsi="Cambria"/>
                <w:i/>
              </w:rPr>
              <w:t>,</w:t>
            </w:r>
            <w:r w:rsidRPr="00F25E8A">
              <w:rPr>
                <w:rFonts w:ascii="Cambria" w:eastAsia="Arial" w:hAnsi="Cambria"/>
                <w:i/>
              </w:rPr>
              <w:t xml:space="preserve"> </w:t>
            </w:r>
            <w:r>
              <w:rPr>
                <w:rFonts w:ascii="Cambria" w:eastAsia="Arial" w:hAnsi="Cambria"/>
                <w:i/>
              </w:rPr>
              <w:t>S</w:t>
            </w:r>
            <w:r w:rsidRPr="00F25E8A">
              <w:rPr>
                <w:rFonts w:ascii="Cambria" w:eastAsia="Arial" w:hAnsi="Cambria"/>
                <w:i/>
                <w:vertAlign w:val="subscript"/>
              </w:rPr>
              <w:t>t</w:t>
            </w:r>
            <w:r>
              <w:rPr>
                <w:rFonts w:ascii="Cambria" w:eastAsia="Arial" w:hAnsi="Cambria"/>
                <w:i/>
                <w:vertAlign w:val="subscript"/>
              </w:rPr>
              <w:t>+1</w:t>
            </w:r>
          </w:p>
        </w:tc>
        <w:tc>
          <w:tcPr>
            <w:tcW w:w="6170" w:type="dxa"/>
            <w:tcBorders>
              <w:bottom w:val="single" w:sz="8" w:space="0" w:color="auto"/>
            </w:tcBorders>
            <w:shd w:val="clear" w:color="auto" w:fill="auto"/>
          </w:tcPr>
          <w:p w14:paraId="1100A642" w14:textId="55FE2E6E" w:rsidR="006A3EF2" w:rsidRPr="00F25E8A" w:rsidRDefault="006A3EF2" w:rsidP="00D638A7">
            <w:pPr>
              <w:spacing w:line="276" w:lineRule="auto"/>
              <w:ind w:left="100"/>
              <w:rPr>
                <w:rFonts w:ascii="Cambria" w:eastAsia="Arial" w:hAnsi="Cambria"/>
              </w:rPr>
            </w:pPr>
            <w:r w:rsidRPr="00F25E8A">
              <w:rPr>
                <w:rFonts w:ascii="Cambria" w:eastAsia="Arial" w:hAnsi="Cambria"/>
              </w:rPr>
              <w:t>Negative DMI values in Sep</w:t>
            </w:r>
            <w:r>
              <w:rPr>
                <w:rFonts w:ascii="Cambria" w:eastAsia="Arial" w:hAnsi="Cambria"/>
              </w:rPr>
              <w:t>tember–</w:t>
            </w:r>
            <w:r w:rsidRPr="00F25E8A">
              <w:rPr>
                <w:rFonts w:ascii="Cambria" w:eastAsia="Arial" w:hAnsi="Cambria"/>
              </w:rPr>
              <w:t>Nov</w:t>
            </w:r>
            <w:r>
              <w:rPr>
                <w:rFonts w:ascii="Cambria" w:eastAsia="Arial" w:hAnsi="Cambria"/>
              </w:rPr>
              <w:t>ember</w:t>
            </w:r>
            <w:r w:rsidRPr="00F25E8A">
              <w:rPr>
                <w:rFonts w:ascii="Cambria" w:eastAsia="Arial" w:hAnsi="Cambria"/>
              </w:rPr>
              <w:t xml:space="preserve"> are associated with anoxic events </w:t>
            </w:r>
            <w:r>
              <w:rPr>
                <w:rFonts w:ascii="Cambria" w:eastAsia="Arial" w:hAnsi="Cambria"/>
              </w:rPr>
              <w:t>along</w:t>
            </w:r>
            <w:r w:rsidRPr="00F25E8A">
              <w:rPr>
                <w:rFonts w:ascii="Cambria" w:eastAsia="Arial" w:hAnsi="Cambria"/>
              </w:rPr>
              <w:t xml:space="preserve"> the Kerala coast</w:t>
            </w:r>
            <w:r>
              <w:rPr>
                <w:rFonts w:ascii="Cambria" w:eastAsia="Arial" w:hAnsi="Cambria"/>
              </w:rPr>
              <w:t xml:space="preserve"> which </w:t>
            </w:r>
            <w:r w:rsidR="00820BAB">
              <w:rPr>
                <w:rFonts w:ascii="Cambria" w:eastAsia="Arial" w:hAnsi="Cambria"/>
              </w:rPr>
              <w:t>drive</w:t>
            </w:r>
            <w:r>
              <w:rPr>
                <w:rFonts w:ascii="Cambria" w:eastAsia="Arial" w:hAnsi="Cambria"/>
              </w:rPr>
              <w:t xml:space="preserve"> fish offshore </w:t>
            </w:r>
            <w:r w:rsidR="007B7B73">
              <w:rPr>
                <w:rFonts w:ascii="Cambria" w:eastAsia="Arial" w:hAnsi="Cambria"/>
              </w:rPr>
              <w:t>and</w:t>
            </w:r>
            <w:r>
              <w:rPr>
                <w:rFonts w:ascii="Cambria" w:eastAsia="Arial" w:hAnsi="Cambria"/>
              </w:rPr>
              <w:t xml:space="preserve"> </w:t>
            </w:r>
            <w:r w:rsidR="00820BAB">
              <w:rPr>
                <w:rFonts w:ascii="Cambria" w:eastAsia="Arial" w:hAnsi="Cambria"/>
              </w:rPr>
              <w:t>reduce</w:t>
            </w:r>
            <w:r>
              <w:rPr>
                <w:rFonts w:ascii="Cambria" w:eastAsia="Arial" w:hAnsi="Cambria"/>
              </w:rPr>
              <w:t xml:space="preserve"> juvenile growth and survival.</w:t>
            </w:r>
          </w:p>
        </w:tc>
      </w:tr>
      <w:tr w:rsidR="00AA42F8" w:rsidRPr="00F25E8A" w14:paraId="4DAE404E" w14:textId="77777777" w:rsidTr="00AA42F8">
        <w:trPr>
          <w:cantSplit/>
          <w:trHeight w:val="20"/>
        </w:trPr>
        <w:tc>
          <w:tcPr>
            <w:tcW w:w="9280" w:type="dxa"/>
            <w:gridSpan w:val="2"/>
            <w:tcBorders>
              <w:top w:val="single" w:sz="8" w:space="0" w:color="auto"/>
              <w:bottom w:val="nil"/>
            </w:tcBorders>
            <w:shd w:val="clear" w:color="auto" w:fill="auto"/>
          </w:tcPr>
          <w:p w14:paraId="14BDBAA6" w14:textId="42E721EB" w:rsidR="00AA42F8" w:rsidRPr="00F25E8A" w:rsidRDefault="00AA42F8" w:rsidP="002D6D7C">
            <w:pPr>
              <w:spacing w:line="276" w:lineRule="auto"/>
              <w:rPr>
                <w:rFonts w:ascii="Cambria" w:eastAsia="Arial" w:hAnsi="Cambria"/>
              </w:rPr>
            </w:pPr>
            <w:r>
              <w:rPr>
                <w:rFonts w:ascii="Cambria" w:eastAsia="Arial" w:hAnsi="Cambria"/>
                <w:i/>
                <w:iCs/>
              </w:rPr>
              <w:t>Notes.</w:t>
            </w:r>
            <w:r>
              <w:rPr>
                <w:rFonts w:ascii="Cambria" w:eastAsia="Arial" w:hAnsi="Cambria"/>
              </w:rPr>
              <w:t xml:space="preserve"> Model codes: </w:t>
            </w:r>
            <w:r w:rsidR="003F5B3F">
              <w:rPr>
                <w:rFonts w:ascii="Cambria" w:eastAsia="Arial" w:hAnsi="Cambria"/>
              </w:rPr>
              <w:t>AF</w:t>
            </w:r>
            <w:r>
              <w:rPr>
                <w:rFonts w:ascii="Cambria" w:eastAsia="Arial" w:hAnsi="Cambria"/>
              </w:rPr>
              <w:t xml:space="preserve">, </w:t>
            </w:r>
            <w:r w:rsidR="003F5B3F">
              <w:rPr>
                <w:rFonts w:ascii="Cambria" w:eastAsia="Arial" w:hAnsi="Cambria"/>
              </w:rPr>
              <w:t xml:space="preserve">availability to the </w:t>
            </w:r>
            <w:r w:rsidR="00164EFB">
              <w:rPr>
                <w:rFonts w:ascii="Cambria" w:eastAsia="Arial" w:hAnsi="Cambria"/>
              </w:rPr>
              <w:t xml:space="preserve">nearshore </w:t>
            </w:r>
            <w:r w:rsidR="003F5B3F">
              <w:rPr>
                <w:rFonts w:ascii="Cambria" w:eastAsia="Arial" w:hAnsi="Cambria"/>
              </w:rPr>
              <w:t>fishery</w:t>
            </w:r>
            <w:r w:rsidR="00164EFB">
              <w:rPr>
                <w:rFonts w:ascii="Cambria" w:eastAsia="Arial" w:hAnsi="Cambria"/>
              </w:rPr>
              <w:t xml:space="preserve"> (movement inshore increases availability while movement offshore reduces availability)</w:t>
            </w:r>
            <w:r>
              <w:rPr>
                <w:rFonts w:ascii="Cambria" w:eastAsia="Arial" w:hAnsi="Cambria"/>
              </w:rPr>
              <w:t>; S</w:t>
            </w:r>
            <w:r w:rsidR="002D6D7C">
              <w:rPr>
                <w:rFonts w:ascii="Cambria" w:eastAsia="Arial" w:hAnsi="Cambria"/>
              </w:rPr>
              <w:t>S</w:t>
            </w:r>
            <w:r>
              <w:rPr>
                <w:rFonts w:ascii="Cambria" w:eastAsia="Arial" w:hAnsi="Cambria"/>
              </w:rPr>
              <w:t>, spawning</w:t>
            </w:r>
            <w:r w:rsidR="002D6D7C">
              <w:rPr>
                <w:rFonts w:ascii="Cambria" w:eastAsia="Arial" w:hAnsi="Cambria"/>
              </w:rPr>
              <w:t xml:space="preserve"> success</w:t>
            </w:r>
            <w:r>
              <w:rPr>
                <w:rFonts w:ascii="Cambria" w:eastAsia="Arial" w:hAnsi="Cambria"/>
              </w:rPr>
              <w:t xml:space="preserve">; </w:t>
            </w:r>
            <w:r w:rsidR="002D6D7C">
              <w:rPr>
                <w:rFonts w:ascii="Cambria" w:eastAsia="Arial" w:hAnsi="Cambria"/>
              </w:rPr>
              <w:t>GS</w:t>
            </w:r>
            <w:r>
              <w:rPr>
                <w:rFonts w:ascii="Cambria" w:eastAsia="Arial" w:hAnsi="Cambria"/>
              </w:rPr>
              <w:t xml:space="preserve">, </w:t>
            </w:r>
            <w:r w:rsidR="002D6D7C">
              <w:rPr>
                <w:rFonts w:ascii="Cambria" w:eastAsia="Arial" w:hAnsi="Cambria"/>
              </w:rPr>
              <w:t>growth and survival</w:t>
            </w:r>
            <w:r w:rsidRPr="004F1560">
              <w:rPr>
                <w:rFonts w:ascii="Cambria" w:eastAsia="Arial" w:hAnsi="Cambria"/>
              </w:rPr>
              <w:t xml:space="preserve">; </w:t>
            </w:r>
            <w:r w:rsidR="00820BAB">
              <w:rPr>
                <w:rFonts w:ascii="Cambria" w:eastAsia="Arial" w:hAnsi="Cambria"/>
              </w:rPr>
              <w:t>I</w:t>
            </w:r>
            <w:r w:rsidRPr="004F1560">
              <w:rPr>
                <w:rFonts w:ascii="Cambria" w:eastAsia="Arial" w:hAnsi="Cambria"/>
              </w:rPr>
              <w:t xml:space="preserve">A, </w:t>
            </w:r>
            <w:r w:rsidR="00820BAB">
              <w:rPr>
                <w:rFonts w:ascii="Cambria" w:eastAsia="Arial" w:hAnsi="Cambria"/>
              </w:rPr>
              <w:t xml:space="preserve">integrated </w:t>
            </w:r>
            <w:r w:rsidR="002D6D7C">
              <w:rPr>
                <w:rFonts w:ascii="Cambria" w:eastAsia="Arial" w:hAnsi="Cambria"/>
              </w:rPr>
              <w:t>abundance</w:t>
            </w:r>
            <w:r>
              <w:rPr>
                <w:rFonts w:ascii="Cambria" w:eastAsia="Arial" w:hAnsi="Cambria"/>
              </w:rPr>
              <w:t>. Environmental covariates</w:t>
            </w:r>
            <w:r w:rsidR="008E784A">
              <w:rPr>
                <w:rFonts w:ascii="Cambria" w:eastAsia="Arial" w:hAnsi="Cambria"/>
              </w:rPr>
              <w:t xml:space="preserve"> codes</w:t>
            </w:r>
            <w:r>
              <w:rPr>
                <w:rFonts w:ascii="Cambria" w:eastAsia="Arial" w:hAnsi="Cambria"/>
              </w:rPr>
              <w:t>: r-SST, regional (0-160km) sea surface temperature; ns-SST, nearshore (0-80km) sea surface temperature; CHL, chloro</w:t>
            </w:r>
            <w:r w:rsidRPr="004F1560">
              <w:rPr>
                <w:rFonts w:ascii="Cambria" w:eastAsia="Arial" w:hAnsi="Cambria"/>
              </w:rPr>
              <w:t>phyll</w:t>
            </w:r>
            <w:r>
              <w:rPr>
                <w:rFonts w:ascii="Cambria" w:eastAsia="Arial" w:hAnsi="Cambria"/>
              </w:rPr>
              <w:t xml:space="preserve">-a surface concentration; </w:t>
            </w:r>
            <w:r w:rsidRPr="004F1560">
              <w:rPr>
                <w:rFonts w:ascii="Cambria" w:eastAsia="Arial" w:hAnsi="Cambria"/>
              </w:rPr>
              <w:t xml:space="preserve">ONI, </w:t>
            </w:r>
            <w:r w:rsidRPr="003A3B17">
              <w:rPr>
                <w:rFonts w:ascii="Cambria" w:hAnsi="Cambria"/>
              </w:rPr>
              <w:t>Oceanic Niño Index;</w:t>
            </w:r>
            <w:r w:rsidRPr="004F1560">
              <w:rPr>
                <w:rFonts w:ascii="Cambria" w:eastAsia="Arial" w:hAnsi="Cambria"/>
              </w:rPr>
              <w:t xml:space="preserve"> DMI, </w:t>
            </w:r>
            <w:r w:rsidRPr="003A3B17">
              <w:rPr>
                <w:rFonts w:ascii="Cambria" w:hAnsi="Cambria"/>
              </w:rPr>
              <w:t>Dipole Mode Index</w:t>
            </w:r>
            <w:r>
              <w:rPr>
                <w:rFonts w:ascii="Cambria" w:hAnsi="Cambria"/>
              </w:rPr>
              <w:t>; PDO, Pacific Decadal Oscillation</w:t>
            </w:r>
            <w:r w:rsidR="008E784A">
              <w:rPr>
                <w:rFonts w:ascii="Cambria" w:hAnsi="Cambria"/>
              </w:rPr>
              <w:t xml:space="preserve"> index</w:t>
            </w:r>
            <w:r>
              <w:rPr>
                <w:rFonts w:ascii="Cambria" w:hAnsi="Cambria"/>
              </w:rPr>
              <w:t>; AMO, Atlantic Multidecadal Oscillation</w:t>
            </w:r>
            <w:r w:rsidR="008E784A">
              <w:rPr>
                <w:rFonts w:ascii="Cambria" w:hAnsi="Cambria"/>
              </w:rPr>
              <w:t xml:space="preserve"> index</w:t>
            </w:r>
            <w:r w:rsidRPr="003A3B17">
              <w:rPr>
                <w:rFonts w:ascii="Cambria" w:hAnsi="Cambria"/>
              </w:rPr>
              <w:t>.</w:t>
            </w:r>
          </w:p>
        </w:tc>
      </w:tr>
      <w:tr w:rsidR="006A3EF2" w:rsidRPr="00F25E8A" w14:paraId="50B0A31B" w14:textId="77777777" w:rsidTr="00F93284">
        <w:trPr>
          <w:cantSplit/>
          <w:trHeight w:val="20"/>
        </w:trPr>
        <w:tc>
          <w:tcPr>
            <w:tcW w:w="9280" w:type="dxa"/>
            <w:gridSpan w:val="2"/>
            <w:tcBorders>
              <w:top w:val="nil"/>
              <w:bottom w:val="nil"/>
            </w:tcBorders>
            <w:shd w:val="clear" w:color="auto" w:fill="auto"/>
          </w:tcPr>
          <w:p w14:paraId="3EB213DC" w14:textId="209C7FE5" w:rsidR="006A3EF2" w:rsidRPr="00F25E8A" w:rsidRDefault="006A3EF2" w:rsidP="00F84AA7">
            <w:pPr>
              <w:spacing w:line="276" w:lineRule="auto"/>
              <w:ind w:right="40"/>
              <w:jc w:val="both"/>
              <w:rPr>
                <w:rFonts w:ascii="Cambria" w:eastAsia="Arial" w:hAnsi="Cambria"/>
                <w:w w:val="99"/>
              </w:rPr>
            </w:pPr>
          </w:p>
        </w:tc>
      </w:tr>
    </w:tbl>
    <w:p w14:paraId="236E27E4" w14:textId="77777777" w:rsidR="00B91833" w:rsidRPr="00F25E8A" w:rsidRDefault="00B91833" w:rsidP="00D638A7">
      <w:pPr>
        <w:spacing w:line="276" w:lineRule="auto"/>
        <w:rPr>
          <w:rFonts w:ascii="Cambria" w:eastAsia="Arial" w:hAnsi="Cambria"/>
        </w:rPr>
        <w:sectPr w:rsidR="00B91833" w:rsidRPr="00F25E8A" w:rsidSect="00152255">
          <w:pgSz w:w="12240" w:h="15840"/>
          <w:pgMar w:top="1440" w:right="1440" w:bottom="1440" w:left="1440" w:header="0" w:footer="0" w:gutter="0"/>
          <w:cols w:space="0" w:equalWidth="0">
            <w:col w:w="9360"/>
          </w:cols>
          <w:docGrid w:linePitch="360"/>
        </w:sectPr>
      </w:pPr>
    </w:p>
    <w:p w14:paraId="74410D88" w14:textId="28D79FAF" w:rsidR="0000127E" w:rsidRPr="00007028" w:rsidRDefault="00007028" w:rsidP="00D638A7">
      <w:pPr>
        <w:pStyle w:val="TableCaption"/>
        <w:spacing w:line="276" w:lineRule="auto"/>
        <w:rPr>
          <w:i w:val="0"/>
        </w:rPr>
      </w:pPr>
      <w:bookmarkStart w:id="94" w:name="page2"/>
      <w:bookmarkEnd w:id="94"/>
      <w:r w:rsidRPr="00007028">
        <w:rPr>
          <w:b/>
          <w:bCs/>
          <w:i w:val="0"/>
          <w:iCs/>
        </w:rPr>
        <w:lastRenderedPageBreak/>
        <w:t>TABLE 2</w:t>
      </w:r>
      <w:r w:rsidRPr="00007028">
        <w:rPr>
          <w:i w:val="0"/>
          <w:iCs/>
        </w:rPr>
        <w:t xml:space="preserve"> Best-performing </w:t>
      </w:r>
      <w:r>
        <w:rPr>
          <w:i w:val="0"/>
          <w:iCs/>
        </w:rPr>
        <w:t xml:space="preserve">GAM </w:t>
      </w:r>
      <w:r w:rsidRPr="00007028">
        <w:rPr>
          <w:i w:val="0"/>
          <w:iCs/>
        </w:rPr>
        <w:t>models for the July–September (</w:t>
      </w:r>
      <m:oMath>
        <m:sSub>
          <m:sSubPr>
            <m:ctrlPr>
              <w:rPr>
                <w:rFonts w:ascii="Cambria Math" w:hAnsi="Cambria Math"/>
                <w:i w:val="0"/>
                <w:iCs/>
              </w:rPr>
            </m:ctrlPr>
          </m:sSubPr>
          <m:e>
            <m:r>
              <w:rPr>
                <w:rFonts w:ascii="Cambria Math" w:hAnsi="Cambria Math"/>
              </w:rPr>
              <m:t>S</m:t>
            </m:r>
          </m:e>
          <m:sub>
            <m:r>
              <w:rPr>
                <w:rFonts w:ascii="Cambria Math" w:hAnsi="Cambria Math"/>
              </w:rPr>
              <m:t>t</m:t>
            </m:r>
          </m:sub>
        </m:sSub>
        <m:r>
          <w:rPr>
            <w:rFonts w:ascii="Cambria Math" w:hAnsi="Cambria Math"/>
          </w:rPr>
          <m:t>)</m:t>
        </m:r>
      </m:oMath>
      <w:r w:rsidRPr="00007028">
        <w:rPr>
          <w:i w:val="0"/>
          <w:iCs/>
        </w:rPr>
        <w:t xml:space="preserve"> and October–March (</w:t>
      </w:r>
      <m:oMath>
        <m:sSub>
          <m:sSubPr>
            <m:ctrlPr>
              <w:rPr>
                <w:rFonts w:ascii="Cambria Math" w:hAnsi="Cambria Math"/>
                <w:i w:val="0"/>
                <w:iCs/>
              </w:rPr>
            </m:ctrlPr>
          </m:sSubPr>
          <m:e>
            <m:r>
              <w:rPr>
                <w:rFonts w:ascii="Cambria Math" w:hAnsi="Cambria Math"/>
              </w:rPr>
              <m:t>W</m:t>
            </m:r>
          </m:e>
          <m:sub>
            <m:r>
              <w:rPr>
                <w:rFonts w:ascii="Cambria Math" w:hAnsi="Cambria Math"/>
              </w:rPr>
              <m:t>t</m:t>
            </m:r>
          </m:sub>
        </m:sSub>
      </m:oMath>
      <w:r w:rsidRPr="00007028">
        <w:rPr>
          <w:i w:val="0"/>
          <w:iCs/>
        </w:rPr>
        <w:t xml:space="preserve">) catches. </w:t>
      </w:r>
      <w:r w:rsidR="0000127E" w:rsidRPr="00007028">
        <w:rPr>
          <w:i w:val="0"/>
        </w:rPr>
        <w:t xml:space="preserve">M is the base models with only prior catch as covariates. To the base models, the environmental covariates are added. </w:t>
      </w:r>
      <w:r w:rsidR="00A64AF3">
        <w:rPr>
          <w:i w:val="0"/>
        </w:rPr>
        <w:t>N</w:t>
      </w:r>
      <w:r w:rsidR="0000127E" w:rsidRPr="00007028">
        <w:rPr>
          <w:i w:val="0"/>
        </w:rPr>
        <w:t>earshore</w:t>
      </w:r>
      <w:r w:rsidR="00A64AF3">
        <w:rPr>
          <w:i w:val="0"/>
        </w:rPr>
        <w:t xml:space="preserve"> SST is</w:t>
      </w:r>
      <w:r w:rsidR="0000127E" w:rsidRPr="00007028">
        <w:rPr>
          <w:i w:val="0"/>
        </w:rPr>
        <w:t xml:space="preserve"> 0-80km</w:t>
      </w:r>
      <w:r w:rsidR="00A64AF3">
        <w:rPr>
          <w:i w:val="0"/>
        </w:rPr>
        <w:t xml:space="preserve"> from the coast </w:t>
      </w:r>
      <w:r w:rsidR="0000127E" w:rsidRPr="00007028">
        <w:rPr>
          <w:i w:val="0"/>
        </w:rPr>
        <w:t xml:space="preserve"> and </w:t>
      </w:r>
      <w:r w:rsidR="00A64AF3">
        <w:rPr>
          <w:i w:val="0"/>
        </w:rPr>
        <w:t xml:space="preserve">regional </w:t>
      </w:r>
      <w:r w:rsidR="0000127E" w:rsidRPr="00007028">
        <w:rPr>
          <w:i w:val="0"/>
        </w:rPr>
        <w:t xml:space="preserve">SST is 0-160km. The full set of nested covariate models </w:t>
      </w:r>
      <w:r w:rsidR="00321460">
        <w:rPr>
          <w:i w:val="0"/>
        </w:rPr>
        <w:t>with all tested environmental variables</w:t>
      </w:r>
      <w:r w:rsidR="0000127E" w:rsidRPr="00007028">
        <w:rPr>
          <w:i w:val="0"/>
        </w:rPr>
        <w:t xml:space="preserve"> are given in</w:t>
      </w:r>
      <w:r w:rsidR="006D2F2D">
        <w:rPr>
          <w:i w:val="0"/>
        </w:rPr>
        <w:t xml:space="preserve"> Tables A1, A2 and Table S7</w:t>
      </w:r>
      <w:r w:rsidR="00496E42">
        <w:rPr>
          <w:i w:val="0"/>
        </w:rPr>
        <w:t>.</w:t>
      </w:r>
    </w:p>
    <w:tbl>
      <w:tblPr>
        <w:tblW w:w="5000" w:type="pct"/>
        <w:tblLayout w:type="fixed"/>
        <w:tblLook w:val="07E0" w:firstRow="1" w:lastRow="1" w:firstColumn="1" w:lastColumn="1" w:noHBand="1" w:noVBand="1"/>
      </w:tblPr>
      <w:tblGrid>
        <w:gridCol w:w="3893"/>
        <w:gridCol w:w="696"/>
        <w:gridCol w:w="721"/>
        <w:gridCol w:w="869"/>
        <w:gridCol w:w="1056"/>
        <w:gridCol w:w="1056"/>
        <w:gridCol w:w="1069"/>
      </w:tblGrid>
      <w:tr w:rsidR="002A57DD" w14:paraId="6FA52004" w14:textId="77777777" w:rsidTr="00BA076B">
        <w:tc>
          <w:tcPr>
            <w:tcW w:w="2080" w:type="pct"/>
            <w:tcBorders>
              <w:bottom w:val="single" w:sz="18" w:space="0" w:color="auto"/>
            </w:tcBorders>
            <w:vAlign w:val="bottom"/>
          </w:tcPr>
          <w:p w14:paraId="7EB121E0" w14:textId="77777777" w:rsidR="0000127E" w:rsidRDefault="0000127E" w:rsidP="00B06C49">
            <w:pPr>
              <w:pStyle w:val="Compact"/>
            </w:pPr>
            <w:r>
              <w:t>Model</w:t>
            </w:r>
          </w:p>
        </w:tc>
        <w:tc>
          <w:tcPr>
            <w:tcW w:w="372" w:type="pct"/>
            <w:tcBorders>
              <w:bottom w:val="single" w:sz="18" w:space="0" w:color="auto"/>
            </w:tcBorders>
            <w:vAlign w:val="bottom"/>
          </w:tcPr>
          <w:p w14:paraId="6C6D77CC" w14:textId="27E67126" w:rsidR="0000127E" w:rsidRDefault="0000127E" w:rsidP="00B06C49">
            <w:pPr>
              <w:pStyle w:val="Compact"/>
              <w:jc w:val="center"/>
            </w:pPr>
            <w:r>
              <w:t>Res</w:t>
            </w:r>
            <w:r w:rsidR="00EB024A">
              <w:t xml:space="preserve">. </w:t>
            </w:r>
            <w:r>
              <w:t>df</w:t>
            </w:r>
          </w:p>
        </w:tc>
        <w:tc>
          <w:tcPr>
            <w:tcW w:w="385" w:type="pct"/>
            <w:tcBorders>
              <w:bottom w:val="single" w:sz="18" w:space="0" w:color="auto"/>
            </w:tcBorders>
            <w:vAlign w:val="bottom"/>
          </w:tcPr>
          <w:p w14:paraId="3E99BCD4" w14:textId="4D68B9FF" w:rsidR="0000127E" w:rsidRDefault="0000127E" w:rsidP="00B06C49">
            <w:pPr>
              <w:pStyle w:val="Compact"/>
              <w:jc w:val="center"/>
            </w:pPr>
            <w:r>
              <w:t>Adj</w:t>
            </w:r>
            <w:r w:rsidR="00EB024A">
              <w:t>.</w:t>
            </w:r>
            <w:r>
              <w:t xml:space="preserve"> R</w:t>
            </w:r>
            <w:r w:rsidRPr="00BA076B">
              <w:rPr>
                <w:vertAlign w:val="superscript"/>
              </w:rPr>
              <w:t>2</w:t>
            </w:r>
          </w:p>
        </w:tc>
        <w:tc>
          <w:tcPr>
            <w:tcW w:w="464" w:type="pct"/>
            <w:tcBorders>
              <w:bottom w:val="single" w:sz="18" w:space="0" w:color="auto"/>
            </w:tcBorders>
            <w:vAlign w:val="bottom"/>
          </w:tcPr>
          <w:p w14:paraId="2AEDE443" w14:textId="77777777" w:rsidR="0000127E" w:rsidRDefault="0000127E" w:rsidP="00B06C49">
            <w:pPr>
              <w:pStyle w:val="Compact"/>
              <w:jc w:val="center"/>
            </w:pPr>
            <w:r>
              <w:t>RMSE</w:t>
            </w:r>
          </w:p>
        </w:tc>
        <w:tc>
          <w:tcPr>
            <w:tcW w:w="564" w:type="pct"/>
            <w:tcBorders>
              <w:bottom w:val="single" w:sz="18" w:space="0" w:color="auto"/>
            </w:tcBorders>
            <w:vAlign w:val="bottom"/>
          </w:tcPr>
          <w:p w14:paraId="035AB09D" w14:textId="77777777" w:rsidR="0000127E" w:rsidRDefault="0000127E" w:rsidP="00B06C49">
            <w:pPr>
              <w:pStyle w:val="Compact"/>
              <w:jc w:val="center"/>
            </w:pPr>
            <w:r>
              <w:t>AICc</w:t>
            </w:r>
          </w:p>
        </w:tc>
        <w:tc>
          <w:tcPr>
            <w:tcW w:w="564" w:type="pct"/>
            <w:tcBorders>
              <w:bottom w:val="single" w:sz="18" w:space="0" w:color="auto"/>
            </w:tcBorders>
            <w:vAlign w:val="bottom"/>
          </w:tcPr>
          <w:p w14:paraId="2911564F" w14:textId="77777777" w:rsidR="0000127E" w:rsidRDefault="0000127E" w:rsidP="00B06C49">
            <w:pPr>
              <w:pStyle w:val="Compact"/>
              <w:jc w:val="center"/>
            </w:pPr>
            <w:r>
              <w:t>LOOCV</w:t>
            </w:r>
          </w:p>
          <w:p w14:paraId="49363B72" w14:textId="0A87467A" w:rsidR="0000127E" w:rsidRDefault="0000127E" w:rsidP="00B06C49">
            <w:pPr>
              <w:pStyle w:val="Compact"/>
              <w:jc w:val="center"/>
            </w:pPr>
            <w:r>
              <w:t>RMSE</w:t>
            </w:r>
          </w:p>
        </w:tc>
        <w:tc>
          <w:tcPr>
            <w:tcW w:w="571" w:type="pct"/>
            <w:tcBorders>
              <w:bottom w:val="single" w:sz="18" w:space="0" w:color="auto"/>
            </w:tcBorders>
            <w:vAlign w:val="bottom"/>
          </w:tcPr>
          <w:p w14:paraId="3A002574" w14:textId="77777777" w:rsidR="0000127E" w:rsidRDefault="0000127E" w:rsidP="00B06C49">
            <w:pPr>
              <w:pStyle w:val="Compact"/>
              <w:jc w:val="center"/>
            </w:pPr>
            <w:r>
              <w:t>LOOCV</w:t>
            </w:r>
          </w:p>
          <w:p w14:paraId="40935809" w14:textId="50647C44" w:rsidR="0000127E" w:rsidRDefault="0000127E" w:rsidP="00B06C49">
            <w:pPr>
              <w:pStyle w:val="Compact"/>
              <w:jc w:val="center"/>
            </w:pPr>
            <w:r>
              <w:t>MdAE</w:t>
            </w:r>
          </w:p>
        </w:tc>
      </w:tr>
      <w:tr w:rsidR="002A57DD" w14:paraId="45C77777" w14:textId="77777777" w:rsidTr="00BA076B">
        <w:tc>
          <w:tcPr>
            <w:tcW w:w="2080" w:type="pct"/>
            <w:tcBorders>
              <w:top w:val="single" w:sz="18" w:space="0" w:color="auto"/>
            </w:tcBorders>
          </w:tcPr>
          <w:p w14:paraId="2CCA35FC" w14:textId="08B98EB9" w:rsidR="0000127E" w:rsidRDefault="0000127E" w:rsidP="00007028">
            <w:pPr>
              <w:pStyle w:val="Compact"/>
            </w:pPr>
            <w:r>
              <w:rPr>
                <w:b/>
              </w:rPr>
              <w:t>July-Sept catch</w:t>
            </w:r>
            <w:r w:rsidR="00D638A7">
              <w:rPr>
                <w:b/>
              </w:rPr>
              <w:t xml:space="preserve"> 1983-2015</w:t>
            </w:r>
          </w:p>
        </w:tc>
        <w:tc>
          <w:tcPr>
            <w:tcW w:w="372" w:type="pct"/>
            <w:tcBorders>
              <w:top w:val="single" w:sz="18" w:space="0" w:color="auto"/>
            </w:tcBorders>
          </w:tcPr>
          <w:p w14:paraId="6485DA30" w14:textId="77777777" w:rsidR="0000127E" w:rsidRDefault="0000127E" w:rsidP="00007028">
            <w:pPr>
              <w:pStyle w:val="Compact"/>
              <w:jc w:val="center"/>
            </w:pPr>
            <w:r>
              <w:t> </w:t>
            </w:r>
          </w:p>
        </w:tc>
        <w:tc>
          <w:tcPr>
            <w:tcW w:w="385" w:type="pct"/>
            <w:tcBorders>
              <w:top w:val="single" w:sz="18" w:space="0" w:color="auto"/>
            </w:tcBorders>
          </w:tcPr>
          <w:p w14:paraId="7E1054E0" w14:textId="77777777" w:rsidR="0000127E" w:rsidRDefault="0000127E" w:rsidP="00007028">
            <w:pPr>
              <w:pStyle w:val="Compact"/>
              <w:jc w:val="center"/>
            </w:pPr>
            <w:r>
              <w:t> </w:t>
            </w:r>
          </w:p>
        </w:tc>
        <w:tc>
          <w:tcPr>
            <w:tcW w:w="464" w:type="pct"/>
            <w:tcBorders>
              <w:top w:val="single" w:sz="18" w:space="0" w:color="auto"/>
            </w:tcBorders>
          </w:tcPr>
          <w:p w14:paraId="539515BA" w14:textId="77777777" w:rsidR="0000127E" w:rsidRDefault="0000127E" w:rsidP="00007028">
            <w:pPr>
              <w:pStyle w:val="Compact"/>
              <w:jc w:val="center"/>
            </w:pPr>
            <w:r>
              <w:t> </w:t>
            </w:r>
          </w:p>
        </w:tc>
        <w:tc>
          <w:tcPr>
            <w:tcW w:w="564" w:type="pct"/>
            <w:tcBorders>
              <w:top w:val="single" w:sz="18" w:space="0" w:color="auto"/>
            </w:tcBorders>
          </w:tcPr>
          <w:p w14:paraId="196F6042" w14:textId="77777777" w:rsidR="0000127E" w:rsidRDefault="0000127E" w:rsidP="00007028">
            <w:pPr>
              <w:pStyle w:val="Compact"/>
              <w:jc w:val="center"/>
            </w:pPr>
            <w:r>
              <w:t> </w:t>
            </w:r>
          </w:p>
        </w:tc>
        <w:tc>
          <w:tcPr>
            <w:tcW w:w="564" w:type="pct"/>
            <w:tcBorders>
              <w:top w:val="single" w:sz="18" w:space="0" w:color="auto"/>
            </w:tcBorders>
          </w:tcPr>
          <w:p w14:paraId="60CC75BA" w14:textId="77777777" w:rsidR="0000127E" w:rsidRDefault="0000127E" w:rsidP="00007028">
            <w:pPr>
              <w:pStyle w:val="Compact"/>
              <w:jc w:val="center"/>
            </w:pPr>
            <w:r>
              <w:t> </w:t>
            </w:r>
          </w:p>
        </w:tc>
        <w:tc>
          <w:tcPr>
            <w:tcW w:w="571" w:type="pct"/>
            <w:tcBorders>
              <w:top w:val="single" w:sz="18" w:space="0" w:color="auto"/>
            </w:tcBorders>
          </w:tcPr>
          <w:p w14:paraId="1ECD51CA" w14:textId="77777777" w:rsidR="0000127E" w:rsidRDefault="0000127E" w:rsidP="00007028">
            <w:pPr>
              <w:pStyle w:val="Compact"/>
              <w:jc w:val="center"/>
            </w:pPr>
            <w:r>
              <w:t> </w:t>
            </w:r>
          </w:p>
        </w:tc>
      </w:tr>
      <w:tr w:rsidR="002A57DD" w14:paraId="79266645" w14:textId="77777777" w:rsidTr="00BA076B">
        <w:tc>
          <w:tcPr>
            <w:tcW w:w="2080" w:type="pct"/>
          </w:tcPr>
          <w:p w14:paraId="103EFC35"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372" w:type="pct"/>
          </w:tcPr>
          <w:p w14:paraId="5B5E26EA" w14:textId="77777777" w:rsidR="0000127E" w:rsidRDefault="0000127E" w:rsidP="00007028">
            <w:pPr>
              <w:pStyle w:val="Compact"/>
              <w:jc w:val="center"/>
            </w:pPr>
            <w:r>
              <w:t>33</w:t>
            </w:r>
          </w:p>
        </w:tc>
        <w:tc>
          <w:tcPr>
            <w:tcW w:w="385" w:type="pct"/>
          </w:tcPr>
          <w:p w14:paraId="4607B88C" w14:textId="77777777" w:rsidR="0000127E" w:rsidRDefault="0000127E" w:rsidP="00007028">
            <w:pPr>
              <w:pStyle w:val="Compact"/>
            </w:pPr>
          </w:p>
        </w:tc>
        <w:tc>
          <w:tcPr>
            <w:tcW w:w="464" w:type="pct"/>
          </w:tcPr>
          <w:p w14:paraId="313FAF06" w14:textId="33B3064A" w:rsidR="0000127E" w:rsidRDefault="0000127E" w:rsidP="00007028">
            <w:pPr>
              <w:pStyle w:val="Compact"/>
              <w:jc w:val="center"/>
            </w:pPr>
            <w:r>
              <w:t>1.6</w:t>
            </w:r>
            <w:r w:rsidR="00007028">
              <w:t>0</w:t>
            </w:r>
          </w:p>
        </w:tc>
        <w:tc>
          <w:tcPr>
            <w:tcW w:w="564" w:type="pct"/>
          </w:tcPr>
          <w:p w14:paraId="732A3CB0" w14:textId="77777777" w:rsidR="0000127E" w:rsidRDefault="0000127E" w:rsidP="00007028">
            <w:pPr>
              <w:pStyle w:val="Compact"/>
              <w:jc w:val="center"/>
            </w:pPr>
            <w:r>
              <w:t>126.6</w:t>
            </w:r>
          </w:p>
        </w:tc>
        <w:tc>
          <w:tcPr>
            <w:tcW w:w="564" w:type="pct"/>
          </w:tcPr>
          <w:p w14:paraId="36671F07" w14:textId="7848E2E8" w:rsidR="0000127E" w:rsidRDefault="0000127E" w:rsidP="00007028">
            <w:pPr>
              <w:pStyle w:val="Compact"/>
              <w:jc w:val="center"/>
            </w:pPr>
            <w:r>
              <w:t>1.6</w:t>
            </w:r>
            <w:r w:rsidR="00007028">
              <w:t>0</w:t>
            </w:r>
          </w:p>
        </w:tc>
        <w:tc>
          <w:tcPr>
            <w:tcW w:w="571" w:type="pct"/>
          </w:tcPr>
          <w:p w14:paraId="2D1E2962" w14:textId="77777777" w:rsidR="0000127E" w:rsidRDefault="0000127E" w:rsidP="00007028">
            <w:pPr>
              <w:pStyle w:val="Compact"/>
              <w:jc w:val="center"/>
            </w:pPr>
            <w:r>
              <w:t>0.56</w:t>
            </w:r>
          </w:p>
        </w:tc>
      </w:tr>
      <w:tr w:rsidR="002A57DD" w14:paraId="3C3579AF" w14:textId="77777777" w:rsidTr="00BA076B">
        <w:tc>
          <w:tcPr>
            <w:tcW w:w="2080" w:type="pct"/>
          </w:tcPr>
          <w:p w14:paraId="512E64D2" w14:textId="4E8F7760" w:rsidR="0000127E" w:rsidRDefault="0000127E" w:rsidP="00007028">
            <w:pPr>
              <w:pStyle w:val="Compact"/>
            </w:pPr>
            <w:r>
              <w:t>M</w:t>
            </w:r>
            <w:r w:rsidR="002A57DD">
              <w:t>0</w:t>
            </w:r>
            <w:r>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372" w:type="pct"/>
          </w:tcPr>
          <w:p w14:paraId="7BDE9A96" w14:textId="77777777" w:rsidR="0000127E" w:rsidRDefault="0000127E" w:rsidP="00007028">
            <w:pPr>
              <w:pStyle w:val="Compact"/>
              <w:jc w:val="center"/>
            </w:pPr>
            <w:r>
              <w:t>30</w:t>
            </w:r>
          </w:p>
        </w:tc>
        <w:tc>
          <w:tcPr>
            <w:tcW w:w="385" w:type="pct"/>
          </w:tcPr>
          <w:p w14:paraId="25DD6594" w14:textId="70E37D08" w:rsidR="0000127E" w:rsidRDefault="00B77E64" w:rsidP="00007028">
            <w:pPr>
              <w:pStyle w:val="Compact"/>
              <w:jc w:val="center"/>
            </w:pPr>
            <w:r>
              <w:t>2</w:t>
            </w:r>
            <w:r w:rsidR="00A2352B">
              <w:t>1.7</w:t>
            </w:r>
          </w:p>
        </w:tc>
        <w:tc>
          <w:tcPr>
            <w:tcW w:w="464" w:type="pct"/>
          </w:tcPr>
          <w:p w14:paraId="398EA69F" w14:textId="2167CBD0" w:rsidR="0000127E" w:rsidRDefault="0000127E" w:rsidP="00007028">
            <w:pPr>
              <w:pStyle w:val="Compact"/>
              <w:jc w:val="center"/>
            </w:pPr>
            <w:r>
              <w:t>1.2</w:t>
            </w:r>
            <w:r w:rsidR="00007028">
              <w:t>0</w:t>
            </w:r>
          </w:p>
        </w:tc>
        <w:tc>
          <w:tcPr>
            <w:tcW w:w="564" w:type="pct"/>
          </w:tcPr>
          <w:p w14:paraId="309B0305" w14:textId="77777777" w:rsidR="0000127E" w:rsidRDefault="0000127E" w:rsidP="00007028">
            <w:pPr>
              <w:pStyle w:val="Compact"/>
              <w:jc w:val="center"/>
            </w:pPr>
            <w:r>
              <w:t>115.2</w:t>
            </w:r>
          </w:p>
        </w:tc>
        <w:tc>
          <w:tcPr>
            <w:tcW w:w="564" w:type="pct"/>
          </w:tcPr>
          <w:p w14:paraId="45CFA7D0" w14:textId="77777777" w:rsidR="0000127E" w:rsidRDefault="0000127E" w:rsidP="00007028">
            <w:pPr>
              <w:pStyle w:val="Compact"/>
              <w:jc w:val="center"/>
            </w:pPr>
            <w:r>
              <w:t>1.31</w:t>
            </w:r>
          </w:p>
        </w:tc>
        <w:tc>
          <w:tcPr>
            <w:tcW w:w="571" w:type="pct"/>
          </w:tcPr>
          <w:p w14:paraId="4A65BDF7" w14:textId="77777777" w:rsidR="0000127E" w:rsidRDefault="0000127E" w:rsidP="00007028">
            <w:pPr>
              <w:pStyle w:val="Compact"/>
              <w:jc w:val="center"/>
            </w:pPr>
            <w:r>
              <w:t>0.69</w:t>
            </w:r>
          </w:p>
        </w:tc>
      </w:tr>
      <w:tr w:rsidR="002A57DD" w14:paraId="0D973105" w14:textId="77777777" w:rsidTr="00BA076B">
        <w:tc>
          <w:tcPr>
            <w:tcW w:w="2837" w:type="pct"/>
            <w:gridSpan w:val="3"/>
          </w:tcPr>
          <w:p w14:paraId="35ECC531" w14:textId="77777777" w:rsidR="002A57DD" w:rsidRDefault="002A57DD" w:rsidP="00007028">
            <w:pPr>
              <w:pStyle w:val="Compact"/>
            </w:pPr>
          </w:p>
          <w:p w14:paraId="5F6B0993" w14:textId="07510AC6"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 xml:space="preserve"> = M</w:t>
            </w:r>
            <w:r w:rsidR="002A57DD">
              <w:t>0</w:t>
            </w:r>
            <w:r>
              <w:t xml:space="preserve"> + </w:t>
            </w:r>
            <m:oMath>
              <m:r>
                <w:rPr>
                  <w:rFonts w:ascii="Cambria Math" w:hAnsi="Cambria Math"/>
                </w:rPr>
                <m:t>s(V)</m:t>
              </m:r>
            </m:oMath>
            <w:r>
              <w:t> </w:t>
            </w:r>
          </w:p>
        </w:tc>
        <w:tc>
          <w:tcPr>
            <w:tcW w:w="464" w:type="pct"/>
          </w:tcPr>
          <w:p w14:paraId="285B366D" w14:textId="77777777" w:rsidR="0000127E" w:rsidRDefault="0000127E" w:rsidP="00007028">
            <w:pPr>
              <w:pStyle w:val="Compact"/>
              <w:jc w:val="center"/>
            </w:pPr>
            <w:r>
              <w:t> </w:t>
            </w:r>
          </w:p>
        </w:tc>
        <w:tc>
          <w:tcPr>
            <w:tcW w:w="564" w:type="pct"/>
          </w:tcPr>
          <w:p w14:paraId="4E43CE43" w14:textId="77777777" w:rsidR="0000127E" w:rsidRDefault="0000127E" w:rsidP="00007028">
            <w:pPr>
              <w:pStyle w:val="Compact"/>
              <w:jc w:val="center"/>
            </w:pPr>
            <w:r>
              <w:t> </w:t>
            </w:r>
          </w:p>
        </w:tc>
        <w:tc>
          <w:tcPr>
            <w:tcW w:w="564" w:type="pct"/>
          </w:tcPr>
          <w:p w14:paraId="1A4CB1F0" w14:textId="77777777" w:rsidR="0000127E" w:rsidRDefault="0000127E" w:rsidP="00007028">
            <w:pPr>
              <w:pStyle w:val="Compact"/>
              <w:jc w:val="center"/>
            </w:pPr>
            <w:r>
              <w:t> </w:t>
            </w:r>
          </w:p>
        </w:tc>
        <w:tc>
          <w:tcPr>
            <w:tcW w:w="571" w:type="pct"/>
          </w:tcPr>
          <w:p w14:paraId="0B53169D" w14:textId="77777777" w:rsidR="0000127E" w:rsidRDefault="0000127E" w:rsidP="00007028">
            <w:pPr>
              <w:pStyle w:val="Compact"/>
              <w:jc w:val="center"/>
            </w:pPr>
            <w:r>
              <w:t> </w:t>
            </w:r>
          </w:p>
        </w:tc>
      </w:tr>
      <w:tr w:rsidR="002A57DD" w14:paraId="72B78E81" w14:textId="77777777" w:rsidTr="00BA076B">
        <w:tc>
          <w:tcPr>
            <w:tcW w:w="2080" w:type="pct"/>
          </w:tcPr>
          <w:p w14:paraId="0E9C9542" w14:textId="6A27A870" w:rsidR="0000127E" w:rsidRDefault="003E50FE" w:rsidP="00007028">
            <w:pPr>
              <w:pStyle w:val="Compact"/>
            </w:pPr>
            <m:oMath>
              <m:r>
                <w:rPr>
                  <w:rFonts w:ascii="Cambria Math" w:hAnsi="Cambria Math"/>
                </w:rPr>
                <m:t>V</m:t>
              </m:r>
            </m:oMath>
            <w:r w:rsidR="0000127E">
              <w:t xml:space="preserve"> = Jun-Sep </w:t>
            </w:r>
            <w:r w:rsidR="00745DB4">
              <w:t xml:space="preserve">nearshore </w:t>
            </w:r>
            <w:r w:rsidR="0000127E">
              <w:t>SST</w:t>
            </w:r>
            <w:r>
              <w:t xml:space="preserve"> </w:t>
            </w:r>
            <w:r w:rsidRPr="003E50FE">
              <w:rPr>
                <w:i/>
                <w:iCs/>
              </w:rPr>
              <w:t>t</w:t>
            </w:r>
          </w:p>
        </w:tc>
        <w:tc>
          <w:tcPr>
            <w:tcW w:w="372" w:type="pct"/>
          </w:tcPr>
          <w:p w14:paraId="2816B9E1" w14:textId="0E75D131" w:rsidR="0000127E" w:rsidRDefault="0000127E" w:rsidP="00007028">
            <w:pPr>
              <w:pStyle w:val="Compact"/>
              <w:jc w:val="center"/>
            </w:pPr>
            <w:r>
              <w:t>27.</w:t>
            </w:r>
            <w:r w:rsidR="00A2352B">
              <w:t>4</w:t>
            </w:r>
          </w:p>
        </w:tc>
        <w:tc>
          <w:tcPr>
            <w:tcW w:w="385" w:type="pct"/>
          </w:tcPr>
          <w:p w14:paraId="0AE5A95C" w14:textId="56CE01B7" w:rsidR="0000127E" w:rsidRDefault="0000127E" w:rsidP="00007028">
            <w:pPr>
              <w:pStyle w:val="Compact"/>
              <w:jc w:val="center"/>
            </w:pPr>
            <w:r>
              <w:t>3</w:t>
            </w:r>
            <w:r w:rsidR="00A2352B">
              <w:t>2.</w:t>
            </w:r>
            <w:r>
              <w:t>5</w:t>
            </w:r>
          </w:p>
        </w:tc>
        <w:tc>
          <w:tcPr>
            <w:tcW w:w="464" w:type="pct"/>
          </w:tcPr>
          <w:p w14:paraId="279EDFE0" w14:textId="58E70BFB" w:rsidR="0000127E" w:rsidRDefault="0000127E" w:rsidP="00007028">
            <w:pPr>
              <w:pStyle w:val="Compact"/>
              <w:jc w:val="center"/>
            </w:pPr>
            <w:r>
              <w:t>1.</w:t>
            </w:r>
            <w:r w:rsidR="00A2352B">
              <w:t>07</w:t>
            </w:r>
          </w:p>
        </w:tc>
        <w:tc>
          <w:tcPr>
            <w:tcW w:w="564" w:type="pct"/>
          </w:tcPr>
          <w:p w14:paraId="14FF69B9" w14:textId="3FFE7AA1" w:rsidR="0000127E" w:rsidRDefault="0000127E" w:rsidP="00007028">
            <w:pPr>
              <w:pStyle w:val="Compact"/>
              <w:jc w:val="center"/>
            </w:pPr>
            <w:r>
              <w:t>11</w:t>
            </w:r>
            <w:r w:rsidR="00062D8C">
              <w:t>5</w:t>
            </w:r>
            <w:r>
              <w:t>.</w:t>
            </w:r>
            <w:r w:rsidR="00062D8C">
              <w:t>2</w:t>
            </w:r>
          </w:p>
        </w:tc>
        <w:tc>
          <w:tcPr>
            <w:tcW w:w="564" w:type="pct"/>
          </w:tcPr>
          <w:p w14:paraId="25878D6A" w14:textId="49C4FA3A" w:rsidR="0000127E" w:rsidRDefault="0000127E" w:rsidP="00007028">
            <w:pPr>
              <w:pStyle w:val="Compact"/>
              <w:jc w:val="center"/>
            </w:pPr>
            <w:r>
              <w:t>1.</w:t>
            </w:r>
            <w:r w:rsidR="00062D8C">
              <w:t>31</w:t>
            </w:r>
          </w:p>
        </w:tc>
        <w:tc>
          <w:tcPr>
            <w:tcW w:w="571" w:type="pct"/>
          </w:tcPr>
          <w:p w14:paraId="5C48DF9E" w14:textId="2D2F268A" w:rsidR="0000127E" w:rsidRDefault="0000127E" w:rsidP="00007028">
            <w:pPr>
              <w:pStyle w:val="Compact"/>
              <w:jc w:val="center"/>
            </w:pPr>
            <w:r>
              <w:t>0.</w:t>
            </w:r>
            <w:r w:rsidR="00062D8C">
              <w:t>62</w:t>
            </w:r>
            <m:oMath>
              <m:r>
                <w:rPr>
                  <w:rFonts w:ascii="Cambria Math" w:hAnsi="Cambria Math"/>
                </w:rPr>
                <m:t>‡‡</m:t>
              </m:r>
            </m:oMath>
          </w:p>
        </w:tc>
      </w:tr>
      <w:tr w:rsidR="002A57DD" w14:paraId="413D2032" w14:textId="77777777" w:rsidTr="00BA076B">
        <w:tc>
          <w:tcPr>
            <w:tcW w:w="2080" w:type="pct"/>
          </w:tcPr>
          <w:p w14:paraId="6CB7AF46" w14:textId="32C38B74" w:rsidR="0000127E" w:rsidRDefault="003E50FE" w:rsidP="00007028">
            <w:pPr>
              <w:pStyle w:val="Compact"/>
            </w:pPr>
            <m:oMath>
              <m:r>
                <w:rPr>
                  <w:rFonts w:ascii="Cambria Math" w:hAnsi="Cambria Math"/>
                </w:rPr>
                <m:t>V</m:t>
              </m:r>
            </m:oMath>
            <w:r w:rsidR="0000127E">
              <w:t xml:space="preserve"> = Jun-Jul </w:t>
            </w:r>
            <w:r w:rsidR="005E47EF">
              <w:t>precipitation</w:t>
            </w:r>
            <w:r w:rsidR="002A57DD">
              <w:t xml:space="preserve"> </w:t>
            </w:r>
            <w:r w:rsidR="00745DB4">
              <w:t>over</w:t>
            </w:r>
            <w:r w:rsidR="0000127E">
              <w:t xml:space="preserve"> land</w:t>
            </w:r>
            <w:r>
              <w:t xml:space="preserve"> </w:t>
            </w:r>
            <w:r w:rsidRPr="003E50FE">
              <w:rPr>
                <w:i/>
                <w:iCs/>
              </w:rPr>
              <w:t>t</w:t>
            </w:r>
          </w:p>
        </w:tc>
        <w:tc>
          <w:tcPr>
            <w:tcW w:w="372" w:type="pct"/>
          </w:tcPr>
          <w:p w14:paraId="5DCC095D" w14:textId="65F81565" w:rsidR="0000127E" w:rsidRDefault="0000127E" w:rsidP="00007028">
            <w:pPr>
              <w:pStyle w:val="Compact"/>
              <w:jc w:val="center"/>
            </w:pPr>
            <w:r>
              <w:t>28</w:t>
            </w:r>
          </w:p>
        </w:tc>
        <w:tc>
          <w:tcPr>
            <w:tcW w:w="385" w:type="pct"/>
          </w:tcPr>
          <w:p w14:paraId="77901537" w14:textId="5E92F250" w:rsidR="0000127E" w:rsidRDefault="00A2352B" w:rsidP="00007028">
            <w:pPr>
              <w:pStyle w:val="Compact"/>
              <w:jc w:val="center"/>
            </w:pPr>
            <w:r>
              <w:t>29.9</w:t>
            </w:r>
          </w:p>
        </w:tc>
        <w:tc>
          <w:tcPr>
            <w:tcW w:w="464" w:type="pct"/>
          </w:tcPr>
          <w:p w14:paraId="6D8AD66A" w14:textId="35CD2B81" w:rsidR="0000127E" w:rsidRDefault="0000127E" w:rsidP="00007028">
            <w:pPr>
              <w:pStyle w:val="Compact"/>
              <w:jc w:val="center"/>
            </w:pPr>
            <w:r>
              <w:t>1.1</w:t>
            </w:r>
            <w:r w:rsidR="00007028">
              <w:t>0</w:t>
            </w:r>
          </w:p>
        </w:tc>
        <w:tc>
          <w:tcPr>
            <w:tcW w:w="564" w:type="pct"/>
          </w:tcPr>
          <w:p w14:paraId="02508F08" w14:textId="77777777" w:rsidR="0000127E" w:rsidRDefault="0000127E" w:rsidP="00007028">
            <w:pPr>
              <w:pStyle w:val="Compact"/>
              <w:jc w:val="center"/>
            </w:pPr>
            <w:r>
              <w:t>115.3</w:t>
            </w:r>
          </w:p>
        </w:tc>
        <w:tc>
          <w:tcPr>
            <w:tcW w:w="564" w:type="pct"/>
          </w:tcPr>
          <w:p w14:paraId="678BD662" w14:textId="77777777" w:rsidR="0000127E" w:rsidRDefault="0000127E" w:rsidP="00007028">
            <w:pPr>
              <w:pStyle w:val="Compact"/>
              <w:jc w:val="center"/>
            </w:pPr>
            <w:r>
              <w:t>1.33</w:t>
            </w:r>
          </w:p>
        </w:tc>
        <w:tc>
          <w:tcPr>
            <w:tcW w:w="571" w:type="pct"/>
          </w:tcPr>
          <w:p w14:paraId="7AAC5B72" w14:textId="77777777" w:rsidR="0000127E" w:rsidRDefault="0000127E" w:rsidP="00007028">
            <w:pPr>
              <w:pStyle w:val="Compact"/>
              <w:jc w:val="center"/>
            </w:pPr>
            <w:r>
              <w:t>0.62</w:t>
            </w:r>
            <m:oMath>
              <m:r>
                <w:rPr>
                  <w:rFonts w:ascii="Cambria Math" w:hAnsi="Cambria Math"/>
                </w:rPr>
                <m:t>‡‡</m:t>
              </m:r>
            </m:oMath>
          </w:p>
        </w:tc>
      </w:tr>
      <w:tr w:rsidR="002A57DD" w14:paraId="4BEEE576" w14:textId="77777777" w:rsidTr="00BA076B">
        <w:tc>
          <w:tcPr>
            <w:tcW w:w="2080" w:type="pct"/>
          </w:tcPr>
          <w:p w14:paraId="6108FAB3" w14:textId="71D4AF20" w:rsidR="0000127E" w:rsidRDefault="003E50FE" w:rsidP="00007028">
            <w:pPr>
              <w:pStyle w:val="Compact"/>
            </w:pPr>
            <m:oMath>
              <m:r>
                <w:rPr>
                  <w:rFonts w:ascii="Cambria Math" w:hAnsi="Cambria Math"/>
                </w:rPr>
                <m:t>V</m:t>
              </m:r>
            </m:oMath>
            <w:r>
              <w:t xml:space="preserve"> </w:t>
            </w:r>
            <w:r w:rsidR="0000127E">
              <w:t xml:space="preserve">= </w:t>
            </w:r>
            <w:r>
              <w:t>2.</w:t>
            </w:r>
            <w:r w:rsidR="0000127E">
              <w:t>5-year ave</w:t>
            </w:r>
            <w:r>
              <w:t>.</w:t>
            </w:r>
            <w:r w:rsidR="005E47EF">
              <w:t xml:space="preserve"> </w:t>
            </w:r>
            <w:r w:rsidR="00745DB4">
              <w:t xml:space="preserve">regional </w:t>
            </w:r>
            <w:r w:rsidR="0000127E">
              <w:t>SST</w:t>
            </w:r>
            <w:r w:rsidR="005E47EF">
              <w:t xml:space="preserve"> </w:t>
            </w:r>
            <w:r w:rsidRPr="003E50FE">
              <w:rPr>
                <w:i/>
                <w:iCs/>
              </w:rPr>
              <w:t>t</w:t>
            </w:r>
          </w:p>
        </w:tc>
        <w:tc>
          <w:tcPr>
            <w:tcW w:w="372" w:type="pct"/>
          </w:tcPr>
          <w:p w14:paraId="30868B61" w14:textId="0B1B1B03" w:rsidR="0000127E" w:rsidRDefault="0000127E" w:rsidP="00007028">
            <w:pPr>
              <w:pStyle w:val="Compact"/>
              <w:jc w:val="center"/>
            </w:pPr>
            <w:r>
              <w:t>2</w:t>
            </w:r>
            <w:r w:rsidR="00A2352B">
              <w:t>8</w:t>
            </w:r>
            <w:r>
              <w:t>.</w:t>
            </w:r>
            <w:r w:rsidR="00A2352B">
              <w:t>1</w:t>
            </w:r>
          </w:p>
        </w:tc>
        <w:tc>
          <w:tcPr>
            <w:tcW w:w="385" w:type="pct"/>
          </w:tcPr>
          <w:p w14:paraId="349DE6B9" w14:textId="29E7E5E8" w:rsidR="0000127E" w:rsidRDefault="00922AFC" w:rsidP="00007028">
            <w:pPr>
              <w:pStyle w:val="Compact"/>
              <w:jc w:val="center"/>
            </w:pPr>
            <w:r>
              <w:t>4</w:t>
            </w:r>
            <w:r w:rsidR="0000127E">
              <w:t>7</w:t>
            </w:r>
          </w:p>
        </w:tc>
        <w:tc>
          <w:tcPr>
            <w:tcW w:w="464" w:type="pct"/>
          </w:tcPr>
          <w:p w14:paraId="28A922EC" w14:textId="60C3D50D" w:rsidR="0000127E" w:rsidRDefault="00A2352B" w:rsidP="00007028">
            <w:pPr>
              <w:pStyle w:val="Compact"/>
              <w:jc w:val="center"/>
            </w:pPr>
            <w:r>
              <w:t>0</w:t>
            </w:r>
            <w:r w:rsidR="0000127E">
              <w:t>.</w:t>
            </w:r>
            <w:r>
              <w:t>96</w:t>
            </w:r>
          </w:p>
        </w:tc>
        <w:tc>
          <w:tcPr>
            <w:tcW w:w="564" w:type="pct"/>
          </w:tcPr>
          <w:p w14:paraId="7BAD77CB" w14:textId="3FDCC3CA" w:rsidR="0000127E" w:rsidRDefault="0000127E" w:rsidP="00007028">
            <w:pPr>
              <w:pStyle w:val="Compact"/>
              <w:jc w:val="center"/>
            </w:pPr>
            <w:r>
              <w:t>1</w:t>
            </w:r>
            <w:r w:rsidR="00062D8C">
              <w:t>05</w:t>
            </w:r>
            <w:r>
              <w:t>.</w:t>
            </w:r>
            <w:r w:rsidR="00062D8C">
              <w:t>7</w:t>
            </w:r>
            <m:oMath>
              <m:r>
                <w:rPr>
                  <w:rFonts w:ascii="Cambria Math" w:hAnsi="Cambria Math"/>
                </w:rPr>
                <m:t>††</m:t>
              </m:r>
            </m:oMath>
          </w:p>
        </w:tc>
        <w:tc>
          <w:tcPr>
            <w:tcW w:w="564" w:type="pct"/>
          </w:tcPr>
          <w:p w14:paraId="48D9B290" w14:textId="53D14CF5" w:rsidR="0000127E" w:rsidRDefault="0000127E" w:rsidP="00007028">
            <w:pPr>
              <w:pStyle w:val="Compact"/>
              <w:jc w:val="center"/>
            </w:pPr>
            <w:r>
              <w:t>1.</w:t>
            </w:r>
            <w:r w:rsidR="00A2352B">
              <w:t>38</w:t>
            </w:r>
          </w:p>
        </w:tc>
        <w:tc>
          <w:tcPr>
            <w:tcW w:w="571" w:type="pct"/>
          </w:tcPr>
          <w:p w14:paraId="62A4160D" w14:textId="4B04889D" w:rsidR="0000127E" w:rsidRDefault="0000127E" w:rsidP="00007028">
            <w:pPr>
              <w:pStyle w:val="Compact"/>
              <w:jc w:val="center"/>
            </w:pPr>
            <w:r>
              <w:t>0.</w:t>
            </w:r>
            <w:r w:rsidR="00062D8C">
              <w:t>56</w:t>
            </w:r>
            <m:oMath>
              <m:r>
                <w:rPr>
                  <w:rFonts w:ascii="Cambria Math" w:hAnsi="Cambria Math"/>
                </w:rPr>
                <m:t>‡‡</m:t>
              </m:r>
            </m:oMath>
          </w:p>
        </w:tc>
      </w:tr>
      <w:tr w:rsidR="005E47EF" w14:paraId="0854DA1E" w14:textId="77777777" w:rsidTr="00BA076B">
        <w:tc>
          <w:tcPr>
            <w:tcW w:w="2080" w:type="pct"/>
          </w:tcPr>
          <w:p w14:paraId="38FF685A" w14:textId="68B8A9D4" w:rsidR="005E47EF" w:rsidRDefault="003E50FE" w:rsidP="005E47EF">
            <w:pPr>
              <w:pStyle w:val="Compact"/>
              <w:rPr>
                <w:rFonts w:ascii="Times New Roman" w:eastAsia="Times New Roman" w:hAnsi="Times New Roman" w:cs="Times New Roman"/>
              </w:rPr>
            </w:pPr>
            <m:oMath>
              <m:r>
                <w:rPr>
                  <w:rFonts w:ascii="Cambria Math" w:hAnsi="Cambria Math"/>
                </w:rPr>
                <m:t>V</m:t>
              </m:r>
            </m:oMath>
            <w:r>
              <w:rPr>
                <w:rFonts w:eastAsiaTheme="minorEastAsia"/>
                <w:iCs/>
              </w:rPr>
              <w:t xml:space="preserve"> </w:t>
            </w:r>
            <w:r w:rsidR="005E47EF">
              <w:t xml:space="preserve">= AMO </w:t>
            </w:r>
            <w:r>
              <w:t xml:space="preserve">ave. </w:t>
            </w:r>
            <w:r w:rsidR="005E47EF">
              <w:t>J</w:t>
            </w:r>
            <w:r w:rsidR="00F0755C">
              <w:t>ul</w:t>
            </w:r>
            <w:r w:rsidR="005E47EF">
              <w:t>-</w:t>
            </w:r>
            <w:r w:rsidR="00F0755C">
              <w:t>Jun</w:t>
            </w:r>
            <w:r w:rsidR="005E47EF">
              <w:t xml:space="preserve"> </w:t>
            </w:r>
            <w:r>
              <w:rPr>
                <w:i/>
                <w:iCs/>
              </w:rPr>
              <w:t>t</w:t>
            </w:r>
          </w:p>
        </w:tc>
        <w:tc>
          <w:tcPr>
            <w:tcW w:w="372" w:type="pct"/>
          </w:tcPr>
          <w:p w14:paraId="395321AF" w14:textId="404AC6B4" w:rsidR="005E47EF" w:rsidRDefault="005E47EF" w:rsidP="005E47EF">
            <w:pPr>
              <w:pStyle w:val="Compact"/>
              <w:jc w:val="center"/>
            </w:pPr>
            <w:r>
              <w:t>27.</w:t>
            </w:r>
            <w:r w:rsidR="00F0755C">
              <w:t>5</w:t>
            </w:r>
          </w:p>
        </w:tc>
        <w:tc>
          <w:tcPr>
            <w:tcW w:w="385" w:type="pct"/>
          </w:tcPr>
          <w:p w14:paraId="453FFA02" w14:textId="1F823FCD" w:rsidR="005E47EF" w:rsidRDefault="005E47EF" w:rsidP="005E47EF">
            <w:pPr>
              <w:pStyle w:val="Compact"/>
              <w:jc w:val="center"/>
            </w:pPr>
            <w:r>
              <w:t>4</w:t>
            </w:r>
            <w:r w:rsidR="00A2352B">
              <w:t>7.5</w:t>
            </w:r>
          </w:p>
        </w:tc>
        <w:tc>
          <w:tcPr>
            <w:tcW w:w="464" w:type="pct"/>
          </w:tcPr>
          <w:p w14:paraId="42670AD9" w14:textId="66B0DA65" w:rsidR="005E47EF" w:rsidRDefault="005E47EF" w:rsidP="005E47EF">
            <w:pPr>
              <w:pStyle w:val="Compact"/>
              <w:jc w:val="center"/>
            </w:pPr>
            <w:r>
              <w:t>0.9</w:t>
            </w:r>
            <w:r w:rsidR="00F0755C">
              <w:t>4</w:t>
            </w:r>
          </w:p>
        </w:tc>
        <w:tc>
          <w:tcPr>
            <w:tcW w:w="564" w:type="pct"/>
          </w:tcPr>
          <w:p w14:paraId="061804CC" w14:textId="2F5FB925" w:rsidR="005E47EF" w:rsidRDefault="005E47EF" w:rsidP="005E47EF">
            <w:pPr>
              <w:pStyle w:val="Compact"/>
              <w:jc w:val="center"/>
            </w:pPr>
            <w:r>
              <w:t>10</w:t>
            </w:r>
            <w:r w:rsidR="00F0755C">
              <w:t>6</w:t>
            </w:r>
            <w:r>
              <w:t>.</w:t>
            </w:r>
            <w:r w:rsidR="00F0755C">
              <w:t>6</w:t>
            </w:r>
            <m:oMath>
              <m:r>
                <w:rPr>
                  <w:rFonts w:ascii="Cambria Math" w:hAnsi="Cambria Math"/>
                </w:rPr>
                <m:t>††</m:t>
              </m:r>
            </m:oMath>
          </w:p>
        </w:tc>
        <w:tc>
          <w:tcPr>
            <w:tcW w:w="564" w:type="pct"/>
          </w:tcPr>
          <w:p w14:paraId="627CB10B" w14:textId="396A1C2B" w:rsidR="005E47EF" w:rsidRDefault="005E47EF" w:rsidP="005E47EF">
            <w:pPr>
              <w:pStyle w:val="Compact"/>
              <w:jc w:val="center"/>
            </w:pPr>
            <w:r>
              <w:t>1.2</w:t>
            </w:r>
            <w:r w:rsidR="00F0755C">
              <w:t>2</w:t>
            </w:r>
            <m:oMath>
              <m:r>
                <w:rPr>
                  <w:rFonts w:ascii="Cambria Math" w:hAnsi="Cambria Math"/>
                </w:rPr>
                <m:t>‡</m:t>
              </m:r>
            </m:oMath>
          </w:p>
        </w:tc>
        <w:tc>
          <w:tcPr>
            <w:tcW w:w="571" w:type="pct"/>
          </w:tcPr>
          <w:p w14:paraId="64A0CFE8" w14:textId="31239864" w:rsidR="005E47EF" w:rsidRDefault="005E47EF" w:rsidP="005E47EF">
            <w:pPr>
              <w:pStyle w:val="Compact"/>
              <w:jc w:val="center"/>
            </w:pPr>
            <w:r>
              <w:t>0.</w:t>
            </w:r>
            <w:r w:rsidR="00F0755C">
              <w:t>56</w:t>
            </w:r>
            <m:oMath>
              <m:r>
                <w:rPr>
                  <w:rFonts w:ascii="Cambria Math" w:hAnsi="Cambria Math"/>
                </w:rPr>
                <m:t>‡‡</m:t>
              </m:r>
            </m:oMath>
          </w:p>
        </w:tc>
      </w:tr>
      <w:tr w:rsidR="005E47EF" w14:paraId="6D461424" w14:textId="77777777" w:rsidTr="00BA076B">
        <w:tc>
          <w:tcPr>
            <w:tcW w:w="2080" w:type="pct"/>
          </w:tcPr>
          <w:p w14:paraId="03687BAA" w14:textId="77777777" w:rsidR="005E47EF" w:rsidRDefault="005E47EF" w:rsidP="005E47EF">
            <w:pPr>
              <w:pStyle w:val="Compact"/>
            </w:pPr>
            <w:r>
              <w:t> </w:t>
            </w:r>
          </w:p>
        </w:tc>
        <w:tc>
          <w:tcPr>
            <w:tcW w:w="372" w:type="pct"/>
          </w:tcPr>
          <w:p w14:paraId="5A5CE11A" w14:textId="77777777" w:rsidR="005E47EF" w:rsidRDefault="005E47EF" w:rsidP="005E47EF">
            <w:pPr>
              <w:pStyle w:val="Compact"/>
              <w:jc w:val="center"/>
            </w:pPr>
            <w:r>
              <w:t> </w:t>
            </w:r>
          </w:p>
        </w:tc>
        <w:tc>
          <w:tcPr>
            <w:tcW w:w="385" w:type="pct"/>
          </w:tcPr>
          <w:p w14:paraId="38349310" w14:textId="77777777" w:rsidR="005E47EF" w:rsidRDefault="005E47EF" w:rsidP="005E47EF">
            <w:pPr>
              <w:pStyle w:val="Compact"/>
              <w:jc w:val="center"/>
            </w:pPr>
            <w:r>
              <w:t> </w:t>
            </w:r>
          </w:p>
        </w:tc>
        <w:tc>
          <w:tcPr>
            <w:tcW w:w="464" w:type="pct"/>
          </w:tcPr>
          <w:p w14:paraId="53FAA6E0" w14:textId="77777777" w:rsidR="005E47EF" w:rsidRDefault="005E47EF" w:rsidP="005E47EF">
            <w:pPr>
              <w:pStyle w:val="Compact"/>
              <w:jc w:val="center"/>
            </w:pPr>
            <w:r>
              <w:t> </w:t>
            </w:r>
          </w:p>
        </w:tc>
        <w:tc>
          <w:tcPr>
            <w:tcW w:w="564" w:type="pct"/>
          </w:tcPr>
          <w:p w14:paraId="51E0C5F3" w14:textId="77777777" w:rsidR="005E47EF" w:rsidRDefault="005E47EF" w:rsidP="005E47EF">
            <w:pPr>
              <w:pStyle w:val="Compact"/>
              <w:jc w:val="center"/>
            </w:pPr>
            <w:r>
              <w:t> </w:t>
            </w:r>
          </w:p>
        </w:tc>
        <w:tc>
          <w:tcPr>
            <w:tcW w:w="564" w:type="pct"/>
          </w:tcPr>
          <w:p w14:paraId="3716EEAB" w14:textId="77777777" w:rsidR="005E47EF" w:rsidRDefault="005E47EF" w:rsidP="005E47EF">
            <w:pPr>
              <w:pStyle w:val="Compact"/>
              <w:jc w:val="center"/>
            </w:pPr>
            <w:r>
              <w:t> </w:t>
            </w:r>
          </w:p>
        </w:tc>
        <w:tc>
          <w:tcPr>
            <w:tcW w:w="571" w:type="pct"/>
          </w:tcPr>
          <w:p w14:paraId="05CEE579" w14:textId="77777777" w:rsidR="005E47EF" w:rsidRDefault="005E47EF" w:rsidP="005E47EF">
            <w:pPr>
              <w:pStyle w:val="Compact"/>
              <w:jc w:val="center"/>
            </w:pPr>
            <w:r>
              <w:t> </w:t>
            </w:r>
          </w:p>
        </w:tc>
      </w:tr>
      <w:tr w:rsidR="005E47EF" w14:paraId="4F967D64" w14:textId="77777777" w:rsidTr="00D638A7">
        <w:tc>
          <w:tcPr>
            <w:tcW w:w="3301" w:type="pct"/>
            <w:gridSpan w:val="4"/>
          </w:tcPr>
          <w:p w14:paraId="1BB696BD" w14:textId="36DAC479" w:rsidR="005E47EF" w:rsidRDefault="005E47EF" w:rsidP="005E47EF">
            <w:pPr>
              <w:pStyle w:val="Compact"/>
            </w:pPr>
            <w:r>
              <w:rPr>
                <w:b/>
              </w:rPr>
              <w:t>October-March catch - simpler model 1983-2014</w:t>
            </w:r>
          </w:p>
        </w:tc>
        <w:tc>
          <w:tcPr>
            <w:tcW w:w="564" w:type="pct"/>
          </w:tcPr>
          <w:p w14:paraId="46C191D9" w14:textId="77777777" w:rsidR="005E47EF" w:rsidRDefault="005E47EF" w:rsidP="005E47EF">
            <w:pPr>
              <w:pStyle w:val="Compact"/>
              <w:jc w:val="center"/>
            </w:pPr>
            <w:r>
              <w:t> </w:t>
            </w:r>
          </w:p>
        </w:tc>
        <w:tc>
          <w:tcPr>
            <w:tcW w:w="564" w:type="pct"/>
          </w:tcPr>
          <w:p w14:paraId="0B050CB9" w14:textId="77777777" w:rsidR="005E47EF" w:rsidRDefault="005E47EF" w:rsidP="005E47EF">
            <w:pPr>
              <w:pStyle w:val="Compact"/>
              <w:jc w:val="center"/>
            </w:pPr>
            <w:r>
              <w:t> </w:t>
            </w:r>
          </w:p>
        </w:tc>
        <w:tc>
          <w:tcPr>
            <w:tcW w:w="571" w:type="pct"/>
          </w:tcPr>
          <w:p w14:paraId="5BC5D558" w14:textId="77777777" w:rsidR="005E47EF" w:rsidRDefault="005E47EF" w:rsidP="005E47EF">
            <w:pPr>
              <w:pStyle w:val="Compact"/>
              <w:jc w:val="center"/>
            </w:pPr>
            <w:r>
              <w:t> </w:t>
            </w:r>
          </w:p>
        </w:tc>
      </w:tr>
      <w:tr w:rsidR="005E47EF" w14:paraId="32B83678" w14:textId="77777777" w:rsidTr="00BA076B">
        <w:tc>
          <w:tcPr>
            <w:tcW w:w="2080" w:type="pct"/>
          </w:tcPr>
          <w:p w14:paraId="5B5538CC" w14:textId="56E3E0CE" w:rsidR="005E47EF" w:rsidRDefault="005E47EF" w:rsidP="005E47EF">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372" w:type="pct"/>
          </w:tcPr>
          <w:p w14:paraId="6F70D148" w14:textId="77777777" w:rsidR="005E47EF" w:rsidRDefault="005E47EF" w:rsidP="005E47EF">
            <w:pPr>
              <w:pStyle w:val="Compact"/>
              <w:jc w:val="center"/>
            </w:pPr>
            <w:r>
              <w:t>32</w:t>
            </w:r>
          </w:p>
        </w:tc>
        <w:tc>
          <w:tcPr>
            <w:tcW w:w="385" w:type="pct"/>
          </w:tcPr>
          <w:p w14:paraId="5619BBEE" w14:textId="77777777" w:rsidR="005E47EF" w:rsidRDefault="005E47EF" w:rsidP="005E47EF">
            <w:pPr>
              <w:pStyle w:val="Compact"/>
            </w:pPr>
          </w:p>
        </w:tc>
        <w:tc>
          <w:tcPr>
            <w:tcW w:w="464" w:type="pct"/>
          </w:tcPr>
          <w:p w14:paraId="344B6E35" w14:textId="166A8177" w:rsidR="005E47EF" w:rsidRDefault="005E47EF" w:rsidP="005E47EF">
            <w:pPr>
              <w:pStyle w:val="Compact"/>
              <w:jc w:val="center"/>
            </w:pPr>
            <w:r>
              <w:t>1.00</w:t>
            </w:r>
          </w:p>
        </w:tc>
        <w:tc>
          <w:tcPr>
            <w:tcW w:w="564" w:type="pct"/>
          </w:tcPr>
          <w:p w14:paraId="4CCFAB70" w14:textId="77777777" w:rsidR="005E47EF" w:rsidRDefault="005E47EF" w:rsidP="005E47EF">
            <w:pPr>
              <w:pStyle w:val="Compact"/>
              <w:jc w:val="center"/>
            </w:pPr>
            <w:r>
              <w:t>92.9</w:t>
            </w:r>
          </w:p>
        </w:tc>
        <w:tc>
          <w:tcPr>
            <w:tcW w:w="564" w:type="pct"/>
          </w:tcPr>
          <w:p w14:paraId="55F0CCC4" w14:textId="1456EB08" w:rsidR="005E47EF" w:rsidRDefault="005E47EF" w:rsidP="005E47EF">
            <w:pPr>
              <w:pStyle w:val="Compact"/>
              <w:jc w:val="center"/>
            </w:pPr>
            <w:r>
              <w:t>1.00</w:t>
            </w:r>
          </w:p>
        </w:tc>
        <w:tc>
          <w:tcPr>
            <w:tcW w:w="571" w:type="pct"/>
          </w:tcPr>
          <w:p w14:paraId="11EC5652" w14:textId="77777777" w:rsidR="005E47EF" w:rsidRDefault="005E47EF" w:rsidP="005E47EF">
            <w:pPr>
              <w:pStyle w:val="Compact"/>
              <w:jc w:val="center"/>
            </w:pPr>
            <w:r>
              <w:t>0.26</w:t>
            </w:r>
          </w:p>
        </w:tc>
      </w:tr>
      <w:tr w:rsidR="005E47EF" w14:paraId="76E6B138" w14:textId="77777777" w:rsidTr="00BA076B">
        <w:tc>
          <w:tcPr>
            <w:tcW w:w="2080" w:type="pct"/>
          </w:tcPr>
          <w:p w14:paraId="600E79A6" w14:textId="0D9AAB67" w:rsidR="005E47EF" w:rsidRDefault="005E47EF" w:rsidP="005E47EF">
            <w:pPr>
              <w:pStyle w:val="Compact"/>
            </w:pPr>
            <w:r>
              <w:t xml:space="preserve">M1: </w:t>
            </w:r>
            <m:oMath>
              <m:r>
                <w:rPr>
                  <w:rFonts w:ascii="Cambria Math" w:hAnsi="Cambria Math"/>
                </w:rPr>
                <m:t>ln(</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372" w:type="pct"/>
          </w:tcPr>
          <w:p w14:paraId="265DD044" w14:textId="77777777" w:rsidR="005E47EF" w:rsidRDefault="005E47EF" w:rsidP="005E47EF">
            <w:pPr>
              <w:pStyle w:val="Compact"/>
              <w:jc w:val="center"/>
            </w:pPr>
            <w:r>
              <w:t>29.1</w:t>
            </w:r>
          </w:p>
        </w:tc>
        <w:tc>
          <w:tcPr>
            <w:tcW w:w="385" w:type="pct"/>
          </w:tcPr>
          <w:p w14:paraId="780B76F3" w14:textId="01AE384F" w:rsidR="005E47EF" w:rsidRDefault="005E47EF" w:rsidP="005E47EF">
            <w:pPr>
              <w:pStyle w:val="Compact"/>
              <w:jc w:val="center"/>
            </w:pPr>
            <w:r>
              <w:t>4</w:t>
            </w:r>
            <w:r w:rsidR="00A2352B">
              <w:t>5.9</w:t>
            </w:r>
          </w:p>
        </w:tc>
        <w:tc>
          <w:tcPr>
            <w:tcW w:w="464" w:type="pct"/>
          </w:tcPr>
          <w:p w14:paraId="6ADF3598" w14:textId="77777777" w:rsidR="005E47EF" w:rsidRDefault="005E47EF" w:rsidP="005E47EF">
            <w:pPr>
              <w:pStyle w:val="Compact"/>
              <w:jc w:val="center"/>
            </w:pPr>
            <w:r>
              <w:t>0.82</w:t>
            </w:r>
          </w:p>
        </w:tc>
        <w:tc>
          <w:tcPr>
            <w:tcW w:w="564" w:type="pct"/>
          </w:tcPr>
          <w:p w14:paraId="10180906" w14:textId="77777777" w:rsidR="005E47EF" w:rsidRDefault="005E47EF" w:rsidP="005E47EF">
            <w:pPr>
              <w:pStyle w:val="Compact"/>
              <w:jc w:val="center"/>
            </w:pPr>
            <w:r>
              <w:t>87.7</w:t>
            </w:r>
          </w:p>
        </w:tc>
        <w:tc>
          <w:tcPr>
            <w:tcW w:w="564" w:type="pct"/>
          </w:tcPr>
          <w:p w14:paraId="051EE7F3" w14:textId="13B2D06C" w:rsidR="005E47EF" w:rsidRDefault="005E47EF" w:rsidP="005E47EF">
            <w:pPr>
              <w:pStyle w:val="Compact"/>
              <w:jc w:val="center"/>
            </w:pPr>
            <w:r>
              <w:t>0.9</w:t>
            </w:r>
            <w:r w:rsidR="00A2352B">
              <w:t>6</w:t>
            </w:r>
          </w:p>
        </w:tc>
        <w:tc>
          <w:tcPr>
            <w:tcW w:w="571" w:type="pct"/>
          </w:tcPr>
          <w:p w14:paraId="0DB514AC" w14:textId="77777777" w:rsidR="005E47EF" w:rsidRDefault="005E47EF" w:rsidP="005E47EF">
            <w:pPr>
              <w:pStyle w:val="Compact"/>
              <w:jc w:val="center"/>
            </w:pPr>
            <w:r>
              <w:t>0.32</w:t>
            </w:r>
          </w:p>
        </w:tc>
      </w:tr>
      <w:tr w:rsidR="005E47EF" w14:paraId="0C453282" w14:textId="77777777" w:rsidTr="00D638A7">
        <w:tc>
          <w:tcPr>
            <w:tcW w:w="3301" w:type="pct"/>
            <w:gridSpan w:val="4"/>
          </w:tcPr>
          <w:p w14:paraId="21F20B70" w14:textId="77777777" w:rsidR="005E47EF" w:rsidRDefault="005E47EF" w:rsidP="005E47EF">
            <w:pPr>
              <w:pStyle w:val="Compact"/>
            </w:pPr>
          </w:p>
          <w:p w14:paraId="6C1459CD" w14:textId="4DF268AC" w:rsidR="005E47EF" w:rsidRDefault="005E47EF" w:rsidP="005E47EF">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oMath>
            <w:r>
              <w:t xml:space="preserve"> = M1 + </w:t>
            </w:r>
            <m:oMath>
              <m:r>
                <w:rPr>
                  <w:rFonts w:ascii="Cambria Math" w:hAnsi="Cambria Math"/>
                </w:rPr>
                <m:t>s(V)</m:t>
              </m:r>
            </m:oMath>
          </w:p>
        </w:tc>
        <w:tc>
          <w:tcPr>
            <w:tcW w:w="564" w:type="pct"/>
          </w:tcPr>
          <w:p w14:paraId="63C60BA6" w14:textId="77777777" w:rsidR="005E47EF" w:rsidRDefault="005E47EF" w:rsidP="005E47EF">
            <w:pPr>
              <w:pStyle w:val="Compact"/>
              <w:jc w:val="center"/>
            </w:pPr>
            <w:r>
              <w:t> </w:t>
            </w:r>
          </w:p>
        </w:tc>
        <w:tc>
          <w:tcPr>
            <w:tcW w:w="564" w:type="pct"/>
          </w:tcPr>
          <w:p w14:paraId="3FB9DB03" w14:textId="77777777" w:rsidR="005E47EF" w:rsidRDefault="005E47EF" w:rsidP="005E47EF">
            <w:pPr>
              <w:pStyle w:val="Compact"/>
              <w:jc w:val="center"/>
            </w:pPr>
            <w:r>
              <w:t> </w:t>
            </w:r>
          </w:p>
        </w:tc>
        <w:tc>
          <w:tcPr>
            <w:tcW w:w="571" w:type="pct"/>
          </w:tcPr>
          <w:p w14:paraId="5813D7A8" w14:textId="77777777" w:rsidR="005E47EF" w:rsidRDefault="005E47EF" w:rsidP="005E47EF">
            <w:pPr>
              <w:pStyle w:val="Compact"/>
              <w:jc w:val="center"/>
            </w:pPr>
            <w:r>
              <w:t> </w:t>
            </w:r>
          </w:p>
        </w:tc>
      </w:tr>
      <w:tr w:rsidR="005E47EF" w14:paraId="53A5CEB5" w14:textId="77777777" w:rsidTr="00BA076B">
        <w:tc>
          <w:tcPr>
            <w:tcW w:w="2080" w:type="pct"/>
          </w:tcPr>
          <w:p w14:paraId="41B30225" w14:textId="67A66A1F" w:rsidR="005E47EF" w:rsidRDefault="003E50FE" w:rsidP="005E47EF">
            <w:pPr>
              <w:pStyle w:val="Compact"/>
            </w:pPr>
            <m:oMath>
              <m:r>
                <w:rPr>
                  <w:rFonts w:ascii="Cambria Math" w:hAnsi="Cambria Math"/>
                </w:rPr>
                <m:t>V</m:t>
              </m:r>
            </m:oMath>
            <w:r w:rsidR="005E47EF">
              <w:t xml:space="preserve"> = Jun-Jul </w:t>
            </w:r>
            <w:r w:rsidR="00BA5E79">
              <w:t>precipitation</w:t>
            </w:r>
            <w:r w:rsidR="005E47EF">
              <w:t xml:space="preserve"> </w:t>
            </w:r>
            <w:r w:rsidR="00745DB4">
              <w:t>over</w:t>
            </w:r>
            <w:r w:rsidR="005E47EF">
              <w:t xml:space="preserve"> land</w:t>
            </w:r>
            <w:r>
              <w:t xml:space="preserve"> </w:t>
            </w:r>
            <w:r w:rsidRPr="003E50FE">
              <w:rPr>
                <w:i/>
                <w:iCs/>
              </w:rPr>
              <w:t>t</w:t>
            </w:r>
          </w:p>
        </w:tc>
        <w:tc>
          <w:tcPr>
            <w:tcW w:w="372" w:type="pct"/>
          </w:tcPr>
          <w:p w14:paraId="0B661B9D" w14:textId="77777777" w:rsidR="005E47EF" w:rsidRDefault="005E47EF" w:rsidP="005E47EF">
            <w:pPr>
              <w:pStyle w:val="Compact"/>
              <w:jc w:val="center"/>
            </w:pPr>
            <w:r>
              <w:t>26.9</w:t>
            </w:r>
          </w:p>
        </w:tc>
        <w:tc>
          <w:tcPr>
            <w:tcW w:w="385" w:type="pct"/>
          </w:tcPr>
          <w:p w14:paraId="673E052A" w14:textId="764206B8" w:rsidR="005E47EF" w:rsidRDefault="00A2352B" w:rsidP="00BA076B">
            <w:pPr>
              <w:pStyle w:val="Compact"/>
            </w:pPr>
            <w:r>
              <w:t>59.6</w:t>
            </w:r>
          </w:p>
        </w:tc>
        <w:tc>
          <w:tcPr>
            <w:tcW w:w="464" w:type="pct"/>
          </w:tcPr>
          <w:p w14:paraId="5158FFC3" w14:textId="77777777" w:rsidR="005E47EF" w:rsidRDefault="005E47EF" w:rsidP="005E47EF">
            <w:pPr>
              <w:pStyle w:val="Compact"/>
              <w:jc w:val="center"/>
            </w:pPr>
            <w:r>
              <w:t>0.69</w:t>
            </w:r>
          </w:p>
        </w:tc>
        <w:tc>
          <w:tcPr>
            <w:tcW w:w="564" w:type="pct"/>
          </w:tcPr>
          <w:p w14:paraId="5E58BE12" w14:textId="77777777" w:rsidR="005E47EF" w:rsidRDefault="005E47EF" w:rsidP="005E47EF">
            <w:pPr>
              <w:pStyle w:val="Compact"/>
              <w:jc w:val="center"/>
            </w:pPr>
            <w:r>
              <w:t>82.1</w:t>
            </w:r>
            <m:oMath>
              <m:r>
                <w:rPr>
                  <w:rFonts w:ascii="Cambria Math" w:hAnsi="Cambria Math"/>
                </w:rPr>
                <m:t>††</m:t>
              </m:r>
            </m:oMath>
          </w:p>
        </w:tc>
        <w:tc>
          <w:tcPr>
            <w:tcW w:w="564" w:type="pct"/>
          </w:tcPr>
          <w:p w14:paraId="0D809767" w14:textId="77777777" w:rsidR="005E47EF" w:rsidRDefault="005E47EF" w:rsidP="005E47EF">
            <w:pPr>
              <w:pStyle w:val="Compact"/>
              <w:jc w:val="center"/>
            </w:pPr>
            <w:r>
              <w:t>0.91</w:t>
            </w:r>
            <m:oMath>
              <m:r>
                <w:rPr>
                  <w:rFonts w:ascii="Cambria Math" w:hAnsi="Cambria Math"/>
                </w:rPr>
                <m:t>‡</m:t>
              </m:r>
            </m:oMath>
          </w:p>
        </w:tc>
        <w:tc>
          <w:tcPr>
            <w:tcW w:w="571" w:type="pct"/>
          </w:tcPr>
          <w:p w14:paraId="193CFC3F" w14:textId="77777777" w:rsidR="005E47EF" w:rsidRDefault="005E47EF" w:rsidP="005E47EF">
            <w:pPr>
              <w:pStyle w:val="Compact"/>
              <w:jc w:val="center"/>
            </w:pPr>
            <w:r>
              <w:t>0.25</w:t>
            </w:r>
            <m:oMath>
              <m:r>
                <w:rPr>
                  <w:rFonts w:ascii="Cambria Math" w:hAnsi="Cambria Math"/>
                </w:rPr>
                <m:t>‡‡‡</m:t>
              </m:r>
            </m:oMath>
          </w:p>
        </w:tc>
      </w:tr>
      <w:tr w:rsidR="005E47EF" w14:paraId="77CBF1DB" w14:textId="77777777" w:rsidTr="00BA076B">
        <w:tc>
          <w:tcPr>
            <w:tcW w:w="2080" w:type="pct"/>
          </w:tcPr>
          <w:p w14:paraId="1AF7DD15" w14:textId="5E08AA6B" w:rsidR="005E47EF" w:rsidRDefault="003E50FE" w:rsidP="005E47EF">
            <w:pPr>
              <w:pStyle w:val="Compact"/>
            </w:pPr>
            <m:oMath>
              <m:r>
                <w:rPr>
                  <w:rFonts w:ascii="Cambria Math" w:hAnsi="Cambria Math"/>
                </w:rPr>
                <m:t>V</m:t>
              </m:r>
            </m:oMath>
            <w:r w:rsidR="005E47EF">
              <w:t xml:space="preserve"> = 2.5-year ave</w:t>
            </w:r>
            <w:r>
              <w:t>.</w:t>
            </w:r>
            <w:r w:rsidR="005E47EF">
              <w:t xml:space="preserve"> </w:t>
            </w:r>
            <w:r w:rsidR="00745DB4">
              <w:t xml:space="preserve">regional </w:t>
            </w:r>
            <w:r w:rsidR="005E47EF">
              <w:t>SST</w:t>
            </w:r>
            <w:r>
              <w:t xml:space="preserve"> </w:t>
            </w:r>
            <w:r w:rsidRPr="003E50FE">
              <w:rPr>
                <w:i/>
                <w:iCs/>
              </w:rPr>
              <w:t>t</w:t>
            </w:r>
          </w:p>
        </w:tc>
        <w:tc>
          <w:tcPr>
            <w:tcW w:w="372" w:type="pct"/>
          </w:tcPr>
          <w:p w14:paraId="31E9349D" w14:textId="4E1FF030" w:rsidR="005E47EF" w:rsidRDefault="00A2352B" w:rsidP="005E47EF">
            <w:pPr>
              <w:pStyle w:val="Compact"/>
              <w:jc w:val="center"/>
            </w:pPr>
            <w:r>
              <w:t>27</w:t>
            </w:r>
            <w:r w:rsidR="005E47EF">
              <w:t>.</w:t>
            </w:r>
            <w:r>
              <w:t>1</w:t>
            </w:r>
          </w:p>
        </w:tc>
        <w:tc>
          <w:tcPr>
            <w:tcW w:w="385" w:type="pct"/>
          </w:tcPr>
          <w:p w14:paraId="5A943789" w14:textId="3A4E2D7E" w:rsidR="005E47EF" w:rsidRDefault="005E47EF" w:rsidP="005E47EF">
            <w:pPr>
              <w:pStyle w:val="Compact"/>
              <w:jc w:val="center"/>
            </w:pPr>
            <w:r>
              <w:t>6</w:t>
            </w:r>
            <w:r w:rsidR="00A2352B">
              <w:t>5.9</w:t>
            </w:r>
          </w:p>
        </w:tc>
        <w:tc>
          <w:tcPr>
            <w:tcW w:w="464" w:type="pct"/>
          </w:tcPr>
          <w:p w14:paraId="03236E12" w14:textId="088488FC" w:rsidR="005E47EF" w:rsidRDefault="005E47EF" w:rsidP="005E47EF">
            <w:pPr>
              <w:pStyle w:val="Compact"/>
              <w:jc w:val="center"/>
            </w:pPr>
            <w:r>
              <w:t>0.6</w:t>
            </w:r>
            <w:r w:rsidR="00062D8C">
              <w:t>3</w:t>
            </w:r>
          </w:p>
        </w:tc>
        <w:tc>
          <w:tcPr>
            <w:tcW w:w="564" w:type="pct"/>
          </w:tcPr>
          <w:p w14:paraId="01426037" w14:textId="613D7475" w:rsidR="005E47EF" w:rsidRDefault="005E47EF" w:rsidP="005E47EF">
            <w:pPr>
              <w:pStyle w:val="Compact"/>
              <w:jc w:val="center"/>
            </w:pPr>
            <w:r>
              <w:t>7</w:t>
            </w:r>
            <w:r w:rsidR="00062D8C">
              <w:t>6.4</w:t>
            </w:r>
            <m:oMath>
              <m:r>
                <w:rPr>
                  <w:rFonts w:ascii="Cambria Math" w:hAnsi="Cambria Math"/>
                </w:rPr>
                <m:t>††</m:t>
              </m:r>
            </m:oMath>
          </w:p>
        </w:tc>
        <w:tc>
          <w:tcPr>
            <w:tcW w:w="564" w:type="pct"/>
          </w:tcPr>
          <w:p w14:paraId="6A71CFE2" w14:textId="7A6705C4" w:rsidR="005E47EF" w:rsidRDefault="005E47EF" w:rsidP="005E47EF">
            <w:pPr>
              <w:pStyle w:val="Compact"/>
              <w:jc w:val="center"/>
            </w:pPr>
            <w:r>
              <w:t>0.7</w:t>
            </w:r>
            <w:r w:rsidR="00062D8C">
              <w:t>7</w:t>
            </w:r>
            <m:oMath>
              <m:r>
                <w:rPr>
                  <w:rFonts w:ascii="Cambria Math" w:hAnsi="Cambria Math"/>
                </w:rPr>
                <m:t>‡‡</m:t>
              </m:r>
            </m:oMath>
          </w:p>
        </w:tc>
        <w:tc>
          <w:tcPr>
            <w:tcW w:w="571" w:type="pct"/>
          </w:tcPr>
          <w:p w14:paraId="2B4100E4" w14:textId="279B5C51" w:rsidR="005E47EF" w:rsidRDefault="005E47EF" w:rsidP="005E47EF">
            <w:pPr>
              <w:pStyle w:val="Compact"/>
              <w:jc w:val="center"/>
            </w:pPr>
            <w:r>
              <w:t>0.</w:t>
            </w:r>
            <w:r w:rsidR="00062D8C">
              <w:t>41</w:t>
            </w:r>
          </w:p>
        </w:tc>
      </w:tr>
      <w:tr w:rsidR="005E47EF" w14:paraId="55BC6CDE" w14:textId="77777777" w:rsidTr="00BA076B">
        <w:tc>
          <w:tcPr>
            <w:tcW w:w="2080" w:type="pct"/>
          </w:tcPr>
          <w:p w14:paraId="660A6640" w14:textId="613192C2" w:rsidR="005E47EF" w:rsidRDefault="003E50FE" w:rsidP="005E47EF">
            <w:pPr>
              <w:pStyle w:val="Compact"/>
            </w:pPr>
            <m:oMath>
              <m:r>
                <w:rPr>
                  <w:rFonts w:ascii="Cambria Math" w:hAnsi="Cambria Math"/>
                </w:rPr>
                <m:t>V</m:t>
              </m:r>
            </m:oMath>
            <w:r>
              <w:rPr>
                <w:rFonts w:eastAsiaTheme="minorEastAsia"/>
                <w:iCs/>
              </w:rPr>
              <w:t xml:space="preserve"> </w:t>
            </w:r>
            <w:r w:rsidR="005E47EF">
              <w:t xml:space="preserve">= Sep-Nov DMI </w:t>
            </w:r>
            <w:r w:rsidRPr="003E50FE">
              <w:rPr>
                <w:i/>
                <w:iCs/>
              </w:rPr>
              <w:t>t-1</w:t>
            </w:r>
          </w:p>
        </w:tc>
        <w:tc>
          <w:tcPr>
            <w:tcW w:w="372" w:type="pct"/>
          </w:tcPr>
          <w:p w14:paraId="3801A3A8" w14:textId="6433FC42" w:rsidR="005E47EF" w:rsidRDefault="005E47EF" w:rsidP="005E47EF">
            <w:pPr>
              <w:pStyle w:val="Compact"/>
              <w:jc w:val="center"/>
            </w:pPr>
            <w:r>
              <w:t>26</w:t>
            </w:r>
          </w:p>
        </w:tc>
        <w:tc>
          <w:tcPr>
            <w:tcW w:w="385" w:type="pct"/>
          </w:tcPr>
          <w:p w14:paraId="31F027EB" w14:textId="6E85E372" w:rsidR="005E47EF" w:rsidRDefault="005E47EF" w:rsidP="005E47EF">
            <w:pPr>
              <w:pStyle w:val="Compact"/>
              <w:jc w:val="center"/>
            </w:pPr>
            <w:r>
              <w:t>44</w:t>
            </w:r>
            <w:r w:rsidR="002C5680">
              <w:t>.4</w:t>
            </w:r>
          </w:p>
        </w:tc>
        <w:tc>
          <w:tcPr>
            <w:tcW w:w="464" w:type="pct"/>
          </w:tcPr>
          <w:p w14:paraId="65382B93" w14:textId="063754EA" w:rsidR="005E47EF" w:rsidRDefault="005E47EF" w:rsidP="005E47EF">
            <w:pPr>
              <w:pStyle w:val="Compact"/>
              <w:jc w:val="center"/>
            </w:pPr>
            <w:r>
              <w:t>0.79</w:t>
            </w:r>
          </w:p>
        </w:tc>
        <w:tc>
          <w:tcPr>
            <w:tcW w:w="564" w:type="pct"/>
          </w:tcPr>
          <w:p w14:paraId="36EC9200" w14:textId="396166BD" w:rsidR="005E47EF" w:rsidRDefault="005E47EF" w:rsidP="005E47EF">
            <w:pPr>
              <w:pStyle w:val="Compact"/>
              <w:jc w:val="center"/>
            </w:pPr>
            <w:r>
              <w:t>94.</w:t>
            </w:r>
            <w:r w:rsidR="002C5680">
              <w:t>3</w:t>
            </w:r>
          </w:p>
        </w:tc>
        <w:tc>
          <w:tcPr>
            <w:tcW w:w="564" w:type="pct"/>
          </w:tcPr>
          <w:p w14:paraId="2CA9DD8C" w14:textId="5095E2CF" w:rsidR="005E47EF" w:rsidRDefault="005E47EF" w:rsidP="005E47EF">
            <w:pPr>
              <w:pStyle w:val="Compact"/>
              <w:jc w:val="center"/>
            </w:pPr>
            <w:r>
              <w:t>0.95</w:t>
            </w:r>
          </w:p>
        </w:tc>
        <w:tc>
          <w:tcPr>
            <w:tcW w:w="571" w:type="pct"/>
          </w:tcPr>
          <w:p w14:paraId="0BA50BA5" w14:textId="3FE7784C" w:rsidR="005E47EF" w:rsidRDefault="005E47EF" w:rsidP="005E47EF">
            <w:pPr>
              <w:pStyle w:val="Compact"/>
              <w:jc w:val="center"/>
            </w:pPr>
            <w:r>
              <w:t>0.34</w:t>
            </w:r>
          </w:p>
        </w:tc>
      </w:tr>
      <w:tr w:rsidR="005E47EF" w14:paraId="465969CB" w14:textId="77777777" w:rsidTr="00BA076B">
        <w:tc>
          <w:tcPr>
            <w:tcW w:w="2080" w:type="pct"/>
          </w:tcPr>
          <w:p w14:paraId="64CB3D86" w14:textId="5DD2F631" w:rsidR="005E47EF" w:rsidRDefault="003E50FE" w:rsidP="005E47EF">
            <w:pPr>
              <w:pStyle w:val="Compact"/>
              <w:rPr>
                <w:rFonts w:ascii="Times New Roman" w:eastAsia="Times New Roman" w:hAnsi="Times New Roman" w:cs="Times New Roman"/>
              </w:rPr>
            </w:pPr>
            <m:oMath>
              <m:r>
                <w:rPr>
                  <w:rFonts w:ascii="Cambria Math" w:hAnsi="Cambria Math"/>
                </w:rPr>
                <m:t>V</m:t>
              </m:r>
            </m:oMath>
            <w:r w:rsidR="005E47EF">
              <w:t xml:space="preserve">= AMO </w:t>
            </w:r>
            <w:r>
              <w:t xml:space="preserve">ave. </w:t>
            </w:r>
            <w:r w:rsidR="005E47EF">
              <w:t>J</w:t>
            </w:r>
            <w:r w:rsidR="00F0755C">
              <w:t xml:space="preserve">ul-Jun </w:t>
            </w:r>
            <w:r>
              <w:rPr>
                <w:i/>
                <w:iCs/>
              </w:rPr>
              <w:t>t</w:t>
            </w:r>
          </w:p>
        </w:tc>
        <w:tc>
          <w:tcPr>
            <w:tcW w:w="372" w:type="pct"/>
          </w:tcPr>
          <w:p w14:paraId="64041A37" w14:textId="64BD5B5A" w:rsidR="005E47EF" w:rsidRDefault="005E47EF" w:rsidP="005E47EF">
            <w:pPr>
              <w:pStyle w:val="Compact"/>
              <w:jc w:val="center"/>
            </w:pPr>
            <w:r>
              <w:t>26.</w:t>
            </w:r>
            <w:r w:rsidR="00F0755C">
              <w:t>6</w:t>
            </w:r>
          </w:p>
        </w:tc>
        <w:tc>
          <w:tcPr>
            <w:tcW w:w="385" w:type="pct"/>
          </w:tcPr>
          <w:p w14:paraId="0C6E9656" w14:textId="68AF36AD" w:rsidR="005E47EF" w:rsidRDefault="005E47EF" w:rsidP="005E47EF">
            <w:pPr>
              <w:pStyle w:val="Compact"/>
              <w:jc w:val="center"/>
            </w:pPr>
            <w:r>
              <w:t>6</w:t>
            </w:r>
            <w:r w:rsidR="002C5680">
              <w:t>3.8</w:t>
            </w:r>
          </w:p>
        </w:tc>
        <w:tc>
          <w:tcPr>
            <w:tcW w:w="464" w:type="pct"/>
          </w:tcPr>
          <w:p w14:paraId="098A195E" w14:textId="22F3635A" w:rsidR="005E47EF" w:rsidRDefault="005E47EF" w:rsidP="005E47EF">
            <w:pPr>
              <w:pStyle w:val="Compact"/>
              <w:jc w:val="center"/>
            </w:pPr>
            <w:r>
              <w:t>0.6</w:t>
            </w:r>
            <w:r w:rsidR="00F0755C">
              <w:t>4</w:t>
            </w:r>
          </w:p>
        </w:tc>
        <w:tc>
          <w:tcPr>
            <w:tcW w:w="564" w:type="pct"/>
          </w:tcPr>
          <w:p w14:paraId="11FBE080" w14:textId="3E1EEC2E" w:rsidR="005E47EF" w:rsidRDefault="00F0755C" w:rsidP="005E47EF">
            <w:pPr>
              <w:pStyle w:val="Compact"/>
              <w:jc w:val="center"/>
            </w:pPr>
            <w:r>
              <w:t>79</w:t>
            </w:r>
            <w:r w:rsidR="005E47EF">
              <w:t>.4</w:t>
            </w:r>
            <m:oMath>
              <m:r>
                <w:rPr>
                  <w:rFonts w:ascii="Cambria Math" w:hAnsi="Cambria Math"/>
                </w:rPr>
                <m:t>††</m:t>
              </m:r>
            </m:oMath>
          </w:p>
        </w:tc>
        <w:tc>
          <w:tcPr>
            <w:tcW w:w="564" w:type="pct"/>
          </w:tcPr>
          <w:p w14:paraId="06E04E91" w14:textId="0A9E4C15" w:rsidR="005E47EF" w:rsidRDefault="005E47EF" w:rsidP="005E47EF">
            <w:pPr>
              <w:pStyle w:val="Compact"/>
              <w:jc w:val="center"/>
            </w:pPr>
            <w:r>
              <w:t>0.8</w:t>
            </w:r>
            <w:r w:rsidR="00F0755C">
              <w:t>1</w:t>
            </w:r>
            <m:oMath>
              <m:r>
                <w:rPr>
                  <w:rFonts w:ascii="Cambria Math" w:hAnsi="Cambria Math"/>
                </w:rPr>
                <m:t>‡‡</m:t>
              </m:r>
            </m:oMath>
          </w:p>
        </w:tc>
        <w:tc>
          <w:tcPr>
            <w:tcW w:w="571" w:type="pct"/>
          </w:tcPr>
          <w:p w14:paraId="6632CFC3" w14:textId="3584DAEB" w:rsidR="005E47EF" w:rsidRDefault="005E47EF" w:rsidP="005E47EF">
            <w:pPr>
              <w:pStyle w:val="Compact"/>
              <w:jc w:val="center"/>
            </w:pPr>
            <w:r>
              <w:t>0.3</w:t>
            </w:r>
            <w:r w:rsidR="00F0755C">
              <w:t>8</w:t>
            </w:r>
          </w:p>
        </w:tc>
      </w:tr>
      <w:tr w:rsidR="005E47EF" w14:paraId="0D659E82" w14:textId="77777777" w:rsidTr="00BA076B">
        <w:tc>
          <w:tcPr>
            <w:tcW w:w="2080" w:type="pct"/>
          </w:tcPr>
          <w:p w14:paraId="38A955C5" w14:textId="77777777" w:rsidR="005E47EF" w:rsidRDefault="005E47EF" w:rsidP="005E47EF">
            <w:pPr>
              <w:pStyle w:val="Compact"/>
            </w:pPr>
            <w:r>
              <w:t> </w:t>
            </w:r>
          </w:p>
        </w:tc>
        <w:tc>
          <w:tcPr>
            <w:tcW w:w="372" w:type="pct"/>
          </w:tcPr>
          <w:p w14:paraId="534C273B" w14:textId="77777777" w:rsidR="005E47EF" w:rsidRDefault="005E47EF" w:rsidP="005E47EF">
            <w:pPr>
              <w:pStyle w:val="Compact"/>
              <w:jc w:val="center"/>
            </w:pPr>
            <w:r>
              <w:t> </w:t>
            </w:r>
          </w:p>
        </w:tc>
        <w:tc>
          <w:tcPr>
            <w:tcW w:w="385" w:type="pct"/>
          </w:tcPr>
          <w:p w14:paraId="2B89D2E8" w14:textId="77777777" w:rsidR="005E47EF" w:rsidRDefault="005E47EF" w:rsidP="005E47EF">
            <w:pPr>
              <w:pStyle w:val="Compact"/>
              <w:jc w:val="center"/>
            </w:pPr>
            <w:r>
              <w:t> </w:t>
            </w:r>
          </w:p>
        </w:tc>
        <w:tc>
          <w:tcPr>
            <w:tcW w:w="464" w:type="pct"/>
          </w:tcPr>
          <w:p w14:paraId="616CEB44" w14:textId="77777777" w:rsidR="005E47EF" w:rsidRDefault="005E47EF" w:rsidP="005E47EF">
            <w:pPr>
              <w:pStyle w:val="Compact"/>
              <w:jc w:val="center"/>
            </w:pPr>
            <w:r>
              <w:t> </w:t>
            </w:r>
          </w:p>
        </w:tc>
        <w:tc>
          <w:tcPr>
            <w:tcW w:w="564" w:type="pct"/>
          </w:tcPr>
          <w:p w14:paraId="2A8A7981" w14:textId="77777777" w:rsidR="005E47EF" w:rsidRDefault="005E47EF" w:rsidP="005E47EF">
            <w:pPr>
              <w:pStyle w:val="Compact"/>
              <w:jc w:val="center"/>
            </w:pPr>
            <w:r>
              <w:t> </w:t>
            </w:r>
          </w:p>
        </w:tc>
        <w:tc>
          <w:tcPr>
            <w:tcW w:w="564" w:type="pct"/>
          </w:tcPr>
          <w:p w14:paraId="1D640FA0" w14:textId="77777777" w:rsidR="005E47EF" w:rsidRDefault="005E47EF" w:rsidP="005E47EF">
            <w:pPr>
              <w:pStyle w:val="Compact"/>
              <w:jc w:val="center"/>
            </w:pPr>
            <w:r>
              <w:t> </w:t>
            </w:r>
          </w:p>
        </w:tc>
        <w:tc>
          <w:tcPr>
            <w:tcW w:w="571" w:type="pct"/>
          </w:tcPr>
          <w:p w14:paraId="22B824B9" w14:textId="77777777" w:rsidR="005E47EF" w:rsidRDefault="005E47EF" w:rsidP="005E47EF">
            <w:pPr>
              <w:pStyle w:val="Compact"/>
              <w:jc w:val="center"/>
            </w:pPr>
            <w:r>
              <w:t> </w:t>
            </w:r>
          </w:p>
        </w:tc>
      </w:tr>
      <w:tr w:rsidR="005E47EF" w14:paraId="4DB89E05" w14:textId="77777777" w:rsidTr="00D638A7">
        <w:tc>
          <w:tcPr>
            <w:tcW w:w="5000" w:type="pct"/>
            <w:gridSpan w:val="7"/>
          </w:tcPr>
          <w:p w14:paraId="56D89428" w14:textId="5FA853F9" w:rsidR="005E47EF" w:rsidRDefault="005E47EF" w:rsidP="005E47EF">
            <w:pPr>
              <w:pStyle w:val="Compact"/>
            </w:pPr>
            <w:r>
              <w:rPr>
                <w:b/>
              </w:rPr>
              <w:t>October-March catch - more complex model 1983-2014</w:t>
            </w:r>
          </w:p>
        </w:tc>
      </w:tr>
      <w:tr w:rsidR="005E47EF" w14:paraId="52DDBCFB" w14:textId="77777777" w:rsidTr="00BA076B">
        <w:tc>
          <w:tcPr>
            <w:tcW w:w="2080" w:type="pct"/>
          </w:tcPr>
          <w:p w14:paraId="7953A985" w14:textId="1312E2F4" w:rsidR="005E47EF" w:rsidRDefault="005E47EF" w:rsidP="005E47EF">
            <w:pPr>
              <w:pStyle w:val="Compact"/>
            </w:pPr>
            <w:r>
              <w:t xml:space="preserve">M2: </w:t>
            </w:r>
            <m:oMath>
              <m:r>
                <w:rPr>
                  <w:rFonts w:ascii="Cambria Math" w:hAnsi="Cambria Math"/>
                </w:rPr>
                <m:t>ln</m:t>
              </m:r>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t</m:t>
                      </m:r>
                    </m:sub>
                  </m:sSub>
                </m:e>
              </m:d>
              <m:r>
                <w:rPr>
                  <w:rFonts w:ascii="Cambria Math" w:hAnsi="Cambria Math"/>
                </w:rPr>
                <m:t>=α+s</m:t>
              </m:r>
              <m:d>
                <m:dPr>
                  <m:ctrlPr>
                    <w:rPr>
                      <w:rFonts w:ascii="Cambria Math" w:hAnsi="Cambria Math"/>
                      <w:i/>
                    </w:rPr>
                  </m:ctrlPr>
                </m:dPr>
                <m:e>
                  <m:r>
                    <w:rPr>
                      <w:rFonts w:ascii="Cambria Math" w:hAnsi="Cambria Math"/>
                    </w:rPr>
                    <m:t>ln</m:t>
                  </m:r>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t-1</m:t>
                          </m:r>
                        </m:sub>
                      </m:sSub>
                    </m:e>
                  </m:d>
                </m:e>
              </m:d>
              <m:r>
                <w:rPr>
                  <w:rFonts w:ascii="Cambria Math" w:hAnsi="Cambria Math"/>
                </w:rPr>
                <m:t>+ s(ln(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372" w:type="pct"/>
          </w:tcPr>
          <w:p w14:paraId="199B40F0" w14:textId="77777777" w:rsidR="005E47EF" w:rsidRDefault="005E47EF" w:rsidP="005E47EF">
            <w:pPr>
              <w:pStyle w:val="Compact"/>
              <w:jc w:val="center"/>
            </w:pPr>
            <w:r>
              <w:t>26.6</w:t>
            </w:r>
          </w:p>
        </w:tc>
        <w:tc>
          <w:tcPr>
            <w:tcW w:w="385" w:type="pct"/>
          </w:tcPr>
          <w:p w14:paraId="74170722" w14:textId="4244EBA1" w:rsidR="005E47EF" w:rsidRDefault="005E47EF" w:rsidP="005E47EF">
            <w:pPr>
              <w:pStyle w:val="Compact"/>
              <w:jc w:val="center"/>
            </w:pPr>
            <w:r>
              <w:t>57</w:t>
            </w:r>
            <w:r w:rsidR="002C5680">
              <w:t>.3</w:t>
            </w:r>
          </w:p>
        </w:tc>
        <w:tc>
          <w:tcPr>
            <w:tcW w:w="464" w:type="pct"/>
          </w:tcPr>
          <w:p w14:paraId="32799C49" w14:textId="646E23D3" w:rsidR="005E47EF" w:rsidRDefault="005E47EF" w:rsidP="005E47EF">
            <w:pPr>
              <w:pStyle w:val="Compact"/>
              <w:jc w:val="center"/>
            </w:pPr>
            <w:r>
              <w:t>0.70</w:t>
            </w:r>
          </w:p>
        </w:tc>
        <w:tc>
          <w:tcPr>
            <w:tcW w:w="564" w:type="pct"/>
          </w:tcPr>
          <w:p w14:paraId="7E6D7CF3" w14:textId="77777777" w:rsidR="005E47EF" w:rsidRDefault="005E47EF" w:rsidP="005E47EF">
            <w:pPr>
              <w:pStyle w:val="Compact"/>
              <w:jc w:val="center"/>
            </w:pPr>
            <w:r>
              <w:t>84.6</w:t>
            </w:r>
          </w:p>
        </w:tc>
        <w:tc>
          <w:tcPr>
            <w:tcW w:w="564" w:type="pct"/>
          </w:tcPr>
          <w:p w14:paraId="495F6DB6" w14:textId="569965C2" w:rsidR="005E47EF" w:rsidRDefault="005E47EF" w:rsidP="005E47EF">
            <w:pPr>
              <w:pStyle w:val="Compact"/>
              <w:jc w:val="center"/>
            </w:pPr>
            <w:r>
              <w:t>1.0</w:t>
            </w:r>
            <w:r w:rsidR="002C5680">
              <w:t>6</w:t>
            </w:r>
          </w:p>
        </w:tc>
        <w:tc>
          <w:tcPr>
            <w:tcW w:w="571" w:type="pct"/>
          </w:tcPr>
          <w:p w14:paraId="6D00CDA2" w14:textId="55E1A961" w:rsidR="005E47EF" w:rsidRDefault="005E47EF" w:rsidP="005E47EF">
            <w:pPr>
              <w:pStyle w:val="Compact"/>
              <w:jc w:val="center"/>
            </w:pPr>
            <w:r>
              <w:t>0.3</w:t>
            </w:r>
            <w:r w:rsidR="002C5680">
              <w:t>4</w:t>
            </w:r>
          </w:p>
        </w:tc>
      </w:tr>
      <w:tr w:rsidR="005E47EF" w14:paraId="4BAEA91B" w14:textId="77777777" w:rsidTr="00D638A7">
        <w:tc>
          <w:tcPr>
            <w:tcW w:w="3301" w:type="pct"/>
            <w:gridSpan w:val="4"/>
          </w:tcPr>
          <w:p w14:paraId="28E80D7B" w14:textId="77777777" w:rsidR="005E47EF" w:rsidRDefault="005E47EF" w:rsidP="005E47EF">
            <w:pPr>
              <w:pStyle w:val="Compact"/>
            </w:pPr>
          </w:p>
          <w:p w14:paraId="4F39DE67" w14:textId="4D2BC947" w:rsidR="005E47EF" w:rsidRDefault="005E47EF" w:rsidP="005E47EF">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oMath>
            <w:r>
              <w:t xml:space="preserve"> = M2 + </w:t>
            </w:r>
            <m:oMath>
              <m:r>
                <w:rPr>
                  <w:rFonts w:ascii="Cambria Math" w:hAnsi="Cambria Math"/>
                </w:rPr>
                <m:t>s(V)</m:t>
              </m:r>
            </m:oMath>
          </w:p>
        </w:tc>
        <w:tc>
          <w:tcPr>
            <w:tcW w:w="564" w:type="pct"/>
          </w:tcPr>
          <w:p w14:paraId="7A160189" w14:textId="77777777" w:rsidR="005E47EF" w:rsidRDefault="005E47EF" w:rsidP="005E47EF">
            <w:pPr>
              <w:pStyle w:val="Compact"/>
              <w:jc w:val="center"/>
            </w:pPr>
            <w:r>
              <w:t> </w:t>
            </w:r>
          </w:p>
        </w:tc>
        <w:tc>
          <w:tcPr>
            <w:tcW w:w="564" w:type="pct"/>
          </w:tcPr>
          <w:p w14:paraId="3945E918" w14:textId="77777777" w:rsidR="005E47EF" w:rsidRDefault="005E47EF" w:rsidP="005E47EF">
            <w:pPr>
              <w:pStyle w:val="Compact"/>
              <w:jc w:val="center"/>
            </w:pPr>
            <w:r>
              <w:t> </w:t>
            </w:r>
          </w:p>
        </w:tc>
        <w:tc>
          <w:tcPr>
            <w:tcW w:w="571" w:type="pct"/>
          </w:tcPr>
          <w:p w14:paraId="4A0C0F2A" w14:textId="77777777" w:rsidR="005E47EF" w:rsidRDefault="005E47EF" w:rsidP="005E47EF">
            <w:pPr>
              <w:pStyle w:val="Compact"/>
              <w:jc w:val="center"/>
            </w:pPr>
            <w:r>
              <w:t> </w:t>
            </w:r>
          </w:p>
        </w:tc>
      </w:tr>
      <w:tr w:rsidR="005E47EF" w14:paraId="7CC30F69" w14:textId="77777777" w:rsidTr="00BA076B">
        <w:tc>
          <w:tcPr>
            <w:tcW w:w="2080" w:type="pct"/>
          </w:tcPr>
          <w:p w14:paraId="48B31101" w14:textId="23D576DF" w:rsidR="005E47EF" w:rsidRDefault="003E50FE" w:rsidP="005E47EF">
            <w:pPr>
              <w:pStyle w:val="Compact"/>
            </w:pPr>
            <m:oMath>
              <m:r>
                <w:rPr>
                  <w:rFonts w:ascii="Cambria Math" w:hAnsi="Cambria Math"/>
                </w:rPr>
                <m:t>V</m:t>
              </m:r>
            </m:oMath>
            <w:r w:rsidR="005E47EF">
              <w:t xml:space="preserve"> = Jun-Jul precip</w:t>
            </w:r>
            <w:r w:rsidR="00BA5E79">
              <w:t>itation</w:t>
            </w:r>
            <w:r w:rsidR="005E47EF">
              <w:t xml:space="preserve"> </w:t>
            </w:r>
            <w:r w:rsidR="00745DB4">
              <w:t xml:space="preserve">over </w:t>
            </w:r>
            <w:r w:rsidR="005E47EF">
              <w:t>land</w:t>
            </w:r>
            <w:r>
              <w:t xml:space="preserve"> </w:t>
            </w:r>
            <w:r w:rsidRPr="003E50FE">
              <w:rPr>
                <w:i/>
                <w:iCs/>
              </w:rPr>
              <w:t>t</w:t>
            </w:r>
          </w:p>
        </w:tc>
        <w:tc>
          <w:tcPr>
            <w:tcW w:w="372" w:type="pct"/>
          </w:tcPr>
          <w:p w14:paraId="18A02BDB" w14:textId="77777777" w:rsidR="005E47EF" w:rsidRDefault="005E47EF" w:rsidP="005E47EF">
            <w:pPr>
              <w:pStyle w:val="Compact"/>
              <w:jc w:val="center"/>
            </w:pPr>
            <w:r>
              <w:t>24.6</w:t>
            </w:r>
          </w:p>
        </w:tc>
        <w:tc>
          <w:tcPr>
            <w:tcW w:w="385" w:type="pct"/>
          </w:tcPr>
          <w:p w14:paraId="53BF37E4" w14:textId="744205FB" w:rsidR="005E47EF" w:rsidRDefault="005E47EF" w:rsidP="005E47EF">
            <w:pPr>
              <w:pStyle w:val="Compact"/>
              <w:jc w:val="center"/>
            </w:pPr>
            <w:r>
              <w:t>70</w:t>
            </w:r>
            <w:r w:rsidR="002C5680">
              <w:t>.5</w:t>
            </w:r>
          </w:p>
        </w:tc>
        <w:tc>
          <w:tcPr>
            <w:tcW w:w="464" w:type="pct"/>
          </w:tcPr>
          <w:p w14:paraId="69CFFCAB" w14:textId="77777777" w:rsidR="005E47EF" w:rsidRDefault="005E47EF" w:rsidP="005E47EF">
            <w:pPr>
              <w:pStyle w:val="Compact"/>
              <w:jc w:val="center"/>
            </w:pPr>
            <w:r>
              <w:t>0.56</w:t>
            </w:r>
          </w:p>
        </w:tc>
        <w:tc>
          <w:tcPr>
            <w:tcW w:w="564" w:type="pct"/>
          </w:tcPr>
          <w:p w14:paraId="6B1D19F7" w14:textId="77777777" w:rsidR="005E47EF" w:rsidRDefault="005E47EF" w:rsidP="005E47EF">
            <w:pPr>
              <w:pStyle w:val="Compact"/>
              <w:jc w:val="center"/>
            </w:pPr>
            <w:r>
              <w:t>77.5</w:t>
            </w:r>
            <m:oMath>
              <m:r>
                <w:rPr>
                  <w:rFonts w:ascii="Cambria Math" w:hAnsi="Cambria Math"/>
                </w:rPr>
                <m:t>††</m:t>
              </m:r>
            </m:oMath>
          </w:p>
        </w:tc>
        <w:tc>
          <w:tcPr>
            <w:tcW w:w="564" w:type="pct"/>
          </w:tcPr>
          <w:p w14:paraId="5679FD82" w14:textId="152028EF" w:rsidR="005E47EF" w:rsidRDefault="002C5680" w:rsidP="005E47EF">
            <w:pPr>
              <w:pStyle w:val="Compact"/>
              <w:jc w:val="center"/>
            </w:pPr>
            <w:r>
              <w:t>0.96</w:t>
            </w:r>
            <m:oMath>
              <m:r>
                <w:rPr>
                  <w:rFonts w:ascii="Cambria Math" w:hAnsi="Cambria Math"/>
                </w:rPr>
                <m:t>‡</m:t>
              </m:r>
            </m:oMath>
          </w:p>
        </w:tc>
        <w:tc>
          <w:tcPr>
            <w:tcW w:w="571" w:type="pct"/>
          </w:tcPr>
          <w:p w14:paraId="20FF49E8" w14:textId="77777777" w:rsidR="005E47EF" w:rsidRDefault="005E47EF" w:rsidP="005E47EF">
            <w:pPr>
              <w:pStyle w:val="Compact"/>
              <w:jc w:val="center"/>
            </w:pPr>
            <w:r>
              <w:t>0.29</w:t>
            </w:r>
            <m:oMath>
              <m:r>
                <w:rPr>
                  <w:rFonts w:ascii="Cambria Math" w:hAnsi="Cambria Math"/>
                </w:rPr>
                <m:t>‡‡</m:t>
              </m:r>
            </m:oMath>
          </w:p>
        </w:tc>
      </w:tr>
      <w:tr w:rsidR="005E47EF" w14:paraId="74D1AE65" w14:textId="77777777" w:rsidTr="00BA076B">
        <w:tc>
          <w:tcPr>
            <w:tcW w:w="2080" w:type="pct"/>
          </w:tcPr>
          <w:p w14:paraId="62332FF2" w14:textId="5B59D4AB" w:rsidR="005E47EF" w:rsidRDefault="003E50FE" w:rsidP="005E47EF">
            <w:pPr>
              <w:pStyle w:val="Compact"/>
            </w:pPr>
            <m:oMath>
              <m:r>
                <w:rPr>
                  <w:rFonts w:ascii="Cambria Math" w:hAnsi="Cambria Math"/>
                </w:rPr>
                <m:t xml:space="preserve">V </m:t>
              </m:r>
            </m:oMath>
            <w:r w:rsidR="005E47EF">
              <w:t>= 2.5-year av</w:t>
            </w:r>
            <w:r>
              <w:t>e.</w:t>
            </w:r>
            <w:r w:rsidR="005E47EF">
              <w:t xml:space="preserve"> </w:t>
            </w:r>
            <w:r w:rsidR="00745DB4">
              <w:t xml:space="preserve">regional </w:t>
            </w:r>
            <w:r w:rsidR="005E47EF">
              <w:t xml:space="preserve">SST </w:t>
            </w:r>
            <w:r w:rsidRPr="003E50FE">
              <w:rPr>
                <w:i/>
                <w:iCs/>
              </w:rPr>
              <w:t>t</w:t>
            </w:r>
          </w:p>
        </w:tc>
        <w:tc>
          <w:tcPr>
            <w:tcW w:w="372" w:type="pct"/>
          </w:tcPr>
          <w:p w14:paraId="60C33A0B" w14:textId="204091D2" w:rsidR="005E47EF" w:rsidRDefault="005E47EF" w:rsidP="005E47EF">
            <w:pPr>
              <w:pStyle w:val="Compact"/>
              <w:jc w:val="center"/>
            </w:pPr>
            <w:r>
              <w:t>24.</w:t>
            </w:r>
            <w:r w:rsidR="002C5680">
              <w:t>8</w:t>
            </w:r>
          </w:p>
        </w:tc>
        <w:tc>
          <w:tcPr>
            <w:tcW w:w="385" w:type="pct"/>
          </w:tcPr>
          <w:p w14:paraId="3C969DC0" w14:textId="6826D5C4" w:rsidR="005E47EF" w:rsidRDefault="002C5680" w:rsidP="005E47EF">
            <w:pPr>
              <w:pStyle w:val="Compact"/>
              <w:jc w:val="center"/>
            </w:pPr>
            <w:r>
              <w:t>69.5</w:t>
            </w:r>
          </w:p>
        </w:tc>
        <w:tc>
          <w:tcPr>
            <w:tcW w:w="464" w:type="pct"/>
          </w:tcPr>
          <w:p w14:paraId="792E9BD9" w14:textId="34E3AE0D" w:rsidR="005E47EF" w:rsidRDefault="005E47EF" w:rsidP="005E47EF">
            <w:pPr>
              <w:pStyle w:val="Compact"/>
              <w:jc w:val="center"/>
            </w:pPr>
            <w:r>
              <w:t>0.5</w:t>
            </w:r>
            <w:r w:rsidR="002C5680">
              <w:t>7</w:t>
            </w:r>
          </w:p>
        </w:tc>
        <w:tc>
          <w:tcPr>
            <w:tcW w:w="564" w:type="pct"/>
          </w:tcPr>
          <w:p w14:paraId="0C1DD084" w14:textId="0510C08D" w:rsidR="005E47EF" w:rsidRDefault="005E47EF" w:rsidP="005E47EF">
            <w:pPr>
              <w:pStyle w:val="Compact"/>
              <w:jc w:val="center"/>
            </w:pPr>
            <w:r>
              <w:t>7</w:t>
            </w:r>
            <w:r w:rsidR="00062D8C">
              <w:t>8</w:t>
            </w:r>
            <w:r>
              <w:t>.</w:t>
            </w:r>
            <w:r w:rsidR="00062D8C">
              <w:t>1</w:t>
            </w:r>
            <m:oMath>
              <m:r>
                <w:rPr>
                  <w:rFonts w:ascii="Cambria Math" w:hAnsi="Cambria Math"/>
                </w:rPr>
                <m:t>††</m:t>
              </m:r>
            </m:oMath>
          </w:p>
        </w:tc>
        <w:tc>
          <w:tcPr>
            <w:tcW w:w="564" w:type="pct"/>
          </w:tcPr>
          <w:p w14:paraId="6ED51504" w14:textId="72D78E10" w:rsidR="005E47EF" w:rsidRDefault="005E47EF" w:rsidP="005E47EF">
            <w:pPr>
              <w:pStyle w:val="Compact"/>
              <w:jc w:val="center"/>
            </w:pPr>
            <w:r>
              <w:t>0.</w:t>
            </w:r>
            <w:r w:rsidR="00062D8C">
              <w:t>82</w:t>
            </w:r>
            <m:oMath>
              <m:r>
                <w:rPr>
                  <w:rFonts w:ascii="Cambria Math" w:hAnsi="Cambria Math"/>
                </w:rPr>
                <m:t>‡‡‡</m:t>
              </m:r>
            </m:oMath>
          </w:p>
        </w:tc>
        <w:tc>
          <w:tcPr>
            <w:tcW w:w="571" w:type="pct"/>
          </w:tcPr>
          <w:p w14:paraId="7F943C13" w14:textId="341C12FD" w:rsidR="005E47EF" w:rsidRDefault="005E47EF" w:rsidP="005E47EF">
            <w:pPr>
              <w:pStyle w:val="Compact"/>
              <w:jc w:val="center"/>
            </w:pPr>
            <w:r>
              <w:t>0.</w:t>
            </w:r>
            <w:r w:rsidR="00062D8C">
              <w:t>35</w:t>
            </w:r>
          </w:p>
        </w:tc>
      </w:tr>
      <w:tr w:rsidR="005E47EF" w14:paraId="14FACD27" w14:textId="77777777" w:rsidTr="00BA076B">
        <w:tc>
          <w:tcPr>
            <w:tcW w:w="2080" w:type="pct"/>
          </w:tcPr>
          <w:p w14:paraId="2B1C3E85" w14:textId="03237AE4" w:rsidR="005E47EF" w:rsidRDefault="003E50FE" w:rsidP="005E47EF">
            <w:pPr>
              <w:pStyle w:val="Compact"/>
            </w:pPr>
            <m:oMath>
              <m:r>
                <w:rPr>
                  <w:rFonts w:ascii="Cambria Math" w:hAnsi="Cambria Math"/>
                </w:rPr>
                <m:t>V</m:t>
              </m:r>
            </m:oMath>
            <w:r>
              <w:rPr>
                <w:rFonts w:eastAsiaTheme="minorEastAsia"/>
                <w:iCs/>
              </w:rPr>
              <w:t xml:space="preserve"> </w:t>
            </w:r>
            <w:r w:rsidR="005E47EF">
              <w:t xml:space="preserve">= Sep-Nov DMI </w:t>
            </w:r>
            <w:r>
              <w:rPr>
                <w:i/>
                <w:iCs/>
              </w:rPr>
              <w:t>t-1</w:t>
            </w:r>
          </w:p>
        </w:tc>
        <w:tc>
          <w:tcPr>
            <w:tcW w:w="372" w:type="pct"/>
          </w:tcPr>
          <w:p w14:paraId="75974875" w14:textId="3DE5966C" w:rsidR="005E47EF" w:rsidRDefault="005E47EF" w:rsidP="005E47EF">
            <w:pPr>
              <w:pStyle w:val="Compact"/>
              <w:jc w:val="center"/>
            </w:pPr>
            <w:r>
              <w:t>23.8</w:t>
            </w:r>
          </w:p>
        </w:tc>
        <w:tc>
          <w:tcPr>
            <w:tcW w:w="385" w:type="pct"/>
          </w:tcPr>
          <w:p w14:paraId="47C3B008" w14:textId="23D7A92B" w:rsidR="005E47EF" w:rsidRDefault="005E47EF" w:rsidP="005E47EF">
            <w:pPr>
              <w:pStyle w:val="Compact"/>
              <w:jc w:val="center"/>
            </w:pPr>
            <w:r>
              <w:t>69</w:t>
            </w:r>
            <w:r w:rsidR="002C5680">
              <w:t>.1</w:t>
            </w:r>
          </w:p>
        </w:tc>
        <w:tc>
          <w:tcPr>
            <w:tcW w:w="464" w:type="pct"/>
          </w:tcPr>
          <w:p w14:paraId="394502BE" w14:textId="34931546" w:rsidR="005E47EF" w:rsidRDefault="005E47EF" w:rsidP="005E47EF">
            <w:pPr>
              <w:pStyle w:val="Compact"/>
              <w:jc w:val="center"/>
            </w:pPr>
            <w:r>
              <w:t>0.5</w:t>
            </w:r>
            <w:r w:rsidR="00062D8C">
              <w:t>6</w:t>
            </w:r>
          </w:p>
        </w:tc>
        <w:tc>
          <w:tcPr>
            <w:tcW w:w="564" w:type="pct"/>
          </w:tcPr>
          <w:p w14:paraId="2786F2B7" w14:textId="30C4E510" w:rsidR="005E47EF" w:rsidRDefault="005E47EF" w:rsidP="005E47EF">
            <w:pPr>
              <w:pStyle w:val="Compact"/>
              <w:jc w:val="center"/>
            </w:pPr>
            <w:r>
              <w:t>81.</w:t>
            </w:r>
            <w:r w:rsidR="00062D8C">
              <w:t>1</w:t>
            </w:r>
            <m:oMath>
              <m:r>
                <w:rPr>
                  <w:rFonts w:ascii="Cambria Math" w:hAnsi="Cambria Math"/>
                </w:rPr>
                <m:t>†</m:t>
              </m:r>
            </m:oMath>
          </w:p>
        </w:tc>
        <w:tc>
          <w:tcPr>
            <w:tcW w:w="564" w:type="pct"/>
          </w:tcPr>
          <w:p w14:paraId="7F1A1917" w14:textId="12E13E77" w:rsidR="005E47EF" w:rsidRDefault="005E47EF" w:rsidP="005E47EF">
            <w:pPr>
              <w:pStyle w:val="Compact"/>
              <w:jc w:val="center"/>
            </w:pPr>
            <w:r>
              <w:t>0.8</w:t>
            </w:r>
            <w:r w:rsidR="00062D8C">
              <w:t>7</w:t>
            </w:r>
            <m:oMath>
              <m:r>
                <w:rPr>
                  <w:rFonts w:ascii="Cambria Math" w:hAnsi="Cambria Math"/>
                </w:rPr>
                <m:t>‡‡</m:t>
              </m:r>
            </m:oMath>
          </w:p>
        </w:tc>
        <w:tc>
          <w:tcPr>
            <w:tcW w:w="571" w:type="pct"/>
          </w:tcPr>
          <w:p w14:paraId="2741738E" w14:textId="5E62382A" w:rsidR="005E47EF" w:rsidRDefault="005E47EF" w:rsidP="005E47EF">
            <w:pPr>
              <w:pStyle w:val="Compact"/>
              <w:jc w:val="center"/>
            </w:pPr>
            <w:r>
              <w:t>0.3</w:t>
            </w:r>
            <w:r w:rsidR="00062D8C">
              <w:t>4</w:t>
            </w:r>
          </w:p>
        </w:tc>
      </w:tr>
      <w:tr w:rsidR="00BA5E79" w14:paraId="26567826" w14:textId="77777777" w:rsidTr="00BA076B">
        <w:tc>
          <w:tcPr>
            <w:tcW w:w="2080" w:type="pct"/>
            <w:tcBorders>
              <w:bottom w:val="single" w:sz="8" w:space="0" w:color="auto"/>
            </w:tcBorders>
          </w:tcPr>
          <w:p w14:paraId="0887F284" w14:textId="52B318AF" w:rsidR="00BA5E79" w:rsidRDefault="003E50FE" w:rsidP="00BA5E79">
            <w:pPr>
              <w:pStyle w:val="Compact"/>
              <w:rPr>
                <w:rFonts w:ascii="Times New Roman" w:eastAsia="Times New Roman" w:hAnsi="Times New Roman" w:cs="Times New Roman"/>
              </w:rPr>
            </w:pPr>
            <m:oMath>
              <m:r>
                <w:rPr>
                  <w:rFonts w:ascii="Cambria Math" w:hAnsi="Cambria Math"/>
                </w:rPr>
                <m:t xml:space="preserve">V </m:t>
              </m:r>
            </m:oMath>
            <w:r w:rsidR="00BA5E79">
              <w:t xml:space="preserve">= AMO </w:t>
            </w:r>
            <w:r>
              <w:t xml:space="preserve">ave. </w:t>
            </w:r>
            <w:r w:rsidR="00BA5E79">
              <w:t>J</w:t>
            </w:r>
            <w:r w:rsidR="00F0755C">
              <w:t>ul</w:t>
            </w:r>
            <w:r w:rsidR="00BA5E79">
              <w:t>-</w:t>
            </w:r>
            <w:r w:rsidR="00F0755C">
              <w:t>Jun</w:t>
            </w:r>
            <w:r w:rsidR="00BA5E79">
              <w:t xml:space="preserve"> </w:t>
            </w:r>
            <w:r w:rsidRPr="003E50FE">
              <w:rPr>
                <w:i/>
                <w:iCs/>
              </w:rPr>
              <w:t>t</w:t>
            </w:r>
          </w:p>
        </w:tc>
        <w:tc>
          <w:tcPr>
            <w:tcW w:w="372" w:type="pct"/>
            <w:tcBorders>
              <w:bottom w:val="single" w:sz="8" w:space="0" w:color="auto"/>
            </w:tcBorders>
          </w:tcPr>
          <w:p w14:paraId="626F78E9" w14:textId="1D98E724" w:rsidR="00BA5E79" w:rsidRDefault="00BA5E79" w:rsidP="00BA5E79">
            <w:pPr>
              <w:pStyle w:val="Compact"/>
              <w:jc w:val="center"/>
            </w:pPr>
            <w:r>
              <w:t>24.</w:t>
            </w:r>
            <w:r w:rsidR="002C5680">
              <w:t>3</w:t>
            </w:r>
          </w:p>
        </w:tc>
        <w:tc>
          <w:tcPr>
            <w:tcW w:w="385" w:type="pct"/>
            <w:tcBorders>
              <w:bottom w:val="single" w:sz="8" w:space="0" w:color="auto"/>
            </w:tcBorders>
          </w:tcPr>
          <w:p w14:paraId="697E5D01" w14:textId="0DE80F52" w:rsidR="00BA5E79" w:rsidRDefault="00BA5E79" w:rsidP="00BA5E79">
            <w:pPr>
              <w:pStyle w:val="Compact"/>
              <w:jc w:val="center"/>
            </w:pPr>
            <w:r>
              <w:t>6</w:t>
            </w:r>
            <w:r w:rsidR="002C5680">
              <w:t>5.6</w:t>
            </w:r>
          </w:p>
        </w:tc>
        <w:tc>
          <w:tcPr>
            <w:tcW w:w="464" w:type="pct"/>
            <w:tcBorders>
              <w:bottom w:val="single" w:sz="8" w:space="0" w:color="auto"/>
            </w:tcBorders>
          </w:tcPr>
          <w:p w14:paraId="2FC2F1D1" w14:textId="1AA07BF5" w:rsidR="00BA5E79" w:rsidRDefault="00BA5E79" w:rsidP="00BA5E79">
            <w:pPr>
              <w:pStyle w:val="Compact"/>
              <w:jc w:val="center"/>
            </w:pPr>
            <w:r>
              <w:t>0.6</w:t>
            </w:r>
            <w:r w:rsidR="002C5680">
              <w:t>0</w:t>
            </w:r>
          </w:p>
        </w:tc>
        <w:tc>
          <w:tcPr>
            <w:tcW w:w="564" w:type="pct"/>
            <w:tcBorders>
              <w:bottom w:val="single" w:sz="8" w:space="0" w:color="auto"/>
            </w:tcBorders>
          </w:tcPr>
          <w:p w14:paraId="64C39B77" w14:textId="19C01E34" w:rsidR="00BA5E79" w:rsidRDefault="00BA5E79" w:rsidP="00BA5E79">
            <w:pPr>
              <w:pStyle w:val="Compact"/>
              <w:jc w:val="center"/>
            </w:pPr>
            <w:r>
              <w:t>8</w:t>
            </w:r>
            <w:r w:rsidR="002C5680">
              <w:t>3.1</w:t>
            </w:r>
          </w:p>
        </w:tc>
        <w:tc>
          <w:tcPr>
            <w:tcW w:w="564" w:type="pct"/>
            <w:tcBorders>
              <w:bottom w:val="single" w:sz="8" w:space="0" w:color="auto"/>
            </w:tcBorders>
          </w:tcPr>
          <w:p w14:paraId="3F301B71" w14:textId="7836C843" w:rsidR="00BA5E79" w:rsidRDefault="00BA5E79" w:rsidP="00BA5E79">
            <w:pPr>
              <w:pStyle w:val="Compact"/>
              <w:jc w:val="center"/>
            </w:pPr>
            <w:r>
              <w:t>0.91</w:t>
            </w:r>
            <m:oMath>
              <m:r>
                <w:rPr>
                  <w:rFonts w:ascii="Cambria Math" w:hAnsi="Cambria Math"/>
                </w:rPr>
                <m:t>‡‡</m:t>
              </m:r>
            </m:oMath>
          </w:p>
        </w:tc>
        <w:tc>
          <w:tcPr>
            <w:tcW w:w="571" w:type="pct"/>
            <w:tcBorders>
              <w:bottom w:val="single" w:sz="8" w:space="0" w:color="auto"/>
            </w:tcBorders>
          </w:tcPr>
          <w:p w14:paraId="33999784" w14:textId="7A536D34" w:rsidR="00BA5E79" w:rsidRDefault="002C5680" w:rsidP="00BA5E79">
            <w:pPr>
              <w:pStyle w:val="Compact"/>
              <w:jc w:val="center"/>
            </w:pPr>
            <w:r>
              <w:t>0.29</w:t>
            </w:r>
            <m:oMath>
              <m:r>
                <w:rPr>
                  <w:rFonts w:ascii="Cambria Math" w:hAnsi="Cambria Math"/>
                </w:rPr>
                <m:t>‡‡</m:t>
              </m:r>
            </m:oMath>
          </w:p>
        </w:tc>
      </w:tr>
      <w:tr w:rsidR="00BA5E79" w14:paraId="79276D78" w14:textId="77777777" w:rsidTr="00BA076B">
        <w:tc>
          <w:tcPr>
            <w:tcW w:w="2080" w:type="pct"/>
            <w:tcBorders>
              <w:top w:val="single" w:sz="8" w:space="0" w:color="auto"/>
            </w:tcBorders>
          </w:tcPr>
          <w:p w14:paraId="749D1E57" w14:textId="77777777" w:rsidR="00BA5E79" w:rsidRDefault="00BA5E79" w:rsidP="00BA5E79">
            <w:pPr>
              <w:pStyle w:val="Compact"/>
            </w:pPr>
            <w:r>
              <w:t> </w:t>
            </w:r>
          </w:p>
        </w:tc>
        <w:tc>
          <w:tcPr>
            <w:tcW w:w="372" w:type="pct"/>
            <w:tcBorders>
              <w:top w:val="single" w:sz="8" w:space="0" w:color="auto"/>
            </w:tcBorders>
          </w:tcPr>
          <w:p w14:paraId="4AA1F341" w14:textId="77777777" w:rsidR="00BA5E79" w:rsidRDefault="00BA5E79" w:rsidP="00BA5E79">
            <w:pPr>
              <w:pStyle w:val="Compact"/>
              <w:jc w:val="center"/>
            </w:pPr>
            <w:r>
              <w:t> </w:t>
            </w:r>
          </w:p>
        </w:tc>
        <w:tc>
          <w:tcPr>
            <w:tcW w:w="385" w:type="pct"/>
            <w:tcBorders>
              <w:top w:val="single" w:sz="8" w:space="0" w:color="auto"/>
            </w:tcBorders>
          </w:tcPr>
          <w:p w14:paraId="41FDE3FF" w14:textId="77777777" w:rsidR="00BA5E79" w:rsidRDefault="00BA5E79" w:rsidP="00BA5E79">
            <w:pPr>
              <w:pStyle w:val="Compact"/>
              <w:jc w:val="center"/>
            </w:pPr>
            <w:r>
              <w:t> </w:t>
            </w:r>
          </w:p>
        </w:tc>
        <w:tc>
          <w:tcPr>
            <w:tcW w:w="464" w:type="pct"/>
            <w:tcBorders>
              <w:top w:val="single" w:sz="8" w:space="0" w:color="auto"/>
            </w:tcBorders>
          </w:tcPr>
          <w:p w14:paraId="4420903E" w14:textId="77777777" w:rsidR="00BA5E79" w:rsidRDefault="00BA5E79" w:rsidP="00BA5E79">
            <w:pPr>
              <w:pStyle w:val="Compact"/>
              <w:jc w:val="center"/>
            </w:pPr>
            <w:r>
              <w:t> </w:t>
            </w:r>
          </w:p>
        </w:tc>
        <w:tc>
          <w:tcPr>
            <w:tcW w:w="564" w:type="pct"/>
            <w:tcBorders>
              <w:top w:val="single" w:sz="8" w:space="0" w:color="auto"/>
            </w:tcBorders>
          </w:tcPr>
          <w:p w14:paraId="304A75DD" w14:textId="77777777" w:rsidR="00BA5E79" w:rsidRDefault="00BA5E79" w:rsidP="00BA5E79">
            <w:pPr>
              <w:pStyle w:val="Compact"/>
              <w:jc w:val="center"/>
            </w:pPr>
            <w:r>
              <w:t> </w:t>
            </w:r>
          </w:p>
        </w:tc>
        <w:tc>
          <w:tcPr>
            <w:tcW w:w="564" w:type="pct"/>
            <w:tcBorders>
              <w:top w:val="single" w:sz="8" w:space="0" w:color="auto"/>
            </w:tcBorders>
          </w:tcPr>
          <w:p w14:paraId="339862DF" w14:textId="77777777" w:rsidR="00BA5E79" w:rsidRDefault="00BA5E79" w:rsidP="00BA5E79">
            <w:pPr>
              <w:pStyle w:val="Compact"/>
              <w:jc w:val="center"/>
            </w:pPr>
            <w:r>
              <w:t> </w:t>
            </w:r>
          </w:p>
        </w:tc>
        <w:tc>
          <w:tcPr>
            <w:tcW w:w="571" w:type="pct"/>
            <w:tcBorders>
              <w:top w:val="single" w:sz="8" w:space="0" w:color="auto"/>
            </w:tcBorders>
          </w:tcPr>
          <w:p w14:paraId="7815D8B4" w14:textId="77777777" w:rsidR="00BA5E79" w:rsidRDefault="00BA5E79" w:rsidP="00BA5E79">
            <w:pPr>
              <w:pStyle w:val="Compact"/>
              <w:jc w:val="center"/>
            </w:pPr>
            <w:r>
              <w:t> </w:t>
            </w:r>
          </w:p>
        </w:tc>
      </w:tr>
    </w:tbl>
    <w:p w14:paraId="2C9C5792" w14:textId="24B136EE" w:rsidR="00007028" w:rsidRPr="00007028" w:rsidRDefault="0000127E" w:rsidP="00D638A7">
      <w:pPr>
        <w:pStyle w:val="ImageCaption"/>
        <w:spacing w:after="0" w:line="276" w:lineRule="auto"/>
        <w:rPr>
          <w:i w:val="0"/>
          <w:iCs/>
        </w:rPr>
      </w:pPr>
      <w:r w:rsidRPr="00D638A7">
        <w:lastRenderedPageBreak/>
        <w:t>Notes</w:t>
      </w:r>
      <w:r w:rsidRPr="00007028">
        <w:rPr>
          <w:i w:val="0"/>
        </w:rPr>
        <w:t xml:space="preserve">: LOOCV = Leave one out cross-validation. RMSE = root mean square error. MdAE = median absolute error. AICc = Akaike Information Criterion corrected for small sample size. </w:t>
      </w:r>
      <m:oMath>
        <m:r>
          <w:rPr>
            <w:rFonts w:ascii="Cambria Math" w:hAnsi="Cambria Math"/>
          </w:rPr>
          <m:t>†</m:t>
        </m:r>
      </m:oMath>
      <w:r w:rsidRPr="00007028">
        <w:rPr>
          <w:i w:val="0"/>
        </w:rPr>
        <w:t xml:space="preserve"> and </w:t>
      </w:r>
      <m:oMath>
        <m:r>
          <w:rPr>
            <w:rFonts w:ascii="Cambria Math" w:hAnsi="Cambria Math"/>
          </w:rPr>
          <m:t>††</m:t>
        </m:r>
      </m:oMath>
      <w:r w:rsidRPr="00007028">
        <w:rPr>
          <w:i w:val="0"/>
        </w:rPr>
        <w:t xml:space="preserve"> = AICc greater than 2 and greater than 5 below base catch model</w:t>
      </w:r>
      <w:r w:rsidR="002A57DD" w:rsidRPr="00007028">
        <w:rPr>
          <w:i w:val="0"/>
        </w:rPr>
        <w:t xml:space="preserve"> (M)</w:t>
      </w:r>
      <w:r w:rsidRPr="00007028">
        <w:rPr>
          <w:i w:val="0"/>
        </w:rPr>
        <w:t xml:space="preserve">. </w:t>
      </w:r>
      <m:oMath>
        <m:r>
          <w:rPr>
            <w:rFonts w:ascii="Cambria Math" w:hAnsi="Cambria Math"/>
          </w:rPr>
          <m:t>‡</m:t>
        </m:r>
      </m:oMath>
      <w:r w:rsidRPr="00007028">
        <w:rPr>
          <w:i w:val="0"/>
        </w:rPr>
        <w:t xml:space="preserve">, </w:t>
      </w:r>
      <m:oMath>
        <m:r>
          <w:rPr>
            <w:rFonts w:ascii="Cambria Math" w:hAnsi="Cambria Math"/>
          </w:rPr>
          <m:t>‡‡</m:t>
        </m:r>
      </m:oMath>
      <w:r w:rsidRPr="00007028">
        <w:rPr>
          <w:i w:val="0"/>
        </w:rPr>
        <w:t xml:space="preserve">, and </w:t>
      </w:r>
      <m:oMath>
        <m:r>
          <w:rPr>
            <w:rFonts w:ascii="Cambria Math" w:hAnsi="Cambria Math"/>
          </w:rPr>
          <m:t>‡‡‡</m:t>
        </m:r>
      </m:oMath>
      <w:r w:rsidRPr="00007028">
        <w:rPr>
          <w:i w:val="0"/>
        </w:rPr>
        <w:t xml:space="preserve"> = LOOCV RMSE</w:t>
      </w:r>
      <w:r w:rsidR="002A57DD" w:rsidRPr="00007028">
        <w:rPr>
          <w:i w:val="0"/>
        </w:rPr>
        <w:t xml:space="preserve"> and MdAE</w:t>
      </w:r>
      <w:r w:rsidRPr="00007028">
        <w:rPr>
          <w:i w:val="0"/>
        </w:rPr>
        <w:t xml:space="preserve"> 5%, 10% and 20% below model M, respectively. </w:t>
      </w:r>
      <m:oMath>
        <m:r>
          <w:rPr>
            <w:rFonts w:ascii="Cambria Math" w:hAnsi="Cambria Math"/>
          </w:rPr>
          <m:t>t</m:t>
        </m:r>
      </m:oMath>
      <w:r w:rsidRPr="00007028">
        <w:rPr>
          <w:i w:val="0"/>
        </w:rPr>
        <w:t xml:space="preserve"> indicates </w:t>
      </w:r>
      <w:r w:rsidR="004A160F">
        <w:rPr>
          <w:i w:val="0"/>
        </w:rPr>
        <w:t xml:space="preserve">the covariate from the </w:t>
      </w:r>
      <w:r w:rsidRPr="00007028">
        <w:rPr>
          <w:i w:val="0"/>
        </w:rPr>
        <w:t xml:space="preserve">current </w:t>
      </w:r>
      <w:r w:rsidR="004A160F">
        <w:rPr>
          <w:i w:val="0"/>
        </w:rPr>
        <w:t>year</w:t>
      </w:r>
      <w:r w:rsidRPr="00007028">
        <w:rPr>
          <w:i w:val="0"/>
        </w:rPr>
        <w:t xml:space="preserve"> </w:t>
      </w:r>
      <w:r w:rsidR="004A160F">
        <w:rPr>
          <w:i w:val="0"/>
        </w:rPr>
        <w:t xml:space="preserve">while </w:t>
      </w:r>
      <w:r w:rsidR="004A160F" w:rsidRPr="004A160F">
        <w:rPr>
          <w:iCs/>
        </w:rPr>
        <w:t>t-1</w:t>
      </w:r>
      <w:r w:rsidR="004A160F">
        <w:rPr>
          <w:i w:val="0"/>
        </w:rPr>
        <w:t xml:space="preserve"> indicates from the prior year</w:t>
      </w:r>
      <w:r w:rsidRPr="00007028">
        <w:rPr>
          <w:i w:val="0"/>
        </w:rPr>
        <w:t xml:space="preserve">. For covariates that are multiyear, </w:t>
      </w:r>
      <m:oMath>
        <m:r>
          <w:rPr>
            <w:rFonts w:ascii="Cambria Math" w:hAnsi="Cambria Math"/>
          </w:rPr>
          <m:t>t</m:t>
        </m:r>
      </m:oMath>
      <w:r w:rsidRPr="00007028">
        <w:rPr>
          <w:i w:val="0"/>
        </w:rPr>
        <w:t xml:space="preserve"> is the </w:t>
      </w:r>
      <w:r w:rsidR="001A2540">
        <w:rPr>
          <w:i w:val="0"/>
        </w:rPr>
        <w:t>last</w:t>
      </w:r>
      <w:r w:rsidR="001A2540" w:rsidRPr="00007028">
        <w:rPr>
          <w:i w:val="0"/>
        </w:rPr>
        <w:t xml:space="preserve"> </w:t>
      </w:r>
      <w:r w:rsidRPr="00007028">
        <w:rPr>
          <w:i w:val="0"/>
        </w:rPr>
        <w:t>calendar year</w:t>
      </w:r>
      <w:r w:rsidR="001A2540">
        <w:rPr>
          <w:i w:val="0"/>
        </w:rPr>
        <w:t xml:space="preserve"> (</w:t>
      </w:r>
      <w:r w:rsidR="00DD5689">
        <w:rPr>
          <w:i w:val="0"/>
        </w:rPr>
        <w:t>i.e.,</w:t>
      </w:r>
      <w:r w:rsidR="00F84AA7">
        <w:rPr>
          <w:i w:val="0"/>
        </w:rPr>
        <w:t xml:space="preserve"> </w:t>
      </w:r>
      <w:r w:rsidR="001A2540">
        <w:rPr>
          <w:i w:val="0"/>
        </w:rPr>
        <w:t>the 2014 multiyear average</w:t>
      </w:r>
      <w:r w:rsidR="00945044">
        <w:rPr>
          <w:i w:val="0"/>
        </w:rPr>
        <w:t xml:space="preserve"> regional </w:t>
      </w:r>
      <w:r w:rsidR="001A2540">
        <w:rPr>
          <w:i w:val="0"/>
        </w:rPr>
        <w:t>SST is January 2012 to June 2014)</w:t>
      </w:r>
      <w:r w:rsidRPr="00007028">
        <w:rPr>
          <w:i w:val="0"/>
        </w:rPr>
        <w:t>.</w:t>
      </w:r>
      <w:r w:rsidR="00007028" w:rsidRPr="00007028">
        <w:rPr>
          <w:i w:val="0"/>
        </w:rPr>
        <w:t xml:space="preserve"> </w:t>
      </w:r>
      <w:r w:rsidR="00007028" w:rsidRPr="00007028">
        <w:rPr>
          <w:i w:val="0"/>
          <w:iCs/>
        </w:rPr>
        <w:t xml:space="preserve">The equations with </w:t>
      </w:r>
      <w:r w:rsidR="00007028" w:rsidRPr="00BA076B">
        <w:t>s</w:t>
      </w:r>
      <w:r w:rsidR="00007028" w:rsidRPr="00007028">
        <w:rPr>
          <w:i w:val="0"/>
          <w:iCs/>
        </w:rPr>
        <w:t xml:space="preserve">() are GAM models where the covariates has a non-linear response (defined by </w:t>
      </w:r>
      <w:r w:rsidR="00007028">
        <w:rPr>
          <w:i w:val="0"/>
          <w:iCs/>
        </w:rPr>
        <w:t>a spline based smoothing</w:t>
      </w:r>
      <w:r w:rsidR="00007028" w:rsidRPr="00007028">
        <w:rPr>
          <w:i w:val="0"/>
          <w:iCs/>
        </w:rPr>
        <w:t xml:space="preserve"> function).</w:t>
      </w:r>
      <w:r w:rsidR="00496E42">
        <w:rPr>
          <w:i w:val="0"/>
          <w:iCs/>
        </w:rPr>
        <w:t xml:space="preserve"> </w:t>
      </w:r>
      <w:r w:rsidR="00496E42" w:rsidRPr="00007028">
        <w:rPr>
          <w:i w:val="0"/>
        </w:rPr>
        <w:t xml:space="preserve">The </w:t>
      </w:r>
      <w:r w:rsidR="00496E42">
        <w:rPr>
          <w:i w:val="0"/>
        </w:rPr>
        <w:t xml:space="preserve">full set of </w:t>
      </w:r>
      <w:r w:rsidR="00496E42" w:rsidRPr="00007028">
        <w:rPr>
          <w:i w:val="0"/>
        </w:rPr>
        <w:t xml:space="preserve">nested tests </w:t>
      </w:r>
      <w:r w:rsidR="00496E42">
        <w:rPr>
          <w:i w:val="0"/>
        </w:rPr>
        <w:t xml:space="preserve">for the base catch models (no environmental covariates) </w:t>
      </w:r>
      <w:r w:rsidR="00496E42" w:rsidRPr="00007028">
        <w:rPr>
          <w:i w:val="0"/>
        </w:rPr>
        <w:t xml:space="preserve">are given </w:t>
      </w:r>
      <w:r w:rsidR="00496E42" w:rsidRPr="00387E66">
        <w:rPr>
          <w:i w:val="0"/>
        </w:rPr>
        <w:t xml:space="preserve">in </w:t>
      </w:r>
      <w:r w:rsidR="00496E42">
        <w:rPr>
          <w:i w:val="0"/>
        </w:rPr>
        <w:t xml:space="preserve">the </w:t>
      </w:r>
      <w:r w:rsidR="00496E42" w:rsidRPr="00387E66">
        <w:rPr>
          <w:i w:val="0"/>
        </w:rPr>
        <w:t>Supporting Information</w:t>
      </w:r>
      <w:r w:rsidR="00496E42">
        <w:rPr>
          <w:i w:val="0"/>
        </w:rPr>
        <w:t>, Tables S1-S</w:t>
      </w:r>
      <w:r w:rsidR="006D2F2D">
        <w:rPr>
          <w:i w:val="0"/>
        </w:rPr>
        <w:t>6</w:t>
      </w:r>
      <w:r w:rsidR="00496E42" w:rsidRPr="00007028">
        <w:rPr>
          <w:i w:val="0"/>
        </w:rPr>
        <w:t>.</w:t>
      </w:r>
    </w:p>
    <w:p w14:paraId="789F8D00" w14:textId="0CE27E97" w:rsidR="0000127E" w:rsidRPr="00007028" w:rsidRDefault="0000127E" w:rsidP="0000127E">
      <w:pPr>
        <w:pStyle w:val="BodyText"/>
        <w:rPr>
          <w:b/>
        </w:rPr>
      </w:pPr>
    </w:p>
    <w:p w14:paraId="46F72D0B" w14:textId="77777777" w:rsidR="00154AF2" w:rsidRPr="003E2A48" w:rsidRDefault="00154AF2" w:rsidP="00F860C5">
      <w:pPr>
        <w:pStyle w:val="ImageCaption"/>
        <w:spacing w:after="0" w:line="360" w:lineRule="auto"/>
      </w:pPr>
    </w:p>
    <w:sectPr w:rsidR="00154AF2" w:rsidRPr="003E2A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697E5" w14:textId="77777777" w:rsidR="00B96982" w:rsidRDefault="00B96982">
      <w:r>
        <w:separator/>
      </w:r>
    </w:p>
  </w:endnote>
  <w:endnote w:type="continuationSeparator" w:id="0">
    <w:p w14:paraId="19061FCA" w14:textId="77777777" w:rsidR="00B96982" w:rsidRDefault="00B96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NimbusRomNo9L">
    <w:altName w:val="Cambria"/>
    <w:panose1 w:val="020B0604020202020204"/>
    <w:charset w:val="00"/>
    <w:family w:val="roman"/>
    <w:pitch w:val="default"/>
  </w:font>
  <w:font w:name="LMSans8">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4384D" w14:textId="77777777" w:rsidR="00B96982" w:rsidRDefault="00B96982">
      <w:r>
        <w:separator/>
      </w:r>
    </w:p>
  </w:footnote>
  <w:footnote w:type="continuationSeparator" w:id="0">
    <w:p w14:paraId="29EF9339" w14:textId="77777777" w:rsidR="00B96982" w:rsidRDefault="00B969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A8A91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1F6E28C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20416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E2683E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3C4EE5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79E7D1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08060C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E5609B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382B65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D326B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6A821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8A1137"/>
    <w:multiLevelType w:val="multilevel"/>
    <w:tmpl w:val="3EF0E7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9F3B05"/>
    <w:multiLevelType w:val="multilevel"/>
    <w:tmpl w:val="BF98CC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1AE401"/>
    <w:multiLevelType w:val="multilevel"/>
    <w:tmpl w:val="D506C0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17430ED"/>
    <w:multiLevelType w:val="multilevel"/>
    <w:tmpl w:val="409E73E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E54A80"/>
    <w:multiLevelType w:val="multilevel"/>
    <w:tmpl w:val="BAF267A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1315DCA"/>
    <w:multiLevelType w:val="multilevel"/>
    <w:tmpl w:val="DFB850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4"/>
  </w:num>
  <w:num w:numId="5">
    <w:abstractNumId w:val="11"/>
  </w:num>
  <w:num w:numId="6">
    <w:abstractNumId w:val="12"/>
  </w:num>
  <w:num w:numId="7">
    <w:abstractNumId w:val="1"/>
  </w:num>
  <w:num w:numId="8">
    <w:abstractNumId w:val="2"/>
  </w:num>
  <w:num w:numId="9">
    <w:abstractNumId w:val="3"/>
  </w:num>
  <w:num w:numId="10">
    <w:abstractNumId w:val="4"/>
  </w:num>
  <w:num w:numId="11">
    <w:abstractNumId w:val="9"/>
  </w:num>
  <w:num w:numId="12">
    <w:abstractNumId w:val="5"/>
  </w:num>
  <w:num w:numId="13">
    <w:abstractNumId w:val="6"/>
  </w:num>
  <w:num w:numId="14">
    <w:abstractNumId w:val="7"/>
  </w:num>
  <w:num w:numId="15">
    <w:abstractNumId w:val="8"/>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27E"/>
    <w:rsid w:val="00001B0B"/>
    <w:rsid w:val="00002086"/>
    <w:rsid w:val="000035C3"/>
    <w:rsid w:val="000055B5"/>
    <w:rsid w:val="00007028"/>
    <w:rsid w:val="000074C6"/>
    <w:rsid w:val="00007FDB"/>
    <w:rsid w:val="0001112B"/>
    <w:rsid w:val="00011C8B"/>
    <w:rsid w:val="00012D70"/>
    <w:rsid w:val="0001367A"/>
    <w:rsid w:val="00023740"/>
    <w:rsid w:val="000258CE"/>
    <w:rsid w:val="0003002F"/>
    <w:rsid w:val="000367A7"/>
    <w:rsid w:val="00041204"/>
    <w:rsid w:val="00041E4E"/>
    <w:rsid w:val="00045491"/>
    <w:rsid w:val="0004686C"/>
    <w:rsid w:val="00047539"/>
    <w:rsid w:val="00050C0C"/>
    <w:rsid w:val="000558C7"/>
    <w:rsid w:val="000566EB"/>
    <w:rsid w:val="000609CA"/>
    <w:rsid w:val="00062D8C"/>
    <w:rsid w:val="00067EBB"/>
    <w:rsid w:val="00073272"/>
    <w:rsid w:val="000753F6"/>
    <w:rsid w:val="00075810"/>
    <w:rsid w:val="00076378"/>
    <w:rsid w:val="00076B9A"/>
    <w:rsid w:val="00082226"/>
    <w:rsid w:val="00084D4E"/>
    <w:rsid w:val="000857EA"/>
    <w:rsid w:val="00094318"/>
    <w:rsid w:val="0009569D"/>
    <w:rsid w:val="00096628"/>
    <w:rsid w:val="000A200A"/>
    <w:rsid w:val="000B1F56"/>
    <w:rsid w:val="000B375B"/>
    <w:rsid w:val="000B4D98"/>
    <w:rsid w:val="000C303A"/>
    <w:rsid w:val="000C3AFE"/>
    <w:rsid w:val="000C459C"/>
    <w:rsid w:val="000C700D"/>
    <w:rsid w:val="000D07BB"/>
    <w:rsid w:val="000D140C"/>
    <w:rsid w:val="000D20E8"/>
    <w:rsid w:val="000D35E2"/>
    <w:rsid w:val="000D41D4"/>
    <w:rsid w:val="000D480C"/>
    <w:rsid w:val="000D58B4"/>
    <w:rsid w:val="000D5907"/>
    <w:rsid w:val="000E0650"/>
    <w:rsid w:val="000E696D"/>
    <w:rsid w:val="000F0D7A"/>
    <w:rsid w:val="000F5A5C"/>
    <w:rsid w:val="000F63A6"/>
    <w:rsid w:val="001003BE"/>
    <w:rsid w:val="00103242"/>
    <w:rsid w:val="00103B15"/>
    <w:rsid w:val="00106FD7"/>
    <w:rsid w:val="00107088"/>
    <w:rsid w:val="0011063F"/>
    <w:rsid w:val="00111CAE"/>
    <w:rsid w:val="00112C7F"/>
    <w:rsid w:val="00114602"/>
    <w:rsid w:val="001220B1"/>
    <w:rsid w:val="001229F8"/>
    <w:rsid w:val="00122F24"/>
    <w:rsid w:val="001233F0"/>
    <w:rsid w:val="00124572"/>
    <w:rsid w:val="0013107F"/>
    <w:rsid w:val="00141852"/>
    <w:rsid w:val="00143284"/>
    <w:rsid w:val="00143B30"/>
    <w:rsid w:val="0014506D"/>
    <w:rsid w:val="00150976"/>
    <w:rsid w:val="00152255"/>
    <w:rsid w:val="00154AF2"/>
    <w:rsid w:val="00156B93"/>
    <w:rsid w:val="00157387"/>
    <w:rsid w:val="00160B6C"/>
    <w:rsid w:val="00164EFB"/>
    <w:rsid w:val="0016789A"/>
    <w:rsid w:val="001720FB"/>
    <w:rsid w:val="00173E30"/>
    <w:rsid w:val="00175B7E"/>
    <w:rsid w:val="00175EC9"/>
    <w:rsid w:val="00175FED"/>
    <w:rsid w:val="00176CA9"/>
    <w:rsid w:val="001801B2"/>
    <w:rsid w:val="00182B56"/>
    <w:rsid w:val="0018399F"/>
    <w:rsid w:val="00185159"/>
    <w:rsid w:val="00185501"/>
    <w:rsid w:val="00187B24"/>
    <w:rsid w:val="00195BD1"/>
    <w:rsid w:val="001A2540"/>
    <w:rsid w:val="001A2F31"/>
    <w:rsid w:val="001A3DBC"/>
    <w:rsid w:val="001A401E"/>
    <w:rsid w:val="001A47E0"/>
    <w:rsid w:val="001A7D4A"/>
    <w:rsid w:val="001B0CDA"/>
    <w:rsid w:val="001B0F45"/>
    <w:rsid w:val="001B1B67"/>
    <w:rsid w:val="001B2B7D"/>
    <w:rsid w:val="001B33CD"/>
    <w:rsid w:val="001B3838"/>
    <w:rsid w:val="001C0CF0"/>
    <w:rsid w:val="001C2481"/>
    <w:rsid w:val="001C3550"/>
    <w:rsid w:val="001C4A92"/>
    <w:rsid w:val="001C6E3C"/>
    <w:rsid w:val="001D10FC"/>
    <w:rsid w:val="001D13A0"/>
    <w:rsid w:val="001D5BD1"/>
    <w:rsid w:val="001D622D"/>
    <w:rsid w:val="001D6F09"/>
    <w:rsid w:val="001E2F08"/>
    <w:rsid w:val="001E3137"/>
    <w:rsid w:val="001E6089"/>
    <w:rsid w:val="001E6FD4"/>
    <w:rsid w:val="001E73B8"/>
    <w:rsid w:val="001E7D8C"/>
    <w:rsid w:val="001F1C78"/>
    <w:rsid w:val="001F2A6D"/>
    <w:rsid w:val="001F42A5"/>
    <w:rsid w:val="0020084F"/>
    <w:rsid w:val="00203726"/>
    <w:rsid w:val="002075F4"/>
    <w:rsid w:val="0022078C"/>
    <w:rsid w:val="00225F00"/>
    <w:rsid w:val="00226FBB"/>
    <w:rsid w:val="002312EC"/>
    <w:rsid w:val="00232A73"/>
    <w:rsid w:val="00236FC1"/>
    <w:rsid w:val="002405EA"/>
    <w:rsid w:val="00242A7E"/>
    <w:rsid w:val="00245A9B"/>
    <w:rsid w:val="00246D45"/>
    <w:rsid w:val="00247F1E"/>
    <w:rsid w:val="00261C4C"/>
    <w:rsid w:val="002622DC"/>
    <w:rsid w:val="002650D9"/>
    <w:rsid w:val="00265368"/>
    <w:rsid w:val="0026567A"/>
    <w:rsid w:val="0027686E"/>
    <w:rsid w:val="00277278"/>
    <w:rsid w:val="0028465C"/>
    <w:rsid w:val="002851B3"/>
    <w:rsid w:val="0028609E"/>
    <w:rsid w:val="00287190"/>
    <w:rsid w:val="00293521"/>
    <w:rsid w:val="002956DF"/>
    <w:rsid w:val="002A147A"/>
    <w:rsid w:val="002A2CB8"/>
    <w:rsid w:val="002A57DD"/>
    <w:rsid w:val="002A69B5"/>
    <w:rsid w:val="002B2A2B"/>
    <w:rsid w:val="002B4AB6"/>
    <w:rsid w:val="002B699A"/>
    <w:rsid w:val="002C00FE"/>
    <w:rsid w:val="002C110F"/>
    <w:rsid w:val="002C2C4A"/>
    <w:rsid w:val="002C5680"/>
    <w:rsid w:val="002C578A"/>
    <w:rsid w:val="002C77A6"/>
    <w:rsid w:val="002D6D7C"/>
    <w:rsid w:val="002D7E59"/>
    <w:rsid w:val="002E1BBA"/>
    <w:rsid w:val="002E436F"/>
    <w:rsid w:val="002E54C8"/>
    <w:rsid w:val="002F14CB"/>
    <w:rsid w:val="002F169C"/>
    <w:rsid w:val="002F6A98"/>
    <w:rsid w:val="002F74B3"/>
    <w:rsid w:val="00300F17"/>
    <w:rsid w:val="00304235"/>
    <w:rsid w:val="0031237D"/>
    <w:rsid w:val="003150AE"/>
    <w:rsid w:val="00315F99"/>
    <w:rsid w:val="00316078"/>
    <w:rsid w:val="00321460"/>
    <w:rsid w:val="00323F49"/>
    <w:rsid w:val="00331658"/>
    <w:rsid w:val="003331C2"/>
    <w:rsid w:val="00341BBA"/>
    <w:rsid w:val="0034244D"/>
    <w:rsid w:val="00344604"/>
    <w:rsid w:val="0034471F"/>
    <w:rsid w:val="00346EB5"/>
    <w:rsid w:val="0034795F"/>
    <w:rsid w:val="00353F3D"/>
    <w:rsid w:val="00354701"/>
    <w:rsid w:val="003574A5"/>
    <w:rsid w:val="0036181B"/>
    <w:rsid w:val="00362866"/>
    <w:rsid w:val="00362E8A"/>
    <w:rsid w:val="00367F28"/>
    <w:rsid w:val="003769F6"/>
    <w:rsid w:val="00381BCA"/>
    <w:rsid w:val="00382101"/>
    <w:rsid w:val="00385DA0"/>
    <w:rsid w:val="00387E66"/>
    <w:rsid w:val="003918F5"/>
    <w:rsid w:val="003938B0"/>
    <w:rsid w:val="00394202"/>
    <w:rsid w:val="00395DCC"/>
    <w:rsid w:val="003A0D96"/>
    <w:rsid w:val="003A1781"/>
    <w:rsid w:val="003A6D12"/>
    <w:rsid w:val="003B0350"/>
    <w:rsid w:val="003B2A60"/>
    <w:rsid w:val="003B474D"/>
    <w:rsid w:val="003B57EF"/>
    <w:rsid w:val="003B5D50"/>
    <w:rsid w:val="003C0052"/>
    <w:rsid w:val="003C6537"/>
    <w:rsid w:val="003C71DA"/>
    <w:rsid w:val="003D5509"/>
    <w:rsid w:val="003E0F9B"/>
    <w:rsid w:val="003E2A48"/>
    <w:rsid w:val="003E42D4"/>
    <w:rsid w:val="003E50FE"/>
    <w:rsid w:val="003E7D3A"/>
    <w:rsid w:val="003F01E5"/>
    <w:rsid w:val="003F27BF"/>
    <w:rsid w:val="003F3134"/>
    <w:rsid w:val="003F3638"/>
    <w:rsid w:val="003F52AE"/>
    <w:rsid w:val="003F5B3F"/>
    <w:rsid w:val="004003B2"/>
    <w:rsid w:val="00403C3A"/>
    <w:rsid w:val="004046CA"/>
    <w:rsid w:val="0040479C"/>
    <w:rsid w:val="00406A64"/>
    <w:rsid w:val="00413B3A"/>
    <w:rsid w:val="00421408"/>
    <w:rsid w:val="0042549E"/>
    <w:rsid w:val="00426333"/>
    <w:rsid w:val="004274D6"/>
    <w:rsid w:val="004330CA"/>
    <w:rsid w:val="004337C3"/>
    <w:rsid w:val="00434DD3"/>
    <w:rsid w:val="00435768"/>
    <w:rsid w:val="00436C08"/>
    <w:rsid w:val="00437FA9"/>
    <w:rsid w:val="0044025C"/>
    <w:rsid w:val="00440FD0"/>
    <w:rsid w:val="004442FC"/>
    <w:rsid w:val="0044590D"/>
    <w:rsid w:val="00446D3B"/>
    <w:rsid w:val="00450830"/>
    <w:rsid w:val="00455F5A"/>
    <w:rsid w:val="004571DF"/>
    <w:rsid w:val="004627D8"/>
    <w:rsid w:val="00467186"/>
    <w:rsid w:val="00473848"/>
    <w:rsid w:val="00475DEB"/>
    <w:rsid w:val="00477AB5"/>
    <w:rsid w:val="00480683"/>
    <w:rsid w:val="00481010"/>
    <w:rsid w:val="0048723F"/>
    <w:rsid w:val="00491A14"/>
    <w:rsid w:val="004950C7"/>
    <w:rsid w:val="00496E42"/>
    <w:rsid w:val="004A05C8"/>
    <w:rsid w:val="004A0EEF"/>
    <w:rsid w:val="004A160F"/>
    <w:rsid w:val="004A3913"/>
    <w:rsid w:val="004A7A0C"/>
    <w:rsid w:val="004B3F02"/>
    <w:rsid w:val="004B413E"/>
    <w:rsid w:val="004B5216"/>
    <w:rsid w:val="004C4001"/>
    <w:rsid w:val="004C468F"/>
    <w:rsid w:val="004C4E60"/>
    <w:rsid w:val="004C55C2"/>
    <w:rsid w:val="004C63E6"/>
    <w:rsid w:val="004C6AF4"/>
    <w:rsid w:val="004C6F56"/>
    <w:rsid w:val="004D1286"/>
    <w:rsid w:val="004D1AC1"/>
    <w:rsid w:val="004D68E7"/>
    <w:rsid w:val="004D7BEC"/>
    <w:rsid w:val="004E29B3"/>
    <w:rsid w:val="004E67C5"/>
    <w:rsid w:val="004F1ED9"/>
    <w:rsid w:val="004F5179"/>
    <w:rsid w:val="005036CA"/>
    <w:rsid w:val="00503980"/>
    <w:rsid w:val="00505BF5"/>
    <w:rsid w:val="005077CE"/>
    <w:rsid w:val="00511567"/>
    <w:rsid w:val="005136A0"/>
    <w:rsid w:val="00514282"/>
    <w:rsid w:val="005219B1"/>
    <w:rsid w:val="005358BF"/>
    <w:rsid w:val="00536538"/>
    <w:rsid w:val="00551BCB"/>
    <w:rsid w:val="00553D93"/>
    <w:rsid w:val="005555A5"/>
    <w:rsid w:val="005572B3"/>
    <w:rsid w:val="00561BC2"/>
    <w:rsid w:val="0056224A"/>
    <w:rsid w:val="00562D15"/>
    <w:rsid w:val="00564403"/>
    <w:rsid w:val="00565DC1"/>
    <w:rsid w:val="00570899"/>
    <w:rsid w:val="005736CF"/>
    <w:rsid w:val="005746B2"/>
    <w:rsid w:val="00574B8C"/>
    <w:rsid w:val="005839BA"/>
    <w:rsid w:val="00584594"/>
    <w:rsid w:val="00590D07"/>
    <w:rsid w:val="0059478B"/>
    <w:rsid w:val="00594885"/>
    <w:rsid w:val="005972FA"/>
    <w:rsid w:val="0059737F"/>
    <w:rsid w:val="0059750C"/>
    <w:rsid w:val="005A1DAE"/>
    <w:rsid w:val="005A53C7"/>
    <w:rsid w:val="005B18FC"/>
    <w:rsid w:val="005B3EFF"/>
    <w:rsid w:val="005B529D"/>
    <w:rsid w:val="005B5ED6"/>
    <w:rsid w:val="005C1A85"/>
    <w:rsid w:val="005C3F7E"/>
    <w:rsid w:val="005D076B"/>
    <w:rsid w:val="005D0D40"/>
    <w:rsid w:val="005D32F2"/>
    <w:rsid w:val="005D634C"/>
    <w:rsid w:val="005E47EF"/>
    <w:rsid w:val="005E5F38"/>
    <w:rsid w:val="005E615D"/>
    <w:rsid w:val="005E7190"/>
    <w:rsid w:val="005F08C8"/>
    <w:rsid w:val="005F20FB"/>
    <w:rsid w:val="005F2B05"/>
    <w:rsid w:val="005F2CBC"/>
    <w:rsid w:val="005F4927"/>
    <w:rsid w:val="005F626C"/>
    <w:rsid w:val="006014DA"/>
    <w:rsid w:val="00601AAA"/>
    <w:rsid w:val="00601B5C"/>
    <w:rsid w:val="006069B1"/>
    <w:rsid w:val="006075D5"/>
    <w:rsid w:val="00613F6B"/>
    <w:rsid w:val="00614FFF"/>
    <w:rsid w:val="00620894"/>
    <w:rsid w:val="00620996"/>
    <w:rsid w:val="00620BF0"/>
    <w:rsid w:val="00623177"/>
    <w:rsid w:val="006241B5"/>
    <w:rsid w:val="00624CB1"/>
    <w:rsid w:val="00627EA9"/>
    <w:rsid w:val="00631F26"/>
    <w:rsid w:val="00635877"/>
    <w:rsid w:val="00636F50"/>
    <w:rsid w:val="0064042B"/>
    <w:rsid w:val="00641D83"/>
    <w:rsid w:val="00641DEC"/>
    <w:rsid w:val="0064270D"/>
    <w:rsid w:val="0065024E"/>
    <w:rsid w:val="00653B25"/>
    <w:rsid w:val="006560BC"/>
    <w:rsid w:val="00673C1D"/>
    <w:rsid w:val="006750A6"/>
    <w:rsid w:val="006812BD"/>
    <w:rsid w:val="00682326"/>
    <w:rsid w:val="00685AF2"/>
    <w:rsid w:val="0069138F"/>
    <w:rsid w:val="0069538F"/>
    <w:rsid w:val="006A0271"/>
    <w:rsid w:val="006A3137"/>
    <w:rsid w:val="006A3EF2"/>
    <w:rsid w:val="006A5DF7"/>
    <w:rsid w:val="006A698C"/>
    <w:rsid w:val="006A6A34"/>
    <w:rsid w:val="006B7946"/>
    <w:rsid w:val="006C178B"/>
    <w:rsid w:val="006C6D92"/>
    <w:rsid w:val="006D0100"/>
    <w:rsid w:val="006D021C"/>
    <w:rsid w:val="006D14EA"/>
    <w:rsid w:val="006D2F2D"/>
    <w:rsid w:val="006D43E2"/>
    <w:rsid w:val="006D566A"/>
    <w:rsid w:val="006D57DD"/>
    <w:rsid w:val="006D5F49"/>
    <w:rsid w:val="006D7FDC"/>
    <w:rsid w:val="006E0256"/>
    <w:rsid w:val="006E1C29"/>
    <w:rsid w:val="006E35B3"/>
    <w:rsid w:val="006E568E"/>
    <w:rsid w:val="006E56B3"/>
    <w:rsid w:val="006E5CD3"/>
    <w:rsid w:val="006E6562"/>
    <w:rsid w:val="006E72EF"/>
    <w:rsid w:val="006F25E5"/>
    <w:rsid w:val="006F2A66"/>
    <w:rsid w:val="006F456F"/>
    <w:rsid w:val="006F4C83"/>
    <w:rsid w:val="006F50C6"/>
    <w:rsid w:val="00700D31"/>
    <w:rsid w:val="0070387F"/>
    <w:rsid w:val="007055CD"/>
    <w:rsid w:val="0071247A"/>
    <w:rsid w:val="00716F79"/>
    <w:rsid w:val="0071792C"/>
    <w:rsid w:val="00722A32"/>
    <w:rsid w:val="007233EB"/>
    <w:rsid w:val="00726862"/>
    <w:rsid w:val="00727F25"/>
    <w:rsid w:val="0073122C"/>
    <w:rsid w:val="00733C2D"/>
    <w:rsid w:val="0073735D"/>
    <w:rsid w:val="00741297"/>
    <w:rsid w:val="00745DB4"/>
    <w:rsid w:val="00746B73"/>
    <w:rsid w:val="007470CC"/>
    <w:rsid w:val="00750EE9"/>
    <w:rsid w:val="00753F61"/>
    <w:rsid w:val="007565BD"/>
    <w:rsid w:val="00756BA5"/>
    <w:rsid w:val="00757B70"/>
    <w:rsid w:val="0076025F"/>
    <w:rsid w:val="0076141E"/>
    <w:rsid w:val="00761F04"/>
    <w:rsid w:val="00764EDB"/>
    <w:rsid w:val="00766C52"/>
    <w:rsid w:val="00770859"/>
    <w:rsid w:val="00771C10"/>
    <w:rsid w:val="00773257"/>
    <w:rsid w:val="00775926"/>
    <w:rsid w:val="00775FB6"/>
    <w:rsid w:val="00782710"/>
    <w:rsid w:val="00784D58"/>
    <w:rsid w:val="00786217"/>
    <w:rsid w:val="007871F2"/>
    <w:rsid w:val="00787E73"/>
    <w:rsid w:val="007908D3"/>
    <w:rsid w:val="007936FE"/>
    <w:rsid w:val="00795B00"/>
    <w:rsid w:val="007A3C46"/>
    <w:rsid w:val="007A5CD8"/>
    <w:rsid w:val="007A6CBA"/>
    <w:rsid w:val="007B4A41"/>
    <w:rsid w:val="007B78F3"/>
    <w:rsid w:val="007B7B73"/>
    <w:rsid w:val="007C1E74"/>
    <w:rsid w:val="007C64AE"/>
    <w:rsid w:val="007D4152"/>
    <w:rsid w:val="007D5017"/>
    <w:rsid w:val="007F09AF"/>
    <w:rsid w:val="007F0DD0"/>
    <w:rsid w:val="007F48D7"/>
    <w:rsid w:val="007F6C38"/>
    <w:rsid w:val="008030A4"/>
    <w:rsid w:val="00804BF8"/>
    <w:rsid w:val="0080508A"/>
    <w:rsid w:val="008062F9"/>
    <w:rsid w:val="00806920"/>
    <w:rsid w:val="00810FBF"/>
    <w:rsid w:val="00816FF5"/>
    <w:rsid w:val="00817FA9"/>
    <w:rsid w:val="00820BAB"/>
    <w:rsid w:val="00822E7F"/>
    <w:rsid w:val="0082679E"/>
    <w:rsid w:val="0084066F"/>
    <w:rsid w:val="00843AC4"/>
    <w:rsid w:val="00843F0C"/>
    <w:rsid w:val="0084446F"/>
    <w:rsid w:val="008464F2"/>
    <w:rsid w:val="0085033B"/>
    <w:rsid w:val="0085275E"/>
    <w:rsid w:val="00853B97"/>
    <w:rsid w:val="00856C0C"/>
    <w:rsid w:val="0086401F"/>
    <w:rsid w:val="0087241A"/>
    <w:rsid w:val="00876B65"/>
    <w:rsid w:val="00883863"/>
    <w:rsid w:val="00884E7E"/>
    <w:rsid w:val="00895735"/>
    <w:rsid w:val="008A5EED"/>
    <w:rsid w:val="008A6D46"/>
    <w:rsid w:val="008B0010"/>
    <w:rsid w:val="008B0E14"/>
    <w:rsid w:val="008B10CF"/>
    <w:rsid w:val="008B4247"/>
    <w:rsid w:val="008C2DB3"/>
    <w:rsid w:val="008C33E5"/>
    <w:rsid w:val="008C44D5"/>
    <w:rsid w:val="008D1781"/>
    <w:rsid w:val="008D39A8"/>
    <w:rsid w:val="008D4794"/>
    <w:rsid w:val="008D5223"/>
    <w:rsid w:val="008D6863"/>
    <w:rsid w:val="008D734D"/>
    <w:rsid w:val="008D7892"/>
    <w:rsid w:val="008D7994"/>
    <w:rsid w:val="008E2806"/>
    <w:rsid w:val="008E449D"/>
    <w:rsid w:val="008E528F"/>
    <w:rsid w:val="008E6F8A"/>
    <w:rsid w:val="008E784A"/>
    <w:rsid w:val="008F002B"/>
    <w:rsid w:val="008F0FC8"/>
    <w:rsid w:val="00901CDC"/>
    <w:rsid w:val="00901E08"/>
    <w:rsid w:val="0090226C"/>
    <w:rsid w:val="009023B8"/>
    <w:rsid w:val="00903BE3"/>
    <w:rsid w:val="00905703"/>
    <w:rsid w:val="00905F2F"/>
    <w:rsid w:val="00913EF0"/>
    <w:rsid w:val="00922AFC"/>
    <w:rsid w:val="00932082"/>
    <w:rsid w:val="0093230B"/>
    <w:rsid w:val="009355E1"/>
    <w:rsid w:val="009408CC"/>
    <w:rsid w:val="00945044"/>
    <w:rsid w:val="009522F2"/>
    <w:rsid w:val="00952A52"/>
    <w:rsid w:val="0095302F"/>
    <w:rsid w:val="00954A16"/>
    <w:rsid w:val="00957881"/>
    <w:rsid w:val="00960FCA"/>
    <w:rsid w:val="009635B5"/>
    <w:rsid w:val="00970E37"/>
    <w:rsid w:val="0097275E"/>
    <w:rsid w:val="00973067"/>
    <w:rsid w:val="00973623"/>
    <w:rsid w:val="00976E52"/>
    <w:rsid w:val="00977DFF"/>
    <w:rsid w:val="009836C5"/>
    <w:rsid w:val="00985099"/>
    <w:rsid w:val="0099728B"/>
    <w:rsid w:val="009A41CD"/>
    <w:rsid w:val="009A5FFD"/>
    <w:rsid w:val="009A67DA"/>
    <w:rsid w:val="009B1F17"/>
    <w:rsid w:val="009B2B07"/>
    <w:rsid w:val="009C2C05"/>
    <w:rsid w:val="009C45B6"/>
    <w:rsid w:val="009C717A"/>
    <w:rsid w:val="009D26C4"/>
    <w:rsid w:val="009D35A9"/>
    <w:rsid w:val="009E4B9F"/>
    <w:rsid w:val="009F13A6"/>
    <w:rsid w:val="009F4D6D"/>
    <w:rsid w:val="00A0169D"/>
    <w:rsid w:val="00A0382F"/>
    <w:rsid w:val="00A112A3"/>
    <w:rsid w:val="00A1319F"/>
    <w:rsid w:val="00A2352B"/>
    <w:rsid w:val="00A31D6F"/>
    <w:rsid w:val="00A32AFB"/>
    <w:rsid w:val="00A407D2"/>
    <w:rsid w:val="00A40966"/>
    <w:rsid w:val="00A40AF0"/>
    <w:rsid w:val="00A43466"/>
    <w:rsid w:val="00A45786"/>
    <w:rsid w:val="00A46D08"/>
    <w:rsid w:val="00A47CB9"/>
    <w:rsid w:val="00A52EF3"/>
    <w:rsid w:val="00A62638"/>
    <w:rsid w:val="00A63A39"/>
    <w:rsid w:val="00A64AF3"/>
    <w:rsid w:val="00A65617"/>
    <w:rsid w:val="00A71D5A"/>
    <w:rsid w:val="00A72E71"/>
    <w:rsid w:val="00A7331B"/>
    <w:rsid w:val="00A7493E"/>
    <w:rsid w:val="00A74E0B"/>
    <w:rsid w:val="00A74F04"/>
    <w:rsid w:val="00A7719B"/>
    <w:rsid w:val="00A859E5"/>
    <w:rsid w:val="00A941DA"/>
    <w:rsid w:val="00A94D47"/>
    <w:rsid w:val="00A967F3"/>
    <w:rsid w:val="00AA0307"/>
    <w:rsid w:val="00AA22D5"/>
    <w:rsid w:val="00AA268D"/>
    <w:rsid w:val="00AA3B73"/>
    <w:rsid w:val="00AA42F8"/>
    <w:rsid w:val="00AA72C0"/>
    <w:rsid w:val="00AA7728"/>
    <w:rsid w:val="00AB0F6E"/>
    <w:rsid w:val="00AB4E5A"/>
    <w:rsid w:val="00AB4FA7"/>
    <w:rsid w:val="00AB5281"/>
    <w:rsid w:val="00AB54E1"/>
    <w:rsid w:val="00AB6F0A"/>
    <w:rsid w:val="00AB7D1B"/>
    <w:rsid w:val="00AC129F"/>
    <w:rsid w:val="00AC15CB"/>
    <w:rsid w:val="00AC7248"/>
    <w:rsid w:val="00AD464C"/>
    <w:rsid w:val="00AD4AD3"/>
    <w:rsid w:val="00AD4FFD"/>
    <w:rsid w:val="00AE096F"/>
    <w:rsid w:val="00AE1175"/>
    <w:rsid w:val="00AE264C"/>
    <w:rsid w:val="00AE2694"/>
    <w:rsid w:val="00AE27DA"/>
    <w:rsid w:val="00AE3E41"/>
    <w:rsid w:val="00AE4D4A"/>
    <w:rsid w:val="00AE6E40"/>
    <w:rsid w:val="00AF0E28"/>
    <w:rsid w:val="00AF6F27"/>
    <w:rsid w:val="00B03057"/>
    <w:rsid w:val="00B03CAD"/>
    <w:rsid w:val="00B03FD6"/>
    <w:rsid w:val="00B06196"/>
    <w:rsid w:val="00B06C49"/>
    <w:rsid w:val="00B12AE0"/>
    <w:rsid w:val="00B16E16"/>
    <w:rsid w:val="00B209A0"/>
    <w:rsid w:val="00B21C41"/>
    <w:rsid w:val="00B26628"/>
    <w:rsid w:val="00B27291"/>
    <w:rsid w:val="00B32314"/>
    <w:rsid w:val="00B34F90"/>
    <w:rsid w:val="00B360D9"/>
    <w:rsid w:val="00B36260"/>
    <w:rsid w:val="00B370D3"/>
    <w:rsid w:val="00B42A8E"/>
    <w:rsid w:val="00B50B79"/>
    <w:rsid w:val="00B52C6F"/>
    <w:rsid w:val="00B55B3E"/>
    <w:rsid w:val="00B61F41"/>
    <w:rsid w:val="00B63427"/>
    <w:rsid w:val="00B63940"/>
    <w:rsid w:val="00B64AC7"/>
    <w:rsid w:val="00B7452F"/>
    <w:rsid w:val="00B75CC5"/>
    <w:rsid w:val="00B77E64"/>
    <w:rsid w:val="00B801AB"/>
    <w:rsid w:val="00B81391"/>
    <w:rsid w:val="00B86B75"/>
    <w:rsid w:val="00B91833"/>
    <w:rsid w:val="00B92603"/>
    <w:rsid w:val="00B92B50"/>
    <w:rsid w:val="00B94A06"/>
    <w:rsid w:val="00B96982"/>
    <w:rsid w:val="00B9703A"/>
    <w:rsid w:val="00BA06F4"/>
    <w:rsid w:val="00BA076B"/>
    <w:rsid w:val="00BA0C44"/>
    <w:rsid w:val="00BA39D2"/>
    <w:rsid w:val="00BA4484"/>
    <w:rsid w:val="00BA5E79"/>
    <w:rsid w:val="00BB18F1"/>
    <w:rsid w:val="00BB4CD9"/>
    <w:rsid w:val="00BB7FA0"/>
    <w:rsid w:val="00BC48D5"/>
    <w:rsid w:val="00BC7E28"/>
    <w:rsid w:val="00BD1C4D"/>
    <w:rsid w:val="00BE1633"/>
    <w:rsid w:val="00BE1CE7"/>
    <w:rsid w:val="00BE7320"/>
    <w:rsid w:val="00BE79AB"/>
    <w:rsid w:val="00BE7BF1"/>
    <w:rsid w:val="00BF13DF"/>
    <w:rsid w:val="00BF278F"/>
    <w:rsid w:val="00BF3ED4"/>
    <w:rsid w:val="00BF4AB0"/>
    <w:rsid w:val="00C0484D"/>
    <w:rsid w:val="00C1000A"/>
    <w:rsid w:val="00C13321"/>
    <w:rsid w:val="00C16CDA"/>
    <w:rsid w:val="00C2132F"/>
    <w:rsid w:val="00C2463E"/>
    <w:rsid w:val="00C33E60"/>
    <w:rsid w:val="00C36279"/>
    <w:rsid w:val="00C369A6"/>
    <w:rsid w:val="00C41255"/>
    <w:rsid w:val="00C4548C"/>
    <w:rsid w:val="00C46823"/>
    <w:rsid w:val="00C47C13"/>
    <w:rsid w:val="00C564B8"/>
    <w:rsid w:val="00C61FCB"/>
    <w:rsid w:val="00C62033"/>
    <w:rsid w:val="00C63CB5"/>
    <w:rsid w:val="00C71171"/>
    <w:rsid w:val="00C71234"/>
    <w:rsid w:val="00C74E3F"/>
    <w:rsid w:val="00C7703E"/>
    <w:rsid w:val="00C77DE7"/>
    <w:rsid w:val="00C81382"/>
    <w:rsid w:val="00C92464"/>
    <w:rsid w:val="00C92E5E"/>
    <w:rsid w:val="00C93CE8"/>
    <w:rsid w:val="00CA03BC"/>
    <w:rsid w:val="00CA03BD"/>
    <w:rsid w:val="00CA06D5"/>
    <w:rsid w:val="00CA5105"/>
    <w:rsid w:val="00CB4652"/>
    <w:rsid w:val="00CB5B53"/>
    <w:rsid w:val="00CC35A8"/>
    <w:rsid w:val="00CC4613"/>
    <w:rsid w:val="00CC4E06"/>
    <w:rsid w:val="00CC53B1"/>
    <w:rsid w:val="00CD29C6"/>
    <w:rsid w:val="00CD49BA"/>
    <w:rsid w:val="00CD66B4"/>
    <w:rsid w:val="00CE11E9"/>
    <w:rsid w:val="00CE1DC5"/>
    <w:rsid w:val="00CE1E59"/>
    <w:rsid w:val="00CE1F6D"/>
    <w:rsid w:val="00CE477A"/>
    <w:rsid w:val="00CE4BB8"/>
    <w:rsid w:val="00CE588D"/>
    <w:rsid w:val="00CE750A"/>
    <w:rsid w:val="00CF5649"/>
    <w:rsid w:val="00CF7F39"/>
    <w:rsid w:val="00D00273"/>
    <w:rsid w:val="00D03D9B"/>
    <w:rsid w:val="00D05D6F"/>
    <w:rsid w:val="00D12354"/>
    <w:rsid w:val="00D151EB"/>
    <w:rsid w:val="00D15F33"/>
    <w:rsid w:val="00D16A3C"/>
    <w:rsid w:val="00D203BD"/>
    <w:rsid w:val="00D203F4"/>
    <w:rsid w:val="00D218D2"/>
    <w:rsid w:val="00D2216D"/>
    <w:rsid w:val="00D2774A"/>
    <w:rsid w:val="00D27829"/>
    <w:rsid w:val="00D3079D"/>
    <w:rsid w:val="00D400C1"/>
    <w:rsid w:val="00D40827"/>
    <w:rsid w:val="00D52162"/>
    <w:rsid w:val="00D5296E"/>
    <w:rsid w:val="00D5487E"/>
    <w:rsid w:val="00D5505A"/>
    <w:rsid w:val="00D55620"/>
    <w:rsid w:val="00D5574B"/>
    <w:rsid w:val="00D562EB"/>
    <w:rsid w:val="00D60EBB"/>
    <w:rsid w:val="00D62708"/>
    <w:rsid w:val="00D638A7"/>
    <w:rsid w:val="00D71ED5"/>
    <w:rsid w:val="00D80696"/>
    <w:rsid w:val="00D806C2"/>
    <w:rsid w:val="00D8154B"/>
    <w:rsid w:val="00D8282F"/>
    <w:rsid w:val="00D83B48"/>
    <w:rsid w:val="00D85560"/>
    <w:rsid w:val="00D92334"/>
    <w:rsid w:val="00D943D1"/>
    <w:rsid w:val="00D95A81"/>
    <w:rsid w:val="00D96167"/>
    <w:rsid w:val="00D96A1A"/>
    <w:rsid w:val="00DA350D"/>
    <w:rsid w:val="00DA610F"/>
    <w:rsid w:val="00DB460A"/>
    <w:rsid w:val="00DB578C"/>
    <w:rsid w:val="00DB6767"/>
    <w:rsid w:val="00DB7369"/>
    <w:rsid w:val="00DB7A68"/>
    <w:rsid w:val="00DC0216"/>
    <w:rsid w:val="00DC0417"/>
    <w:rsid w:val="00DC0451"/>
    <w:rsid w:val="00DC615F"/>
    <w:rsid w:val="00DC6AF4"/>
    <w:rsid w:val="00DD1F90"/>
    <w:rsid w:val="00DD22D0"/>
    <w:rsid w:val="00DD5689"/>
    <w:rsid w:val="00DD79C4"/>
    <w:rsid w:val="00DE3E1D"/>
    <w:rsid w:val="00DE6134"/>
    <w:rsid w:val="00DE73D2"/>
    <w:rsid w:val="00DE782C"/>
    <w:rsid w:val="00DF17F9"/>
    <w:rsid w:val="00DF319E"/>
    <w:rsid w:val="00DF5562"/>
    <w:rsid w:val="00E05F76"/>
    <w:rsid w:val="00E07913"/>
    <w:rsid w:val="00E102DA"/>
    <w:rsid w:val="00E1056B"/>
    <w:rsid w:val="00E11AEF"/>
    <w:rsid w:val="00E14999"/>
    <w:rsid w:val="00E16409"/>
    <w:rsid w:val="00E25DFF"/>
    <w:rsid w:val="00E2762F"/>
    <w:rsid w:val="00E27F84"/>
    <w:rsid w:val="00E315A3"/>
    <w:rsid w:val="00E34B73"/>
    <w:rsid w:val="00E3523A"/>
    <w:rsid w:val="00E3770E"/>
    <w:rsid w:val="00E40CA0"/>
    <w:rsid w:val="00E41E98"/>
    <w:rsid w:val="00E41FB2"/>
    <w:rsid w:val="00E44ED1"/>
    <w:rsid w:val="00E46D7F"/>
    <w:rsid w:val="00E473EF"/>
    <w:rsid w:val="00E53259"/>
    <w:rsid w:val="00E5496B"/>
    <w:rsid w:val="00E560B4"/>
    <w:rsid w:val="00E5701D"/>
    <w:rsid w:val="00E57B0C"/>
    <w:rsid w:val="00E67C61"/>
    <w:rsid w:val="00E7031F"/>
    <w:rsid w:val="00E73AC7"/>
    <w:rsid w:val="00E760FA"/>
    <w:rsid w:val="00E763C1"/>
    <w:rsid w:val="00E768EE"/>
    <w:rsid w:val="00E80453"/>
    <w:rsid w:val="00E819A4"/>
    <w:rsid w:val="00E82C69"/>
    <w:rsid w:val="00E8348A"/>
    <w:rsid w:val="00E8390F"/>
    <w:rsid w:val="00E857EF"/>
    <w:rsid w:val="00E87F94"/>
    <w:rsid w:val="00E924F3"/>
    <w:rsid w:val="00EA3167"/>
    <w:rsid w:val="00EA552C"/>
    <w:rsid w:val="00EA57C3"/>
    <w:rsid w:val="00EB024A"/>
    <w:rsid w:val="00EB214F"/>
    <w:rsid w:val="00EB56CB"/>
    <w:rsid w:val="00EC22EC"/>
    <w:rsid w:val="00EC5AD1"/>
    <w:rsid w:val="00EC6F33"/>
    <w:rsid w:val="00ED1FAD"/>
    <w:rsid w:val="00ED2401"/>
    <w:rsid w:val="00ED4EFD"/>
    <w:rsid w:val="00ED6329"/>
    <w:rsid w:val="00EE20A7"/>
    <w:rsid w:val="00EE5A26"/>
    <w:rsid w:val="00EF5279"/>
    <w:rsid w:val="00EF7621"/>
    <w:rsid w:val="00F029BA"/>
    <w:rsid w:val="00F05183"/>
    <w:rsid w:val="00F0595A"/>
    <w:rsid w:val="00F05E3D"/>
    <w:rsid w:val="00F06475"/>
    <w:rsid w:val="00F0755C"/>
    <w:rsid w:val="00F07AC2"/>
    <w:rsid w:val="00F11068"/>
    <w:rsid w:val="00F1418F"/>
    <w:rsid w:val="00F16230"/>
    <w:rsid w:val="00F2172B"/>
    <w:rsid w:val="00F23BC5"/>
    <w:rsid w:val="00F2693B"/>
    <w:rsid w:val="00F27F87"/>
    <w:rsid w:val="00F30D94"/>
    <w:rsid w:val="00F3211D"/>
    <w:rsid w:val="00F37AB2"/>
    <w:rsid w:val="00F37DC6"/>
    <w:rsid w:val="00F46072"/>
    <w:rsid w:val="00F46FF8"/>
    <w:rsid w:val="00F47926"/>
    <w:rsid w:val="00F57279"/>
    <w:rsid w:val="00F61BB6"/>
    <w:rsid w:val="00F669B6"/>
    <w:rsid w:val="00F74F5E"/>
    <w:rsid w:val="00F753E3"/>
    <w:rsid w:val="00F80512"/>
    <w:rsid w:val="00F820ED"/>
    <w:rsid w:val="00F8311C"/>
    <w:rsid w:val="00F84AA7"/>
    <w:rsid w:val="00F85218"/>
    <w:rsid w:val="00F860C5"/>
    <w:rsid w:val="00F86DBC"/>
    <w:rsid w:val="00F90338"/>
    <w:rsid w:val="00F93284"/>
    <w:rsid w:val="00F9352D"/>
    <w:rsid w:val="00F9375B"/>
    <w:rsid w:val="00F94D67"/>
    <w:rsid w:val="00F950DA"/>
    <w:rsid w:val="00F96F58"/>
    <w:rsid w:val="00F975C3"/>
    <w:rsid w:val="00F979F4"/>
    <w:rsid w:val="00FA1C30"/>
    <w:rsid w:val="00FA7414"/>
    <w:rsid w:val="00FB20C5"/>
    <w:rsid w:val="00FB2856"/>
    <w:rsid w:val="00FB2A94"/>
    <w:rsid w:val="00FB55FB"/>
    <w:rsid w:val="00FB7067"/>
    <w:rsid w:val="00FB7D18"/>
    <w:rsid w:val="00FD3E26"/>
    <w:rsid w:val="00FD4AE7"/>
    <w:rsid w:val="00FD6CC1"/>
    <w:rsid w:val="00FD7A0B"/>
    <w:rsid w:val="00FE2FE8"/>
    <w:rsid w:val="00FE4DF4"/>
    <w:rsid w:val="00FE6751"/>
    <w:rsid w:val="00FF7B5D"/>
    <w:rsid w:val="00FF7DA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C10C4"/>
  <w15:docId w15:val="{8D7DCBBD-A93F-40BB-9A54-CF8A3D23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3E60"/>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rPr>
      <w:rFonts w:asciiTheme="minorHAnsi" w:eastAsia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Pr>
      <w:rFonts w:asciiTheme="minorHAnsi" w:eastAsiaTheme="minorHAnsi" w:hAnsiTheme="minorHAnsi" w:cstheme="minorBidi"/>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rPr>
  </w:style>
  <w:style w:type="paragraph" w:customStyle="1" w:styleId="Definition">
    <w:name w:val="Definition"/>
    <w:basedOn w:val="Normal"/>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Pr>
      <w:rFonts w:asciiTheme="minorHAnsi" w:eastAsiaTheme="minorHAnsi" w:hAnsi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rPr>
      <w:rFonts w:asciiTheme="minorHAnsi" w:eastAsiaTheme="minorHAnsi" w:hAnsiTheme="minorHAnsi" w:cstheme="minorBidi"/>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E2A48"/>
    <w:rPr>
      <w:sz w:val="16"/>
      <w:szCs w:val="16"/>
    </w:rPr>
  </w:style>
  <w:style w:type="paragraph" w:styleId="CommentText">
    <w:name w:val="annotation text"/>
    <w:basedOn w:val="Normal"/>
    <w:link w:val="CommentTextChar"/>
    <w:semiHidden/>
    <w:unhideWhenUsed/>
    <w:rsid w:val="003E2A48"/>
    <w:rPr>
      <w:sz w:val="20"/>
      <w:szCs w:val="20"/>
    </w:rPr>
  </w:style>
  <w:style w:type="character" w:customStyle="1" w:styleId="CommentTextChar">
    <w:name w:val="Comment Text Char"/>
    <w:basedOn w:val="DefaultParagraphFont"/>
    <w:link w:val="CommentText"/>
    <w:semiHidden/>
    <w:rsid w:val="003E2A48"/>
    <w:rPr>
      <w:sz w:val="20"/>
      <w:szCs w:val="20"/>
    </w:rPr>
  </w:style>
  <w:style w:type="paragraph" w:styleId="CommentSubject">
    <w:name w:val="annotation subject"/>
    <w:basedOn w:val="CommentText"/>
    <w:next w:val="CommentText"/>
    <w:link w:val="CommentSubjectChar"/>
    <w:semiHidden/>
    <w:unhideWhenUsed/>
    <w:rsid w:val="003E2A48"/>
    <w:rPr>
      <w:b/>
      <w:bCs/>
    </w:rPr>
  </w:style>
  <w:style w:type="character" w:customStyle="1" w:styleId="CommentSubjectChar">
    <w:name w:val="Comment Subject Char"/>
    <w:basedOn w:val="CommentTextChar"/>
    <w:link w:val="CommentSubject"/>
    <w:semiHidden/>
    <w:rsid w:val="003E2A48"/>
    <w:rPr>
      <w:b/>
      <w:bCs/>
      <w:sz w:val="20"/>
      <w:szCs w:val="20"/>
    </w:rPr>
  </w:style>
  <w:style w:type="paragraph" w:styleId="BalloonText">
    <w:name w:val="Balloon Text"/>
    <w:basedOn w:val="Normal"/>
    <w:link w:val="BalloonTextChar"/>
    <w:semiHidden/>
    <w:unhideWhenUsed/>
    <w:rsid w:val="003E2A48"/>
    <w:rPr>
      <w:rFonts w:ascii="Segoe UI" w:eastAsiaTheme="minorHAnsi" w:hAnsi="Segoe UI" w:cs="Segoe UI"/>
      <w:sz w:val="18"/>
      <w:szCs w:val="18"/>
    </w:rPr>
  </w:style>
  <w:style w:type="character" w:customStyle="1" w:styleId="BalloonTextChar">
    <w:name w:val="Balloon Text Char"/>
    <w:basedOn w:val="DefaultParagraphFont"/>
    <w:link w:val="BalloonText"/>
    <w:semiHidden/>
    <w:rsid w:val="003E2A48"/>
    <w:rPr>
      <w:rFonts w:ascii="Segoe UI" w:hAnsi="Segoe UI" w:cs="Segoe UI"/>
      <w:sz w:val="18"/>
      <w:szCs w:val="18"/>
    </w:rPr>
  </w:style>
  <w:style w:type="character" w:styleId="Emphasis">
    <w:name w:val="Emphasis"/>
    <w:basedOn w:val="DefaultParagraphFont"/>
    <w:uiPriority w:val="20"/>
    <w:qFormat/>
    <w:rsid w:val="00435768"/>
    <w:rPr>
      <w:i/>
      <w:iCs/>
    </w:rPr>
  </w:style>
  <w:style w:type="paragraph" w:styleId="Revision">
    <w:name w:val="Revision"/>
    <w:hidden/>
    <w:semiHidden/>
    <w:rsid w:val="000C303A"/>
  </w:style>
  <w:style w:type="paragraph" w:styleId="NormalWeb">
    <w:name w:val="Normal (Web)"/>
    <w:basedOn w:val="Normal"/>
    <w:uiPriority w:val="99"/>
    <w:semiHidden/>
    <w:unhideWhenUsed/>
    <w:rsid w:val="003F27BF"/>
    <w:pPr>
      <w:spacing w:before="100" w:beforeAutospacing="1" w:after="100" w:afterAutospacing="1"/>
    </w:pPr>
  </w:style>
  <w:style w:type="character" w:styleId="UnresolvedMention">
    <w:name w:val="Unresolved Mention"/>
    <w:basedOn w:val="DefaultParagraphFont"/>
    <w:uiPriority w:val="99"/>
    <w:semiHidden/>
    <w:unhideWhenUsed/>
    <w:rsid w:val="002075F4"/>
    <w:rPr>
      <w:color w:val="605E5C"/>
      <w:shd w:val="clear" w:color="auto" w:fill="E1DFDD"/>
    </w:rPr>
  </w:style>
  <w:style w:type="character" w:styleId="FollowedHyperlink">
    <w:name w:val="FollowedHyperlink"/>
    <w:basedOn w:val="DefaultParagraphFont"/>
    <w:rsid w:val="002075F4"/>
    <w:rPr>
      <w:color w:val="800080" w:themeColor="followedHyperlink"/>
      <w:u w:val="single"/>
    </w:rPr>
  </w:style>
  <w:style w:type="character" w:styleId="LineNumber">
    <w:name w:val="line number"/>
    <w:basedOn w:val="DefaultParagraphFont"/>
    <w:semiHidden/>
    <w:unhideWhenUsed/>
    <w:rsid w:val="0085033B"/>
  </w:style>
  <w:style w:type="character" w:customStyle="1" w:styleId="BodyTextChar">
    <w:name w:val="Body Text Char"/>
    <w:basedOn w:val="DefaultParagraphFont"/>
    <w:link w:val="BodyText"/>
    <w:rsid w:val="00A62638"/>
  </w:style>
  <w:style w:type="character" w:styleId="PlaceholderText">
    <w:name w:val="Placeholder Text"/>
    <w:basedOn w:val="DefaultParagraphFont"/>
    <w:semiHidden/>
    <w:rsid w:val="000609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97951">
      <w:bodyDiv w:val="1"/>
      <w:marLeft w:val="0"/>
      <w:marRight w:val="0"/>
      <w:marTop w:val="0"/>
      <w:marBottom w:val="0"/>
      <w:divBdr>
        <w:top w:val="none" w:sz="0" w:space="0" w:color="auto"/>
        <w:left w:val="none" w:sz="0" w:space="0" w:color="auto"/>
        <w:bottom w:val="none" w:sz="0" w:space="0" w:color="auto"/>
        <w:right w:val="none" w:sz="0" w:space="0" w:color="auto"/>
      </w:divBdr>
    </w:div>
    <w:div w:id="144245956">
      <w:bodyDiv w:val="1"/>
      <w:marLeft w:val="0"/>
      <w:marRight w:val="0"/>
      <w:marTop w:val="0"/>
      <w:marBottom w:val="0"/>
      <w:divBdr>
        <w:top w:val="none" w:sz="0" w:space="0" w:color="auto"/>
        <w:left w:val="none" w:sz="0" w:space="0" w:color="auto"/>
        <w:bottom w:val="none" w:sz="0" w:space="0" w:color="auto"/>
        <w:right w:val="none" w:sz="0" w:space="0" w:color="auto"/>
      </w:divBdr>
    </w:div>
    <w:div w:id="144664153">
      <w:bodyDiv w:val="1"/>
      <w:marLeft w:val="0"/>
      <w:marRight w:val="0"/>
      <w:marTop w:val="0"/>
      <w:marBottom w:val="0"/>
      <w:divBdr>
        <w:top w:val="none" w:sz="0" w:space="0" w:color="auto"/>
        <w:left w:val="none" w:sz="0" w:space="0" w:color="auto"/>
        <w:bottom w:val="none" w:sz="0" w:space="0" w:color="auto"/>
        <w:right w:val="none" w:sz="0" w:space="0" w:color="auto"/>
      </w:divBdr>
    </w:div>
    <w:div w:id="206336449">
      <w:bodyDiv w:val="1"/>
      <w:marLeft w:val="0"/>
      <w:marRight w:val="0"/>
      <w:marTop w:val="0"/>
      <w:marBottom w:val="0"/>
      <w:divBdr>
        <w:top w:val="none" w:sz="0" w:space="0" w:color="auto"/>
        <w:left w:val="none" w:sz="0" w:space="0" w:color="auto"/>
        <w:bottom w:val="none" w:sz="0" w:space="0" w:color="auto"/>
        <w:right w:val="none" w:sz="0" w:space="0" w:color="auto"/>
      </w:divBdr>
    </w:div>
    <w:div w:id="379598042">
      <w:bodyDiv w:val="1"/>
      <w:marLeft w:val="0"/>
      <w:marRight w:val="0"/>
      <w:marTop w:val="0"/>
      <w:marBottom w:val="0"/>
      <w:divBdr>
        <w:top w:val="none" w:sz="0" w:space="0" w:color="auto"/>
        <w:left w:val="none" w:sz="0" w:space="0" w:color="auto"/>
        <w:bottom w:val="none" w:sz="0" w:space="0" w:color="auto"/>
        <w:right w:val="none" w:sz="0" w:space="0" w:color="auto"/>
      </w:divBdr>
    </w:div>
    <w:div w:id="387917554">
      <w:bodyDiv w:val="1"/>
      <w:marLeft w:val="0"/>
      <w:marRight w:val="0"/>
      <w:marTop w:val="0"/>
      <w:marBottom w:val="0"/>
      <w:divBdr>
        <w:top w:val="none" w:sz="0" w:space="0" w:color="auto"/>
        <w:left w:val="none" w:sz="0" w:space="0" w:color="auto"/>
        <w:bottom w:val="none" w:sz="0" w:space="0" w:color="auto"/>
        <w:right w:val="none" w:sz="0" w:space="0" w:color="auto"/>
      </w:divBdr>
      <w:divsChild>
        <w:div w:id="1901476095">
          <w:marLeft w:val="0"/>
          <w:marRight w:val="0"/>
          <w:marTop w:val="0"/>
          <w:marBottom w:val="0"/>
          <w:divBdr>
            <w:top w:val="none" w:sz="0" w:space="0" w:color="auto"/>
            <w:left w:val="none" w:sz="0" w:space="0" w:color="auto"/>
            <w:bottom w:val="none" w:sz="0" w:space="0" w:color="auto"/>
            <w:right w:val="none" w:sz="0" w:space="0" w:color="auto"/>
          </w:divBdr>
          <w:divsChild>
            <w:div w:id="448474525">
              <w:marLeft w:val="0"/>
              <w:marRight w:val="0"/>
              <w:marTop w:val="0"/>
              <w:marBottom w:val="0"/>
              <w:divBdr>
                <w:top w:val="none" w:sz="0" w:space="0" w:color="auto"/>
                <w:left w:val="none" w:sz="0" w:space="0" w:color="auto"/>
                <w:bottom w:val="none" w:sz="0" w:space="0" w:color="auto"/>
                <w:right w:val="none" w:sz="0" w:space="0" w:color="auto"/>
              </w:divBdr>
              <w:divsChild>
                <w:div w:id="12791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5039">
      <w:bodyDiv w:val="1"/>
      <w:marLeft w:val="0"/>
      <w:marRight w:val="0"/>
      <w:marTop w:val="0"/>
      <w:marBottom w:val="0"/>
      <w:divBdr>
        <w:top w:val="none" w:sz="0" w:space="0" w:color="auto"/>
        <w:left w:val="none" w:sz="0" w:space="0" w:color="auto"/>
        <w:bottom w:val="none" w:sz="0" w:space="0" w:color="auto"/>
        <w:right w:val="none" w:sz="0" w:space="0" w:color="auto"/>
      </w:divBdr>
    </w:div>
    <w:div w:id="862092127">
      <w:bodyDiv w:val="1"/>
      <w:marLeft w:val="0"/>
      <w:marRight w:val="0"/>
      <w:marTop w:val="0"/>
      <w:marBottom w:val="0"/>
      <w:divBdr>
        <w:top w:val="none" w:sz="0" w:space="0" w:color="auto"/>
        <w:left w:val="none" w:sz="0" w:space="0" w:color="auto"/>
        <w:bottom w:val="none" w:sz="0" w:space="0" w:color="auto"/>
        <w:right w:val="none" w:sz="0" w:space="0" w:color="auto"/>
      </w:divBdr>
    </w:div>
    <w:div w:id="956375384">
      <w:bodyDiv w:val="1"/>
      <w:marLeft w:val="0"/>
      <w:marRight w:val="0"/>
      <w:marTop w:val="0"/>
      <w:marBottom w:val="0"/>
      <w:divBdr>
        <w:top w:val="none" w:sz="0" w:space="0" w:color="auto"/>
        <w:left w:val="none" w:sz="0" w:space="0" w:color="auto"/>
        <w:bottom w:val="none" w:sz="0" w:space="0" w:color="auto"/>
        <w:right w:val="none" w:sz="0" w:space="0" w:color="auto"/>
      </w:divBdr>
      <w:divsChild>
        <w:div w:id="1690446696">
          <w:marLeft w:val="0"/>
          <w:marRight w:val="0"/>
          <w:marTop w:val="0"/>
          <w:marBottom w:val="0"/>
          <w:divBdr>
            <w:top w:val="none" w:sz="0" w:space="0" w:color="auto"/>
            <w:left w:val="none" w:sz="0" w:space="0" w:color="auto"/>
            <w:bottom w:val="none" w:sz="0" w:space="0" w:color="auto"/>
            <w:right w:val="none" w:sz="0" w:space="0" w:color="auto"/>
          </w:divBdr>
          <w:divsChild>
            <w:div w:id="1013725457">
              <w:marLeft w:val="0"/>
              <w:marRight w:val="0"/>
              <w:marTop w:val="0"/>
              <w:marBottom w:val="0"/>
              <w:divBdr>
                <w:top w:val="none" w:sz="0" w:space="0" w:color="auto"/>
                <w:left w:val="none" w:sz="0" w:space="0" w:color="auto"/>
                <w:bottom w:val="none" w:sz="0" w:space="0" w:color="auto"/>
                <w:right w:val="none" w:sz="0" w:space="0" w:color="auto"/>
              </w:divBdr>
              <w:divsChild>
                <w:div w:id="9747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2858">
      <w:bodyDiv w:val="1"/>
      <w:marLeft w:val="0"/>
      <w:marRight w:val="0"/>
      <w:marTop w:val="0"/>
      <w:marBottom w:val="0"/>
      <w:divBdr>
        <w:top w:val="none" w:sz="0" w:space="0" w:color="auto"/>
        <w:left w:val="none" w:sz="0" w:space="0" w:color="auto"/>
        <w:bottom w:val="none" w:sz="0" w:space="0" w:color="auto"/>
        <w:right w:val="none" w:sz="0" w:space="0" w:color="auto"/>
      </w:divBdr>
    </w:div>
    <w:div w:id="1177692785">
      <w:bodyDiv w:val="1"/>
      <w:marLeft w:val="0"/>
      <w:marRight w:val="0"/>
      <w:marTop w:val="0"/>
      <w:marBottom w:val="0"/>
      <w:divBdr>
        <w:top w:val="none" w:sz="0" w:space="0" w:color="auto"/>
        <w:left w:val="none" w:sz="0" w:space="0" w:color="auto"/>
        <w:bottom w:val="none" w:sz="0" w:space="0" w:color="auto"/>
        <w:right w:val="none" w:sz="0" w:space="0" w:color="auto"/>
      </w:divBdr>
      <w:divsChild>
        <w:div w:id="147475430">
          <w:marLeft w:val="0"/>
          <w:marRight w:val="0"/>
          <w:marTop w:val="0"/>
          <w:marBottom w:val="0"/>
          <w:divBdr>
            <w:top w:val="none" w:sz="0" w:space="0" w:color="auto"/>
            <w:left w:val="none" w:sz="0" w:space="0" w:color="auto"/>
            <w:bottom w:val="none" w:sz="0" w:space="0" w:color="auto"/>
            <w:right w:val="none" w:sz="0" w:space="0" w:color="auto"/>
          </w:divBdr>
          <w:divsChild>
            <w:div w:id="584582041">
              <w:marLeft w:val="0"/>
              <w:marRight w:val="0"/>
              <w:marTop w:val="0"/>
              <w:marBottom w:val="0"/>
              <w:divBdr>
                <w:top w:val="none" w:sz="0" w:space="0" w:color="auto"/>
                <w:left w:val="none" w:sz="0" w:space="0" w:color="auto"/>
                <w:bottom w:val="none" w:sz="0" w:space="0" w:color="auto"/>
                <w:right w:val="none" w:sz="0" w:space="0" w:color="auto"/>
              </w:divBdr>
              <w:divsChild>
                <w:div w:id="12260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25749">
      <w:bodyDiv w:val="1"/>
      <w:marLeft w:val="0"/>
      <w:marRight w:val="0"/>
      <w:marTop w:val="0"/>
      <w:marBottom w:val="0"/>
      <w:divBdr>
        <w:top w:val="none" w:sz="0" w:space="0" w:color="auto"/>
        <w:left w:val="none" w:sz="0" w:space="0" w:color="auto"/>
        <w:bottom w:val="none" w:sz="0" w:space="0" w:color="auto"/>
        <w:right w:val="none" w:sz="0" w:space="0" w:color="auto"/>
      </w:divBdr>
    </w:div>
    <w:div w:id="1192694705">
      <w:bodyDiv w:val="1"/>
      <w:marLeft w:val="0"/>
      <w:marRight w:val="0"/>
      <w:marTop w:val="0"/>
      <w:marBottom w:val="0"/>
      <w:divBdr>
        <w:top w:val="none" w:sz="0" w:space="0" w:color="auto"/>
        <w:left w:val="none" w:sz="0" w:space="0" w:color="auto"/>
        <w:bottom w:val="none" w:sz="0" w:space="0" w:color="auto"/>
        <w:right w:val="none" w:sz="0" w:space="0" w:color="auto"/>
      </w:divBdr>
      <w:divsChild>
        <w:div w:id="620460458">
          <w:marLeft w:val="0"/>
          <w:marRight w:val="0"/>
          <w:marTop w:val="0"/>
          <w:marBottom w:val="0"/>
          <w:divBdr>
            <w:top w:val="none" w:sz="0" w:space="0" w:color="auto"/>
            <w:left w:val="none" w:sz="0" w:space="0" w:color="auto"/>
            <w:bottom w:val="none" w:sz="0" w:space="0" w:color="auto"/>
            <w:right w:val="none" w:sz="0" w:space="0" w:color="auto"/>
          </w:divBdr>
        </w:div>
        <w:div w:id="318703309">
          <w:marLeft w:val="0"/>
          <w:marRight w:val="0"/>
          <w:marTop w:val="75"/>
          <w:marBottom w:val="75"/>
          <w:divBdr>
            <w:top w:val="none" w:sz="0" w:space="0" w:color="auto"/>
            <w:left w:val="none" w:sz="0" w:space="0" w:color="auto"/>
            <w:bottom w:val="none" w:sz="0" w:space="0" w:color="auto"/>
            <w:right w:val="none" w:sz="0" w:space="0" w:color="auto"/>
          </w:divBdr>
        </w:div>
        <w:div w:id="30156921">
          <w:marLeft w:val="0"/>
          <w:marRight w:val="0"/>
          <w:marTop w:val="0"/>
          <w:marBottom w:val="0"/>
          <w:divBdr>
            <w:top w:val="none" w:sz="0" w:space="0" w:color="auto"/>
            <w:left w:val="none" w:sz="0" w:space="0" w:color="auto"/>
            <w:bottom w:val="none" w:sz="0" w:space="0" w:color="auto"/>
            <w:right w:val="none" w:sz="0" w:space="0" w:color="auto"/>
          </w:divBdr>
        </w:div>
      </w:divsChild>
    </w:div>
    <w:div w:id="1276718714">
      <w:bodyDiv w:val="1"/>
      <w:marLeft w:val="0"/>
      <w:marRight w:val="0"/>
      <w:marTop w:val="0"/>
      <w:marBottom w:val="0"/>
      <w:divBdr>
        <w:top w:val="none" w:sz="0" w:space="0" w:color="auto"/>
        <w:left w:val="none" w:sz="0" w:space="0" w:color="auto"/>
        <w:bottom w:val="none" w:sz="0" w:space="0" w:color="auto"/>
        <w:right w:val="none" w:sz="0" w:space="0" w:color="auto"/>
      </w:divBdr>
      <w:divsChild>
        <w:div w:id="1996764105">
          <w:marLeft w:val="0"/>
          <w:marRight w:val="0"/>
          <w:marTop w:val="0"/>
          <w:marBottom w:val="0"/>
          <w:divBdr>
            <w:top w:val="none" w:sz="0" w:space="0" w:color="auto"/>
            <w:left w:val="none" w:sz="0" w:space="0" w:color="auto"/>
            <w:bottom w:val="none" w:sz="0" w:space="0" w:color="auto"/>
            <w:right w:val="none" w:sz="0" w:space="0" w:color="auto"/>
          </w:divBdr>
          <w:divsChild>
            <w:div w:id="1279528720">
              <w:marLeft w:val="0"/>
              <w:marRight w:val="0"/>
              <w:marTop w:val="0"/>
              <w:marBottom w:val="0"/>
              <w:divBdr>
                <w:top w:val="none" w:sz="0" w:space="0" w:color="auto"/>
                <w:left w:val="none" w:sz="0" w:space="0" w:color="auto"/>
                <w:bottom w:val="none" w:sz="0" w:space="0" w:color="auto"/>
                <w:right w:val="none" w:sz="0" w:space="0" w:color="auto"/>
              </w:divBdr>
              <w:divsChild>
                <w:div w:id="13483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6307">
      <w:bodyDiv w:val="1"/>
      <w:marLeft w:val="0"/>
      <w:marRight w:val="0"/>
      <w:marTop w:val="0"/>
      <w:marBottom w:val="0"/>
      <w:divBdr>
        <w:top w:val="none" w:sz="0" w:space="0" w:color="auto"/>
        <w:left w:val="none" w:sz="0" w:space="0" w:color="auto"/>
        <w:bottom w:val="none" w:sz="0" w:space="0" w:color="auto"/>
        <w:right w:val="none" w:sz="0" w:space="0" w:color="auto"/>
      </w:divBdr>
      <w:divsChild>
        <w:div w:id="739013673">
          <w:marLeft w:val="0"/>
          <w:marRight w:val="0"/>
          <w:marTop w:val="0"/>
          <w:marBottom w:val="0"/>
          <w:divBdr>
            <w:top w:val="none" w:sz="0" w:space="0" w:color="auto"/>
            <w:left w:val="none" w:sz="0" w:space="0" w:color="auto"/>
            <w:bottom w:val="none" w:sz="0" w:space="0" w:color="auto"/>
            <w:right w:val="none" w:sz="0" w:space="0" w:color="auto"/>
          </w:divBdr>
          <w:divsChild>
            <w:div w:id="1444573573">
              <w:marLeft w:val="0"/>
              <w:marRight w:val="0"/>
              <w:marTop w:val="0"/>
              <w:marBottom w:val="0"/>
              <w:divBdr>
                <w:top w:val="none" w:sz="0" w:space="0" w:color="auto"/>
                <w:left w:val="none" w:sz="0" w:space="0" w:color="auto"/>
                <w:bottom w:val="none" w:sz="0" w:space="0" w:color="auto"/>
                <w:right w:val="none" w:sz="0" w:space="0" w:color="auto"/>
              </w:divBdr>
              <w:divsChild>
                <w:div w:id="13851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2587">
      <w:bodyDiv w:val="1"/>
      <w:marLeft w:val="0"/>
      <w:marRight w:val="0"/>
      <w:marTop w:val="0"/>
      <w:marBottom w:val="0"/>
      <w:divBdr>
        <w:top w:val="none" w:sz="0" w:space="0" w:color="auto"/>
        <w:left w:val="none" w:sz="0" w:space="0" w:color="auto"/>
        <w:bottom w:val="none" w:sz="0" w:space="0" w:color="auto"/>
        <w:right w:val="none" w:sz="0" w:space="0" w:color="auto"/>
      </w:divBdr>
    </w:div>
    <w:div w:id="1709404508">
      <w:bodyDiv w:val="1"/>
      <w:marLeft w:val="0"/>
      <w:marRight w:val="0"/>
      <w:marTop w:val="0"/>
      <w:marBottom w:val="0"/>
      <w:divBdr>
        <w:top w:val="none" w:sz="0" w:space="0" w:color="auto"/>
        <w:left w:val="none" w:sz="0" w:space="0" w:color="auto"/>
        <w:bottom w:val="none" w:sz="0" w:space="0" w:color="auto"/>
        <w:right w:val="none" w:sz="0" w:space="0" w:color="auto"/>
      </w:divBdr>
    </w:div>
    <w:div w:id="1760248983">
      <w:bodyDiv w:val="1"/>
      <w:marLeft w:val="0"/>
      <w:marRight w:val="0"/>
      <w:marTop w:val="0"/>
      <w:marBottom w:val="0"/>
      <w:divBdr>
        <w:top w:val="none" w:sz="0" w:space="0" w:color="auto"/>
        <w:left w:val="none" w:sz="0" w:space="0" w:color="auto"/>
        <w:bottom w:val="none" w:sz="0" w:space="0" w:color="auto"/>
        <w:right w:val="none" w:sz="0" w:space="0" w:color="auto"/>
      </w:divBdr>
    </w:div>
    <w:div w:id="1857772548">
      <w:bodyDiv w:val="1"/>
      <w:marLeft w:val="0"/>
      <w:marRight w:val="0"/>
      <w:marTop w:val="0"/>
      <w:marBottom w:val="0"/>
      <w:divBdr>
        <w:top w:val="none" w:sz="0" w:space="0" w:color="auto"/>
        <w:left w:val="none" w:sz="0" w:space="0" w:color="auto"/>
        <w:bottom w:val="none" w:sz="0" w:space="0" w:color="auto"/>
        <w:right w:val="none" w:sz="0" w:space="0" w:color="auto"/>
      </w:divBdr>
    </w:div>
    <w:div w:id="1965768855">
      <w:bodyDiv w:val="1"/>
      <w:marLeft w:val="0"/>
      <w:marRight w:val="0"/>
      <w:marTop w:val="0"/>
      <w:marBottom w:val="0"/>
      <w:divBdr>
        <w:top w:val="none" w:sz="0" w:space="0" w:color="auto"/>
        <w:left w:val="none" w:sz="0" w:space="0" w:color="auto"/>
        <w:bottom w:val="none" w:sz="0" w:space="0" w:color="auto"/>
        <w:right w:val="none" w:sz="0" w:space="0" w:color="auto"/>
      </w:divBdr>
    </w:div>
    <w:div w:id="2016374349">
      <w:bodyDiv w:val="1"/>
      <w:marLeft w:val="0"/>
      <w:marRight w:val="0"/>
      <w:marTop w:val="0"/>
      <w:marBottom w:val="0"/>
      <w:divBdr>
        <w:top w:val="none" w:sz="0" w:space="0" w:color="auto"/>
        <w:left w:val="none" w:sz="0" w:space="0" w:color="auto"/>
        <w:bottom w:val="none" w:sz="0" w:space="0" w:color="auto"/>
        <w:right w:val="none" w:sz="0" w:space="0" w:color="auto"/>
      </w:divBdr>
      <w:divsChild>
        <w:div w:id="612442568">
          <w:marLeft w:val="0"/>
          <w:marRight w:val="0"/>
          <w:marTop w:val="0"/>
          <w:marBottom w:val="0"/>
          <w:divBdr>
            <w:top w:val="none" w:sz="0" w:space="0" w:color="auto"/>
            <w:left w:val="none" w:sz="0" w:space="0" w:color="auto"/>
            <w:bottom w:val="none" w:sz="0" w:space="0" w:color="auto"/>
            <w:right w:val="none" w:sz="0" w:space="0" w:color="auto"/>
          </w:divBdr>
          <w:divsChild>
            <w:div w:id="72439104">
              <w:marLeft w:val="0"/>
              <w:marRight w:val="0"/>
              <w:marTop w:val="0"/>
              <w:marBottom w:val="0"/>
              <w:divBdr>
                <w:top w:val="none" w:sz="0" w:space="0" w:color="auto"/>
                <w:left w:val="none" w:sz="0" w:space="0" w:color="auto"/>
                <w:bottom w:val="none" w:sz="0" w:space="0" w:color="auto"/>
                <w:right w:val="none" w:sz="0" w:space="0" w:color="auto"/>
              </w:divBdr>
              <w:divsChild>
                <w:div w:id="16836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5558">
      <w:bodyDiv w:val="1"/>
      <w:marLeft w:val="0"/>
      <w:marRight w:val="0"/>
      <w:marTop w:val="0"/>
      <w:marBottom w:val="0"/>
      <w:divBdr>
        <w:top w:val="none" w:sz="0" w:space="0" w:color="auto"/>
        <w:left w:val="none" w:sz="0" w:space="0" w:color="auto"/>
        <w:bottom w:val="none" w:sz="0" w:space="0" w:color="auto"/>
        <w:right w:val="none" w:sz="0" w:space="0" w:color="auto"/>
      </w:divBdr>
    </w:div>
    <w:div w:id="2106488769">
      <w:bodyDiv w:val="1"/>
      <w:marLeft w:val="0"/>
      <w:marRight w:val="0"/>
      <w:marTop w:val="0"/>
      <w:marBottom w:val="0"/>
      <w:divBdr>
        <w:top w:val="none" w:sz="0" w:space="0" w:color="auto"/>
        <w:left w:val="none" w:sz="0" w:space="0" w:color="auto"/>
        <w:bottom w:val="none" w:sz="0" w:space="0" w:color="auto"/>
        <w:right w:val="none" w:sz="0" w:space="0" w:color="auto"/>
      </w:divBdr>
      <w:divsChild>
        <w:div w:id="153494977">
          <w:marLeft w:val="0"/>
          <w:marRight w:val="0"/>
          <w:marTop w:val="0"/>
          <w:marBottom w:val="0"/>
          <w:divBdr>
            <w:top w:val="none" w:sz="0" w:space="0" w:color="auto"/>
            <w:left w:val="none" w:sz="0" w:space="0" w:color="auto"/>
            <w:bottom w:val="none" w:sz="0" w:space="0" w:color="auto"/>
            <w:right w:val="none" w:sz="0" w:space="0" w:color="auto"/>
          </w:divBdr>
          <w:divsChild>
            <w:div w:id="125659360">
              <w:marLeft w:val="0"/>
              <w:marRight w:val="0"/>
              <w:marTop w:val="0"/>
              <w:marBottom w:val="0"/>
              <w:divBdr>
                <w:top w:val="none" w:sz="0" w:space="0" w:color="auto"/>
                <w:left w:val="none" w:sz="0" w:space="0" w:color="auto"/>
                <w:bottom w:val="none" w:sz="0" w:space="0" w:color="auto"/>
                <w:right w:val="none" w:sz="0" w:space="0" w:color="auto"/>
              </w:divBdr>
              <w:divsChild>
                <w:div w:id="2329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1006/jmsc.2000.0712" TargetMode="External"/><Relationship Id="rId18" Type="http://schemas.openxmlformats.org/officeDocument/2006/relationships/hyperlink" Target="https://doi.org/https://doi.org/10.1016/j.jmarsys.2008.04.002" TargetMode="External"/><Relationship Id="rId26" Type="http://schemas.openxmlformats.org/officeDocument/2006/relationships/hyperlink" Target="https://doi.org/https://doi.org/10.1006/jmsc.2000.0570" TargetMode="External"/><Relationship Id="rId39" Type="http://schemas.openxmlformats.org/officeDocument/2006/relationships/hyperlink" Target="https://doi.org/https://doi.org/10.7755/MFR" TargetMode="External"/><Relationship Id="rId21" Type="http://schemas.openxmlformats.org/officeDocument/2006/relationships/hyperlink" Target="https://doi.org/https://doi.org/10.1139/f95-057" TargetMode="External"/><Relationship Id="rId34" Type="http://schemas.openxmlformats.org/officeDocument/2006/relationships/hyperlink" Target="https://doi.org/https://dx.doi.org/10.7755/MFR.76.3.3" TargetMode="External"/><Relationship Id="rId42" Type="http://schemas.openxmlformats.org/officeDocument/2006/relationships/hyperlink" Target="https://doi.org/https://doi.org/10.1002/eap.1458" TargetMode="External"/><Relationship Id="rId47" Type="http://schemas.openxmlformats.org/officeDocument/2006/relationships/theme" Target="theme/theme1.xml"/><Relationship Id="rId7" Type="http://schemas.openxmlformats.org/officeDocument/2006/relationships/hyperlink" Target="https://doi.org/https://doi.org/10.1046/j.1365-2419.1997.00035.x" TargetMode="External"/><Relationship Id="rId2" Type="http://schemas.openxmlformats.org/officeDocument/2006/relationships/styles" Target="styles.xml"/><Relationship Id="rId16" Type="http://schemas.openxmlformats.org/officeDocument/2006/relationships/hyperlink" Target="https://doi.org/https://doi.org/10.2112/JCOASTRES-D-10-00070.1" TargetMode="External"/><Relationship Id="rId29" Type="http://schemas.openxmlformats.org/officeDocument/2006/relationships/hyperlink" Target="https://doi.org/https://doi.org/10.1029/2004GL0196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https://doi.org/10.1146/annurev-marine-122414-033819" TargetMode="External"/><Relationship Id="rId24" Type="http://schemas.openxmlformats.org/officeDocument/2006/relationships/hyperlink" Target="https://doi.org/https://doi.org/10.1139/cjfas-2012-0211" TargetMode="External"/><Relationship Id="rId32" Type="http://schemas.openxmlformats.org/officeDocument/2006/relationships/hyperlink" Target="https://doi.org/https://doi.org/10.1016/S0278-4343(98)00104-6" TargetMode="External"/><Relationship Id="rId37" Type="http://schemas.openxmlformats.org/officeDocument/2006/relationships/hyperlink" Target="https://doi.org/https://doi.org/10.1175/JCLI-D-14-00471.1" TargetMode="External"/><Relationship Id="rId40" Type="http://schemas.openxmlformats.org/officeDocument/2006/relationships/hyperlink" Target="https://doi.org/https://doi.org/10.2989/025776199784125962" TargetMode="External"/><Relationship Id="rId45" Type="http://schemas.openxmlformats.org/officeDocument/2006/relationships/hyperlink" Target="https://doi.org/https://doi.org/10.1111/j.1365-2419.2009.00518.x" TargetMode="External"/><Relationship Id="rId5" Type="http://schemas.openxmlformats.org/officeDocument/2006/relationships/footnotes" Target="footnotes.xml"/><Relationship Id="rId15" Type="http://schemas.openxmlformats.org/officeDocument/2006/relationships/hyperlink" Target="https://doi.org/https://doi.org/10.1016/j.fishres.2005.12.003" TargetMode="External"/><Relationship Id="rId23" Type="http://schemas.openxmlformats.org/officeDocument/2006/relationships/hyperlink" Target="https://doi.org/http://dx.doi.org/10.4236/nr.2016.74018" TargetMode="External"/><Relationship Id="rId28" Type="http://schemas.openxmlformats.org/officeDocument/2006/relationships/hyperlink" Target="https://doi.org/https://doi.org/10.1016/S0967-0645(00)00142-9" TargetMode="External"/><Relationship Id="rId36" Type="http://schemas.openxmlformats.org/officeDocument/2006/relationships/hyperlink" Target="https://doi.org/https://doi.org/10.7755/FB" TargetMode="External"/><Relationship Id="rId10" Type="http://schemas.openxmlformats.org/officeDocument/2006/relationships/hyperlink" Target="https://doi.org/https://doi.org/10.1029/2011JC007454" TargetMode="External"/><Relationship Id="rId19" Type="http://schemas.openxmlformats.org/officeDocument/2006/relationships/hyperlink" Target="https://doi.org/https://doi.org/10.1577/M04-096.1" TargetMode="External"/><Relationship Id="rId31" Type="http://schemas.openxmlformats.org/officeDocument/2006/relationships/hyperlink" Target="https://doi.org/https://doi.org/10.3354/meps12806" TargetMode="External"/><Relationship Id="rId44" Type="http://schemas.openxmlformats.org/officeDocument/2006/relationships/hyperlink" Target="https://doi.org/https://doi.org/10.1111/j.1467-9868.2010.00749.x" TargetMode="External"/><Relationship Id="rId4" Type="http://schemas.openxmlformats.org/officeDocument/2006/relationships/webSettings" Target="webSettings.xml"/><Relationship Id="rId9" Type="http://schemas.openxmlformats.org/officeDocument/2006/relationships/hyperlink" Target="https://doi.org/https://doi.org/10.2112/06-0779.1%20" TargetMode="External"/><Relationship Id="rId14" Type="http://schemas.openxmlformats.org/officeDocument/2006/relationships/hyperlink" Target="https://doi.org/https://doi.org/10.21077/ijf.2018.65.1.69105-08" TargetMode="External"/><Relationship Id="rId22" Type="http://schemas.openxmlformats.org/officeDocument/2006/relationships/hyperlink" Target="https://doi.org/https://doi.org/10.3389/fmars.2018.00443" TargetMode="External"/><Relationship Id="rId27" Type="http://schemas.openxmlformats.org/officeDocument/2006/relationships/hyperlink" Target="https://doi.org/https://doi.org/10.1139/f90-268" TargetMode="External"/><Relationship Id="rId30" Type="http://schemas.openxmlformats.org/officeDocument/2006/relationships/hyperlink" Target="https://doi.org/https://doi.org/10.1139/F10-101" TargetMode="External"/><Relationship Id="rId35" Type="http://schemas.openxmlformats.org/officeDocument/2006/relationships/hyperlink" Target="https://doi.org/https://doi.org/10.5897/JOMS" TargetMode="External"/><Relationship Id="rId43" Type="http://schemas.openxmlformats.org/officeDocument/2006/relationships/hyperlink" Target="https://doi.org/https://doi.org/10.5194/bg-14-1541-2017" TargetMode="External"/><Relationship Id="rId8" Type="http://schemas.openxmlformats.org/officeDocument/2006/relationships/hyperlink" Target="https://doi.org/https://doi.org/10.2989/025776101784528854" TargetMode="External"/><Relationship Id="rId3" Type="http://schemas.openxmlformats.org/officeDocument/2006/relationships/settings" Target="settings.xml"/><Relationship Id="rId12" Type="http://schemas.openxmlformats.org/officeDocument/2006/relationships/hyperlink" Target="https://doi.org/https://doi.org/10.1139/f87-321" TargetMode="External"/><Relationship Id="rId17" Type="http://schemas.openxmlformats.org/officeDocument/2006/relationships/hyperlink" Target="https://doi.org/https://doi.org/10.1002/2015JG003163" TargetMode="External"/><Relationship Id="rId25" Type="http://schemas.openxmlformats.org/officeDocument/2006/relationships/hyperlink" Target="https://doi.org/https://doi.org/10.1073/pnas.1305733110" TargetMode="External"/><Relationship Id="rId33" Type="http://schemas.openxmlformats.org/officeDocument/2006/relationships/hyperlink" Target="https://doi.org/https://doi.org/10.6024/jmbai.2016.58.1.1899-07" TargetMode="External"/><Relationship Id="rId38" Type="http://schemas.openxmlformats.org/officeDocument/2006/relationships/hyperlink" Target="https://doi.org/https://doi.org/10.1073/pnas.0711777105" TargetMode="External"/><Relationship Id="rId46" Type="http://schemas.openxmlformats.org/officeDocument/2006/relationships/fontTable" Target="fontTable.xml"/><Relationship Id="rId20" Type="http://schemas.openxmlformats.org/officeDocument/2006/relationships/hyperlink" Target="https://doi.org/https://doi.org/10.32614/RJ-2012-002" TargetMode="External"/><Relationship Id="rId41" Type="http://schemas.openxmlformats.org/officeDocument/2006/relationships/hyperlink" Target="https://doi.org/https://doi.org/10.1016/0165-7836(95)0038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56</Pages>
  <Words>14362</Words>
  <Characters>81867</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Influence of changing temperature and upwelling intensity on Indian oil sardine () landings</vt:lpstr>
    </vt:vector>
  </TitlesOfParts>
  <Company>NWFSC</Company>
  <LinksUpToDate>false</LinksUpToDate>
  <CharactersWithSpaces>96037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changing temperature and upwelling intensity on Indian oil sardine () landings</dc:title>
  <dc:creator>EH</dc:creator>
  <cp:keywords/>
  <cp:lastModifiedBy>Eli Holmes</cp:lastModifiedBy>
  <cp:revision>18</cp:revision>
  <cp:lastPrinted>2021-03-10T15:45:00Z</cp:lastPrinted>
  <dcterms:created xsi:type="dcterms:W3CDTF">2021-04-22T16:19:00Z</dcterms:created>
  <dcterms:modified xsi:type="dcterms:W3CDTF">2021-04-25T00:13:00Z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C:/Users/Eli.Holmes/Documents/R/win-library/3.6/SardineForecast/docs/Sardine.bib</vt:lpwstr>
  </property>
  <property fmtid="{D5CDD505-2E9C-101B-9397-08002B2CF9AE}" pid="3" name="csl">
    <vt:lpwstr>C:/Users/Eli.Holmes/Documents/R/win-library/3.6/SardineForecast/docs/apa-edit.csl</vt:lpwstr>
  </property>
  <property fmtid="{D5CDD505-2E9C-101B-9397-08002B2CF9AE}" pid="4" name="header-includes">
    <vt:lpwstr/>
  </property>
  <property fmtid="{D5CDD505-2E9C-101B-9397-08002B2CF9AE}" pid="5" name="output">
    <vt:lpwstr/>
  </property>
</Properties>
</file>