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打开端口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登录VNC后，点击鼠标右键，选择open terminal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进入virtuoso系统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打开自己的端口后，输入linux命令符来打开virtuoso软件，这里截取了我打开端口后输入的命令符，即图中[lydai@mantodea ~]、[lydai@mantodea ~/proj]、[lydai@mantodea lydai]、[lydai@mantodea tsmc065rf]后输入的命令符。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8595" cy="2736215"/>
            <wp:effectExtent l="0" t="0" r="8255" b="6985"/>
            <wp:docPr id="1" name="图片 1" descr="62f67efa76d9d1c5c84addafbf5ff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2f67efa76d9d1c5c84addafbf5ff2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这里的linux命令符可以参考这篇学习笔记https://www.cnblogs.com/gaojun/p/3359355.html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由CIW创建自己的原理图库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CIW将是进入软件后弹出来的窗口，点击File &gt; New &gt; Library ，创建自己的设计库，键入Tutorial作为名称，并点击Do not need process information,然后单击“确定”。</w:t>
      </w:r>
      <w:r>
        <w:drawing>
          <wp:inline distT="0" distB="0" distL="114300" distR="114300">
            <wp:extent cx="5200650" cy="28860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开始编辑器件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在CIW窗口中，点击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File &gt; New &gt; Cell View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，在library一栏选择Tutorial，将器件命名为Inverter，点击确定。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895600" cy="33051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5、单击鼠标右键，选择Add Instance，添加pmos器件，如下图所示：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81425" cy="28860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按esc结束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上一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进程，再次单击鼠标右键，添加nmos器件。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7、添加管脚，右键选择Add Pin，将输入管脚命名为A，如下图：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67025" cy="36671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按esc结束上一进程，继续添加一个输出管脚和两个inputoutput管脚，如下图所示：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76550" cy="36576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57500" cy="36766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24175" cy="365760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将器件和管脚按照反相器的布局方式摆放，点击右键进行布线，如下图所示：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72000" cy="511492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检查并保存后建立symbol，菜单目录在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creat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&gt;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cellview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&gt;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from cellview，如下图：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62525" cy="3228975"/>
            <wp:effectExtent l="0" t="0" r="952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3241040"/>
            <wp:effectExtent l="0" t="0" r="7620" b="1651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在弹出的窗口中删去两个方框，将图形更改为下图，然后点击</w:t>
      </w:r>
      <w:r>
        <w:rPr>
          <w:rFonts w:hint="eastAsia" w:asciiTheme="minorEastAsia" w:hAnsiTheme="minorEastAsia" w:eastAsiaTheme="minorEastAsia" w:cstheme="minorEastAsia"/>
          <w:i w:val="0"/>
          <w:caps w:val="0"/>
          <w:strike w:val="0"/>
          <w:dstrike w:val="0"/>
          <w:color w:val="auto"/>
          <w:spacing w:val="0"/>
          <w:sz w:val="28"/>
          <w:szCs w:val="28"/>
          <w:shd w:val="clear" w:color="auto" w:fill="auto"/>
        </w:rPr>
        <w:t>create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strike w:val="0"/>
          <w:dstrike w:val="0"/>
          <w:color w:val="auto"/>
          <w:spacing w:val="0"/>
          <w:sz w:val="28"/>
          <w:szCs w:val="28"/>
          <w:shd w:val="clear" w:color="auto" w:fill="auto"/>
        </w:rPr>
        <w:t>shape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strike w:val="0"/>
          <w:dstrike w:val="0"/>
          <w:color w:val="auto"/>
          <w:spacing w:val="0"/>
          <w:sz w:val="28"/>
          <w:szCs w:val="28"/>
          <w:shd w:val="clear" w:color="auto" w:fill="auto"/>
        </w:rPr>
        <w:t>circle/li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trike w:val="0"/>
          <w:dstrike w:val="0"/>
          <w:color w:val="0D0D0D" w:themeColor="text1" w:themeTint="F2"/>
          <w:spacing w:val="0"/>
          <w:sz w:val="28"/>
          <w:szCs w:val="28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strike w:val="0"/>
          <w:dstrike w:val="0"/>
          <w:color w:val="0D0D0D" w:themeColor="text1" w:themeTint="F2"/>
          <w:spacing w:val="0"/>
          <w:sz w:val="28"/>
          <w:szCs w:val="28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D0D0D" w:themeColor="text1" w:themeTint="F2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这时候可以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D0D0D" w:themeColor="text1" w:themeTint="F2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在CIW窗口中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D0D0D" w:themeColor="text1" w:themeTint="F2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看到library manager中有了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D0D0D" w:themeColor="text1" w:themeTint="F2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Inverter这个器件。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54755" cy="2880360"/>
            <wp:effectExtent l="0" t="0" r="17145" b="152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i w:val="0"/>
          <w:caps w:val="0"/>
          <w:color w:val="0D0D0D" w:themeColor="text1" w:themeTint="F2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搭建反相器仿真原理图，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首先新建一个cell</w:t>
      </w:r>
      <w:r>
        <w:rPr>
          <w:rFonts w:hint="eastAsia" w:asciiTheme="minorEastAsia" w:hAnsiTheme="minorEastAsia" w:cstheme="minorEastAsia"/>
          <w:i w:val="0"/>
          <w:caps w:val="0"/>
          <w:color w:val="0D0D0D" w:themeColor="text1" w:themeTint="F2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0D0D0D" w:themeColor="text1" w:themeTint="F2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如下图：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52750" cy="32956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把刚才画的Inverter的symbol放置进去。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62375" cy="2914650"/>
            <wp:effectExtent l="0" t="0" r="952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从analogLib库中选择添加一个vdc，vsin，两个vdd，三个gnd和一个cap器件，将其合理布置并布线，如下图：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3725545"/>
            <wp:effectExtent l="0" t="0" r="5080" b="825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对于输入端的vsin电压源，输入直流电压参数的vdc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此外，对于vsin设置AC幅度= 1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设置幅度= 5m（峰值10mV）和频率= 1M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单击“应用”和“确定”。将源在vdd和gnd之间的DC电压参数设置为1.5，将cap电容更改为100f。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进行模拟仿真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A、点击Check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&gt;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Hierarchy，如下图：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24325" cy="2143125"/>
            <wp:effectExtent l="0" t="0" r="9525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B、点击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check and save之后，打开ADE（launch&gt;ADE）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，单击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Variables &gt; Copy From Cellview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eastAsia="zh-CN"/>
        </w:rPr>
        <w:t>将看到设计变量出现在窗口中，单击vdc，将值设置为0，然后单击“确定”。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首先添加模型setup&gt;model libraries，点击OK。然后选择仿真方式，点击Analyses，选择Choosing analyses，如下图所示设置参量：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343400" cy="622935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选择输出变量，点击outputs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&gt;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setup，单击From Design，在弹出的原理图窗口中单击输出导线，可以看到Setting outputs窗口中出现了输出变量，将其命名为vout，同理将输入导线设置为输入变量，命名为vin，如下图所示：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004695"/>
            <wp:effectExtent l="0" t="0" r="4445" b="146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最终，ADE的页面如下（type中的tran是后续设置的，此处不用理会）：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862705"/>
            <wp:effectExtent l="0" t="0" r="6985" b="444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单击simulation&gt;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netlist and run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输出反相器直流传输特性图，如下图所示：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3030855"/>
            <wp:effectExtent l="0" t="0" r="7620" b="1714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单击波形图中的calculator图标，选择vs，然后在弹出的原理图窗口中点击输出引脚，然后在calculator窗口中单击show function panel，选择deriv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，然后点击evaluate图标，输出为波形图，即可得到 Inverter DC transfer characteristics，如下图所示：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3021965"/>
            <wp:effectExtent l="0" t="0" r="6350" b="698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在ADE窗口中单击analyses，在弹出的窗口中选择tran模式，并将the stop time设置为5u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，单击确定。然后在ADE窗口中单击simulation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&gt;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Netlist and Run，输出反相器的瞬态输出图，如下图所示：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3009265"/>
            <wp:effectExtent l="0" t="0" r="8890" b="63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375A8D"/>
    <w:multiLevelType w:val="singleLevel"/>
    <w:tmpl w:val="90375A8D"/>
    <w:lvl w:ilvl="0" w:tentative="0">
      <w:start w:val="3"/>
      <w:numFmt w:val="upperLetter"/>
      <w:suff w:val="nothing"/>
      <w:lvlText w:val="%1、"/>
      <w:lvlJc w:val="left"/>
    </w:lvl>
  </w:abstractNum>
  <w:abstractNum w:abstractNumId="1">
    <w:nsid w:val="B2C0FBC6"/>
    <w:multiLevelType w:val="singleLevel"/>
    <w:tmpl w:val="B2C0FBC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CBD2DA8"/>
    <w:multiLevelType w:val="singleLevel"/>
    <w:tmpl w:val="3CBD2DA8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D272C"/>
    <w:rsid w:val="30157DF7"/>
    <w:rsid w:val="6636510B"/>
    <w:rsid w:val="6DFD272C"/>
    <w:rsid w:val="7C5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2019-04-15T13:36:00Z</dcterms:created>
  <dc:creator>dly</dc:creator>
  <cp:lastModifiedBy>dly</cp:lastModifiedBy>
  <dcterms:modified xsi:type="dcterms:W3CDTF">2019-06-21T05:44:55Z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