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05B1" w:rsidR="009714E8" w:rsidP="00B1117F" w:rsidRDefault="00B1117F" w14:paraId="3E1E9C61" w14:textId="059B6927">
      <w:pPr>
        <w:pStyle w:val="Heading1"/>
        <w:rPr>
          <w:rFonts w:eastAsia="Times New Roman"/>
          <w:sz w:val="22"/>
          <w:szCs w:val="22"/>
        </w:rPr>
      </w:pPr>
      <w:r>
        <w:t>CS 305 Project One Template</w:t>
      </w:r>
    </w:p>
    <w:p w:rsidRPr="004079F2" w:rsidR="00BF4E7E" w:rsidP="004609FD" w:rsidRDefault="00BF4E7E" w14:paraId="06613801" w14:textId="77777777">
      <w:pPr>
        <w:suppressAutoHyphens/>
        <w:spacing w:after="0" w:line="240" w:lineRule="auto"/>
        <w:contextualSpacing/>
      </w:pPr>
      <w:bookmarkStart w:name="_Toc32574607" w:id="0"/>
      <w:bookmarkStart w:name="_Toc1483357155" w:id="1"/>
      <w:bookmarkStart w:name="_Toc714089909" w:id="2"/>
    </w:p>
    <w:p w:rsidRPr="000B05B1" w:rsidR="00705D42" w:rsidP="004609FD" w:rsidRDefault="00705D42" w14:paraId="68198029" w14:textId="77777777">
      <w:pPr>
        <w:pStyle w:val="Heading2"/>
      </w:pPr>
      <w:bookmarkStart w:name="_Toc32574609" w:id="3"/>
      <w:bookmarkStart w:name="_Toc553343011" w:id="4"/>
      <w:bookmarkStart w:name="_Toc1663275437" w:id="5"/>
      <w:r w:rsidRPr="000B05B1">
        <w:t>Document Revision History</w:t>
      </w:r>
    </w:p>
    <w:p w:rsidRPr="000B05B1" w:rsidR="00705D42" w:rsidP="004609FD" w:rsidRDefault="00705D42" w14:paraId="35569450" w14:textId="77777777">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Pr="000B05B1" w:rsidR="00705D42" w:rsidTr="06C52181" w14:paraId="16549E2F" w14:textId="77777777">
        <w:trPr>
          <w:cantSplit/>
          <w:tblHeader/>
        </w:trPr>
        <w:tc>
          <w:tcPr>
            <w:tcW w:w="2337" w:type="dxa"/>
            <w:tcMar>
              <w:left w:w="115" w:type="dxa"/>
              <w:right w:w="115" w:type="dxa"/>
            </w:tcMar>
          </w:tcPr>
          <w:p w:rsidRPr="000B05B1" w:rsidR="00705D42" w:rsidP="004609FD" w:rsidRDefault="00705D42" w14:paraId="55849EB9"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rsidRPr="000B05B1" w:rsidR="00705D42" w:rsidP="004609FD" w:rsidRDefault="00705D42" w14:paraId="5BC9FAFE"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rsidRPr="000B05B1" w:rsidR="00705D42" w:rsidP="004609FD" w:rsidRDefault="00705D42" w14:paraId="6EAECFAB"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rsidRPr="000B05B1" w:rsidR="00705D42" w:rsidP="004609FD" w:rsidRDefault="00705D42" w14:paraId="4361B474"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Pr="000B05B1" w:rsidR="00705D42" w:rsidTr="06C52181" w14:paraId="5D341E9F" w14:textId="77777777">
        <w:trPr>
          <w:cantSplit/>
          <w:tblHeader/>
        </w:trPr>
        <w:tc>
          <w:tcPr>
            <w:tcW w:w="2337" w:type="dxa"/>
            <w:tcMar>
              <w:left w:w="115" w:type="dxa"/>
              <w:right w:w="115" w:type="dxa"/>
            </w:tcMar>
          </w:tcPr>
          <w:p w:rsidRPr="000B05B1" w:rsidR="00705D42" w:rsidP="004609FD" w:rsidRDefault="00705D42" w14:paraId="474534F6" w14:textId="77777777">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rsidRPr="000B05B1" w:rsidR="00705D42" w:rsidP="6FD810EA" w:rsidRDefault="00705D42" w14:paraId="450D8A92" w14:textId="16F20127">
            <w:pPr>
              <w:suppressAutoHyphens/>
              <w:spacing w:after="0" w:line="240" w:lineRule="auto"/>
              <w:contextualSpacing/>
              <w:jc w:val="center"/>
              <w:rPr>
                <w:rFonts w:eastAsia="Times New Roman" w:cs="Calibri" w:cstheme="minorAscii"/>
                <w:b w:val="1"/>
                <w:bCs w:val="1"/>
              </w:rPr>
            </w:pPr>
            <w:r w:rsidRPr="6FD810EA" w:rsidR="7C10DD85">
              <w:rPr>
                <w:rFonts w:eastAsia="Times New Roman" w:cs="Calibri" w:cstheme="minorAscii"/>
                <w:b w:val="1"/>
                <w:bCs w:val="1"/>
              </w:rPr>
              <w:t>9/16</w:t>
            </w:r>
          </w:p>
        </w:tc>
        <w:tc>
          <w:tcPr>
            <w:tcW w:w="2338" w:type="dxa"/>
            <w:tcMar>
              <w:left w:w="115" w:type="dxa"/>
              <w:right w:w="115" w:type="dxa"/>
            </w:tcMar>
          </w:tcPr>
          <w:p w:rsidRPr="000B05B1" w:rsidR="00705D42" w:rsidP="6FD810EA" w:rsidRDefault="00705D42" w14:paraId="3389EEA3" w14:textId="76E34467">
            <w:pPr>
              <w:suppressAutoHyphens/>
              <w:spacing w:after="0" w:line="240" w:lineRule="auto"/>
              <w:contextualSpacing/>
              <w:jc w:val="center"/>
              <w:rPr>
                <w:rFonts w:eastAsia="Times New Roman" w:cs="Calibri" w:cstheme="minorAscii"/>
                <w:b w:val="1"/>
                <w:bCs w:val="1"/>
              </w:rPr>
            </w:pPr>
            <w:r w:rsidRPr="6FD810EA" w:rsidR="7C10DD85">
              <w:rPr>
                <w:rFonts w:eastAsia="Times New Roman" w:cs="Calibri" w:cstheme="minorAscii"/>
                <w:b w:val="1"/>
                <w:bCs w:val="1"/>
              </w:rPr>
              <w:t>Joey Quinata</w:t>
            </w:r>
          </w:p>
        </w:tc>
        <w:tc>
          <w:tcPr>
            <w:tcW w:w="2338" w:type="dxa"/>
            <w:tcMar>
              <w:left w:w="115" w:type="dxa"/>
              <w:right w:w="115" w:type="dxa"/>
            </w:tcMar>
          </w:tcPr>
          <w:p w:rsidRPr="000B05B1" w:rsidR="00705D42" w:rsidP="06C52181" w:rsidRDefault="00705D42" w14:paraId="4D94B6C2" w14:textId="54BEA2AC">
            <w:pPr>
              <w:suppressAutoHyphens/>
              <w:spacing w:after="0" w:line="240" w:lineRule="auto"/>
              <w:contextualSpacing/>
              <w:jc w:val="left"/>
              <w:rPr>
                <w:rFonts w:eastAsia="Times New Roman" w:cs="Calibri" w:cstheme="minorAscii"/>
                <w:b w:val="1"/>
                <w:bCs w:val="1"/>
              </w:rPr>
            </w:pPr>
            <w:r w:rsidRPr="06C52181" w:rsidR="1A79554F">
              <w:rPr>
                <w:rFonts w:eastAsia="Times New Roman" w:cs="Calibri" w:cstheme="minorAscii"/>
                <w:b w:val="1"/>
                <w:bCs w:val="1"/>
              </w:rPr>
              <w:t>Initial doc created, including manual code review findings, dependency-check results, and preliminary mitigation plan</w:t>
            </w:r>
          </w:p>
        </w:tc>
      </w:tr>
    </w:tbl>
    <w:p w:rsidRPr="000B05B1" w:rsidR="00705D42" w:rsidP="004609FD" w:rsidRDefault="00705D42" w14:paraId="3387940D" w14:textId="77777777">
      <w:pPr>
        <w:suppressAutoHyphens/>
        <w:spacing w:after="0" w:line="240" w:lineRule="auto"/>
        <w:contextualSpacing/>
        <w:rPr>
          <w:rFonts w:eastAsia="Times New Roman" w:cstheme="minorHAnsi"/>
          <w:b/>
          <w:bCs/>
        </w:rPr>
      </w:pPr>
    </w:p>
    <w:p w:rsidRPr="000B05B1" w:rsidR="00705D42" w:rsidP="004609FD" w:rsidRDefault="00705D42" w14:paraId="73478BD7" w14:textId="77777777">
      <w:pPr>
        <w:pStyle w:val="Heading2"/>
      </w:pPr>
      <w:bookmarkStart w:name="_Toc32574608" w:id="6"/>
      <w:bookmarkStart w:name="_Toc302021790" w:id="7"/>
      <w:bookmarkStart w:name="_Toc1639619014" w:id="8"/>
      <w:r w:rsidRPr="000B05B1">
        <w:t>Client</w:t>
      </w:r>
      <w:bookmarkEnd w:id="6"/>
      <w:bookmarkEnd w:id="7"/>
      <w:bookmarkEnd w:id="8"/>
    </w:p>
    <w:p w:rsidRPr="000B05B1" w:rsidR="00705D42" w:rsidP="004609FD" w:rsidRDefault="00705D42" w14:paraId="1ACC9E22" w14:textId="77777777">
      <w:pPr>
        <w:suppressAutoHyphens/>
        <w:spacing w:after="0" w:line="240" w:lineRule="auto"/>
        <w:contextualSpacing/>
        <w:rPr>
          <w:rFonts w:cstheme="minorHAnsi"/>
        </w:rPr>
      </w:pPr>
    </w:p>
    <w:p w:rsidR="004609FD" w:rsidP="004609FD" w:rsidRDefault="00705D42" w14:paraId="71F9651E" w14:textId="77777777">
      <w:pPr>
        <w:suppressAutoHyphens/>
        <w:spacing w:after="0" w:line="240" w:lineRule="auto"/>
        <w:contextualSpacing/>
        <w:rPr>
          <w:bdr w:val="none" w:color="auto" w:sz="0" w:space="0" w:frame="1"/>
          <w:shd w:val="clear" w:color="auto" w:fill="FFFFFF"/>
        </w:rPr>
      </w:pPr>
      <w:r w:rsidRPr="000B05B1">
        <w:rPr>
          <w:rFonts w:cstheme="minorHAnsi"/>
          <w:bdr w:val="none" w:color="auto" w:sz="0" w:space="0" w:frame="1"/>
          <w:shd w:val="clear" w:color="auto" w:fill="FFFFFF"/>
        </w:rPr>
        <w:fldChar w:fldCharType="begin"/>
      </w:r>
      <w:r w:rsidRPr="000B05B1">
        <w:rPr>
          <w:rFonts w:cstheme="minorHAnsi"/>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color="auto" w:sz="0" w:space="0" w:frame="1"/>
          <w:shd w:val="clear" w:color="auto" w:fill="FFFFFF"/>
        </w:rPr>
        <w:fldChar w:fldCharType="separate"/>
      </w:r>
      <w:r w:rsidRPr="000B05B1">
        <w:rPr>
          <w:rFonts w:cstheme="minorHAnsi"/>
          <w:noProof/>
          <w:bdr w:val="none" w:color="auto" w:sz="0" w:space="0"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color="auto" w:sz="0" w:space="0" w:frame="1"/>
          <w:shd w:val="clear" w:color="auto" w:fill="FFFFFF"/>
        </w:rPr>
        <w:fldChar w:fldCharType="end"/>
      </w:r>
    </w:p>
    <w:p w:rsidRPr="004609FD" w:rsidR="004609FD" w:rsidP="004609FD" w:rsidRDefault="004609FD" w14:paraId="7EC15D1F" w14:textId="77777777">
      <w:pPr>
        <w:suppressAutoHyphens/>
        <w:spacing w:after="0" w:line="240" w:lineRule="auto"/>
        <w:contextualSpacing/>
      </w:pPr>
    </w:p>
    <w:p w:rsidRPr="000B05B1" w:rsidR="004079F2" w:rsidP="004609FD" w:rsidRDefault="004079F2" w14:paraId="79B8FC42" w14:textId="07A92371">
      <w:pPr>
        <w:pStyle w:val="Heading2"/>
      </w:pPr>
      <w:r w:rsidRPr="000B05B1">
        <w:t>Instructions</w:t>
      </w:r>
      <w:bookmarkEnd w:id="3"/>
      <w:bookmarkEnd w:id="4"/>
      <w:bookmarkEnd w:id="5"/>
    </w:p>
    <w:p w:rsidRPr="000B05B1" w:rsidR="004079F2" w:rsidP="004609FD" w:rsidRDefault="004079F2" w14:paraId="7E4A601D" w14:textId="77777777">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rsidRPr="000B05B1" w:rsidR="004079F2" w:rsidP="004609FD" w:rsidRDefault="004079F2" w14:paraId="065646C1" w14:textId="77777777">
      <w:pPr>
        <w:suppressAutoHyphens/>
        <w:spacing w:after="0" w:line="240" w:lineRule="auto"/>
        <w:contextualSpacing/>
        <w:rPr>
          <w:rFonts w:eastAsia="Times New Roman" w:cstheme="minorHAnsi"/>
        </w:rPr>
      </w:pPr>
    </w:p>
    <w:p w:rsidRPr="000B05B1" w:rsidR="004079F2" w:rsidP="004609FD" w:rsidRDefault="004079F2" w14:paraId="36E5044C" w14:textId="77777777">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rsidRPr="000B05B1" w:rsidR="004079F2" w:rsidP="004609FD" w:rsidRDefault="004079F2" w14:paraId="0AE2BB91" w14:textId="77777777">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rsidRPr="002712C7" w:rsidR="00DC2970" w:rsidP="004609FD" w:rsidRDefault="004079F2" w14:paraId="1ECE03AC" w14:textId="5469E0F4">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rsidR="00BF4E7E" w:rsidRDefault="00BF4E7E" w14:paraId="77B6C061" w14:textId="77777777">
      <w:pPr>
        <w:rPr>
          <w:rFonts w:eastAsiaTheme="majorEastAsia" w:cstheme="minorHAnsi"/>
          <w:b/>
          <w:bCs/>
        </w:rPr>
      </w:pPr>
      <w:r>
        <w:br w:type="page"/>
      </w:r>
    </w:p>
    <w:p w:rsidRPr="000B05B1" w:rsidR="00283077" w:rsidP="000B05B1" w:rsidRDefault="531DB269" w14:paraId="7549C261" w14:textId="04EC48F0">
      <w:pPr>
        <w:pStyle w:val="Heading2"/>
        <w:rPr>
          <w:rFonts w:eastAsiaTheme="minorEastAsia"/>
          <w:color w:val="000000" w:themeColor="text1"/>
        </w:rPr>
      </w:pPr>
      <w:r w:rsidRPr="000B05B1">
        <w:lastRenderedPageBreak/>
        <w:t>Developer</w:t>
      </w:r>
    </w:p>
    <w:p w:rsidR="531DB269" w:rsidP="6FD810EA" w:rsidRDefault="531DB269" w14:paraId="4EBFDCD8" w14:textId="4A9D5D00">
      <w:pPr>
        <w:suppressAutoHyphens/>
        <w:spacing w:after="0" w:line="240" w:lineRule="auto"/>
        <w:contextualSpacing/>
        <w:rPr>
          <w:rFonts w:cs="Calibri" w:cstheme="minorAscii"/>
          <w:color w:val="000000" w:themeColor="text1"/>
        </w:rPr>
      </w:pPr>
      <w:r w:rsidRPr="6FD810EA" w:rsidR="41674641">
        <w:rPr>
          <w:rFonts w:cs="Calibri" w:cstheme="minorAscii"/>
          <w:color w:val="000000" w:themeColor="text1" w:themeTint="FF" w:themeShade="FF"/>
        </w:rPr>
        <w:t>Joey Quinata</w:t>
      </w:r>
    </w:p>
    <w:p w:rsidRPr="000B05B1" w:rsidR="003A2F8A" w:rsidP="000B05B1" w:rsidRDefault="003A2F8A" w14:paraId="40D77775" w14:textId="77777777">
      <w:pPr>
        <w:suppressAutoHyphens/>
        <w:spacing w:after="0" w:line="240" w:lineRule="auto"/>
        <w:contextualSpacing/>
        <w:rPr>
          <w:rFonts w:cstheme="minorHAnsi"/>
          <w:color w:val="000000" w:themeColor="text1"/>
        </w:rPr>
      </w:pPr>
    </w:p>
    <w:p w:rsidRPr="000B05B1" w:rsidR="531DB269" w:rsidP="000B05B1" w:rsidRDefault="531DB269" w14:paraId="7DFAAD8D" w14:textId="7789F647">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rsidR="531DB269" w:rsidP="000B05B1" w:rsidRDefault="531DB269" w14:paraId="1AAC2F52" w14:textId="259C017A">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Pr="000B05B1" w:rsidR="3071CD3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Pr="000B05B1" w:rsidR="56ED763B">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rsidRPr="000B05B1" w:rsidR="003A2F8A" w:rsidP="000B05B1" w:rsidRDefault="003A2F8A" w14:paraId="3D6F025D" w14:textId="77777777">
      <w:pPr>
        <w:suppressAutoHyphens/>
        <w:spacing w:after="0" w:line="240" w:lineRule="auto"/>
        <w:contextualSpacing/>
        <w:rPr>
          <w:rFonts w:cstheme="minorHAnsi"/>
          <w:color w:val="000000" w:themeColor="text1"/>
        </w:rPr>
      </w:pPr>
    </w:p>
    <w:p w:rsidRPr="000B05B1" w:rsidR="531DB269" w:rsidP="000B05B1" w:rsidRDefault="531DB269" w14:paraId="6CF93D7B" w14:textId="047933EA">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rsidRPr="000B05B1" w:rsidR="531DB269" w:rsidP="000B05B1" w:rsidRDefault="531DB269" w14:paraId="7B11504C" w14:textId="118CD093">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rsidRPr="000B05B1" w:rsidR="531DB269" w:rsidP="000B05B1" w:rsidRDefault="531DB269" w14:paraId="28DEA8FB" w14:textId="28999059">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Pr="000B05B1" w:rsidR="46EAAD2A">
        <w:rPr>
          <w:rFonts w:cstheme="minorHAnsi"/>
          <w:color w:val="000000" w:themeColor="text1"/>
        </w:rPr>
        <w:t>on</w:t>
      </w:r>
      <w:r w:rsidRPr="000B05B1">
        <w:rPr>
          <w:rFonts w:cstheme="minorHAnsi"/>
          <w:color w:val="000000" w:themeColor="text1"/>
        </w:rPr>
        <w:t xml:space="preserve"> secure communications to consider?</w:t>
      </w:r>
    </w:p>
    <w:p w:rsidRPr="000B05B1" w:rsidR="531DB269" w:rsidP="000B05B1" w:rsidRDefault="531DB269" w14:paraId="0E4E7037" w14:textId="6F3020E4">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rsidRPr="000B05B1" w:rsidR="531DB269" w:rsidP="000B05B1" w:rsidRDefault="531DB269" w14:paraId="2D04EEB4" w14:textId="57771C8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Pr="000B05B1" w:rsidR="00FD26AD">
        <w:rPr>
          <w:rFonts w:cstheme="minorHAnsi"/>
          <w:color w:val="000000" w:themeColor="text1"/>
        </w:rPr>
        <w:t>open</w:t>
      </w:r>
      <w:r w:rsidRPr="000B05B1" w:rsidR="00BE22B6">
        <w:rPr>
          <w:rFonts w:cstheme="minorHAnsi"/>
          <w:color w:val="000000" w:themeColor="text1"/>
        </w:rPr>
        <w:t>-</w:t>
      </w:r>
      <w:r w:rsidRPr="000B05B1" w:rsidR="00FD26AD">
        <w:rPr>
          <w:rFonts w:cstheme="minorHAnsi"/>
          <w:color w:val="000000" w:themeColor="text1"/>
        </w:rPr>
        <w:t>source</w:t>
      </w:r>
      <w:r w:rsidRPr="000B05B1">
        <w:rPr>
          <w:rFonts w:cstheme="minorHAnsi"/>
          <w:color w:val="000000" w:themeColor="text1"/>
        </w:rPr>
        <w:t xml:space="preserve"> libraries and evolving web application technologies?</w:t>
      </w:r>
    </w:p>
    <w:p w:rsidR="003A2F8A" w:rsidP="000B05B1" w:rsidRDefault="003A2F8A" w14:paraId="1CFF1B4C" w14:textId="77777777">
      <w:pPr>
        <w:suppressAutoHyphens/>
        <w:spacing w:after="0" w:line="240" w:lineRule="auto"/>
        <w:contextualSpacing/>
        <w:rPr>
          <w:rFonts w:cstheme="minorHAnsi"/>
          <w:color w:val="000000" w:themeColor="text1"/>
        </w:rPr>
      </w:pPr>
    </w:p>
    <w:p w:rsidRPr="000B05B1" w:rsidR="531DB269" w:rsidP="6FD810EA" w:rsidRDefault="531DB269" w14:paraId="3EC7E1F4" w14:textId="30EAAFCF">
      <w:pPr>
        <w:suppressAutoHyphens/>
        <w:spacing w:after="0" w:line="480" w:lineRule="auto"/>
        <w:ind w:firstLine="720"/>
        <w:contextualSpacing/>
        <w:rPr>
          <w:rFonts w:cs="Calibri" w:cstheme="minorAscii"/>
          <w:color w:val="000000" w:themeColor="text1"/>
        </w:rPr>
      </w:pPr>
      <w:r w:rsidRPr="06C52181" w:rsidR="620F83CE">
        <w:rPr>
          <w:rFonts w:cs="Calibri" w:cstheme="minorAscii"/>
          <w:color w:val="000000" w:themeColor="text1" w:themeTint="FF" w:themeShade="FF"/>
        </w:rPr>
        <w:t xml:space="preserve">Artemis Financial wants to modernize its web application while making sure customer information stays safe. Since they deal with financial planning like savings, retirement, and investments, secure communication is </w:t>
      </w:r>
      <w:r w:rsidRPr="06C52181" w:rsidR="620F83CE">
        <w:rPr>
          <w:rFonts w:cs="Calibri" w:cstheme="minorAscii"/>
          <w:color w:val="000000" w:themeColor="text1" w:themeTint="FF" w:themeShade="FF"/>
        </w:rPr>
        <w:t>very important</w:t>
      </w:r>
      <w:r w:rsidRPr="06C52181" w:rsidR="620F83CE">
        <w:rPr>
          <w:rFonts w:cs="Calibri" w:cstheme="minorAscii"/>
          <w:color w:val="000000" w:themeColor="text1" w:themeTint="FF" w:themeShade="FF"/>
        </w:rPr>
        <w:t xml:space="preserve">. A breach could put private financial data at risk. Because Artemis may have international clients, they also need to think about rules around data privacy and sending data across borders. On top of that, their modernization plan will </w:t>
      </w:r>
      <w:r w:rsidRPr="06C52181" w:rsidR="620F83CE">
        <w:rPr>
          <w:rFonts w:cs="Calibri" w:cstheme="minorAscii"/>
          <w:color w:val="000000" w:themeColor="text1" w:themeTint="FF" w:themeShade="FF"/>
        </w:rPr>
        <w:t>likely include</w:t>
      </w:r>
      <w:r w:rsidRPr="06C52181" w:rsidR="620F83CE">
        <w:rPr>
          <w:rFonts w:cs="Calibri" w:cstheme="minorAscii"/>
          <w:color w:val="000000" w:themeColor="text1" w:themeTint="FF" w:themeShade="FF"/>
        </w:rPr>
        <w:t xml:space="preserve"> more open-source libraries and newer web technologies, which can sometimes introduce new risks if not carefully managed (OWASP, n.d.). External threats they should prepare for include SQL injection, cross-site scripting (XSS), and attacks against their APIs (Detlefsen &amp; </w:t>
      </w:r>
      <w:r w:rsidRPr="06C52181" w:rsidR="620F83CE">
        <w:rPr>
          <w:rFonts w:cs="Calibri" w:cstheme="minorAscii"/>
          <w:color w:val="000000" w:themeColor="text1" w:themeTint="FF" w:themeShade="FF"/>
        </w:rPr>
        <w:t>Manico</w:t>
      </w:r>
      <w:r w:rsidRPr="06C52181" w:rsidR="620F83CE">
        <w:rPr>
          <w:rFonts w:cs="Calibri" w:cstheme="minorAscii"/>
          <w:color w:val="000000" w:themeColor="text1" w:themeTint="FF" w:themeShade="FF"/>
        </w:rPr>
        <w:t>, 2015</w:t>
      </w:r>
      <w:r w:rsidRPr="06C52181" w:rsidR="620F83CE">
        <w:rPr>
          <w:rFonts w:cs="Calibri" w:cstheme="minorAscii"/>
          <w:color w:val="000000" w:themeColor="text1" w:themeTint="FF" w:themeShade="FF"/>
        </w:rPr>
        <w:t>).</w:t>
      </w:r>
    </w:p>
    <w:p w:rsidR="003A2F8A" w:rsidP="000B05B1" w:rsidRDefault="003A2F8A" w14:paraId="4AD0F97C" w14:textId="77777777">
      <w:pPr>
        <w:suppressAutoHyphens/>
        <w:spacing w:after="0" w:line="240" w:lineRule="auto"/>
        <w:contextualSpacing/>
        <w:rPr>
          <w:rFonts w:cstheme="minorHAnsi"/>
          <w:b/>
          <w:bCs/>
          <w:color w:val="000000" w:themeColor="text1"/>
        </w:rPr>
      </w:pPr>
    </w:p>
    <w:p w:rsidRPr="000B05B1" w:rsidR="531DB269" w:rsidP="000B05B1" w:rsidRDefault="531DB269" w14:paraId="0415926D" w14:textId="01C70329">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rsidRPr="000B05B1" w:rsidR="531DB269" w:rsidP="000B05B1" w:rsidRDefault="531DB269" w14:paraId="2F0E7882" w14:textId="183B63D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Pr="000B05B1" w:rsidR="70A6CD78">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rsidR="003A2F8A" w:rsidP="000B05B1" w:rsidRDefault="003A2F8A" w14:paraId="05D983A8" w14:textId="77777777">
      <w:pPr>
        <w:suppressAutoHyphens/>
        <w:spacing w:after="0" w:line="240" w:lineRule="auto"/>
        <w:contextualSpacing/>
        <w:rPr>
          <w:rFonts w:cstheme="minorHAnsi"/>
          <w:color w:val="000000" w:themeColor="text1"/>
        </w:rPr>
      </w:pPr>
    </w:p>
    <w:p w:rsidRPr="000B05B1" w:rsidR="531DB269" w:rsidP="6FD810EA" w:rsidRDefault="531DB269" w14:paraId="795021B8" w14:textId="5813C675">
      <w:pPr>
        <w:suppressAutoHyphens/>
        <w:spacing w:after="0" w:line="480" w:lineRule="auto"/>
        <w:ind w:firstLine="720"/>
        <w:contextualSpacing/>
        <w:rPr>
          <w:rFonts w:cs="Calibri" w:cstheme="minorAscii"/>
          <w:color w:val="000000" w:themeColor="text1"/>
        </w:rPr>
      </w:pPr>
      <w:r w:rsidRPr="6FD810EA" w:rsidR="47E7BAB8">
        <w:rPr>
          <w:rFonts w:cs="Calibri" w:cstheme="minorAscii"/>
          <w:color w:val="000000" w:themeColor="text1" w:themeTint="FF" w:themeShade="FF"/>
        </w:rPr>
        <w:t xml:space="preserve">Looking at the vulnerability assessment process flow diagram, a few areas of security stand out as most important for Artemis. Input validation is </w:t>
      </w:r>
      <w:r w:rsidRPr="6FD810EA" w:rsidR="47E7BAB8">
        <w:rPr>
          <w:rFonts w:cs="Calibri" w:cstheme="minorAscii"/>
          <w:color w:val="000000" w:themeColor="text1" w:themeTint="FF" w:themeShade="FF"/>
        </w:rPr>
        <w:t>a must</w:t>
      </w:r>
      <w:r w:rsidRPr="6FD810EA" w:rsidR="47E7BAB8">
        <w:rPr>
          <w:rFonts w:cs="Calibri" w:cstheme="minorAscii"/>
          <w:color w:val="000000" w:themeColor="text1" w:themeTint="FF" w:themeShade="FF"/>
        </w:rPr>
        <w:t xml:space="preserve"> because improper validation is a common cause of injection attacks (Iron-Clad Java, Ch. 7). Secure error handling is </w:t>
      </w:r>
      <w:r w:rsidRPr="6FD810EA" w:rsidR="47E7BAB8">
        <w:rPr>
          <w:rFonts w:cs="Calibri" w:cstheme="minorAscii"/>
          <w:color w:val="000000" w:themeColor="text1" w:themeTint="FF" w:themeShade="FF"/>
        </w:rPr>
        <w:t>another, since</w:t>
      </w:r>
      <w:r w:rsidRPr="6FD810EA" w:rsidR="47E7BAB8">
        <w:rPr>
          <w:rFonts w:cs="Calibri" w:cstheme="minorAscii"/>
          <w:color w:val="000000" w:themeColor="text1" w:themeTint="FF" w:themeShade="FF"/>
        </w:rPr>
        <w:t xml:space="preserve"> detailed error messages can give away too much information to attackers. Cryptography is also critical here because Artemis works with financial data that needs to be protected both when stored and when sent across networks (Oracle, n.d.). Finally, secure API interactions are especially important since their application uses REST APIs that could be targeted if not properly protected.</w:t>
      </w:r>
    </w:p>
    <w:p w:rsidR="003A2F8A" w:rsidP="000B05B1" w:rsidRDefault="003A2F8A" w14:paraId="6E9C8FB4" w14:textId="77777777">
      <w:pPr>
        <w:suppressAutoHyphens/>
        <w:spacing w:after="0" w:line="240" w:lineRule="auto"/>
        <w:contextualSpacing/>
        <w:rPr>
          <w:rFonts w:cstheme="minorHAnsi"/>
          <w:b/>
          <w:bCs/>
          <w:color w:val="000000" w:themeColor="text1"/>
        </w:rPr>
      </w:pPr>
    </w:p>
    <w:p w:rsidRPr="000B05B1" w:rsidR="531DB269" w:rsidP="000B05B1" w:rsidRDefault="531DB269" w14:paraId="6E9781D5" w14:textId="4DFFEFBA">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rsidRPr="000B05B1" w:rsidR="531DB269" w:rsidP="000B05B1" w:rsidRDefault="531DB269" w14:paraId="48F6474A" w14:textId="7FAD0D2D">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Pr="000B05B1" w:rsidR="004333E0">
        <w:rPr>
          <w:rFonts w:cstheme="minorHAnsi"/>
          <w:color w:val="000000" w:themeColor="text1"/>
        </w:rPr>
        <w:t xml:space="preserve">ulnerability </w:t>
      </w:r>
      <w:r w:rsidR="004333E0">
        <w:rPr>
          <w:rFonts w:cstheme="minorHAnsi"/>
          <w:color w:val="000000" w:themeColor="text1"/>
        </w:rPr>
        <w:t>a</w:t>
      </w:r>
      <w:r w:rsidRPr="000B05B1" w:rsidR="004333E0">
        <w:rPr>
          <w:rFonts w:cstheme="minorHAnsi"/>
          <w:color w:val="000000" w:themeColor="text1"/>
        </w:rPr>
        <w:t xml:space="preserve">ssessment </w:t>
      </w:r>
      <w:r w:rsidR="004333E0">
        <w:rPr>
          <w:rFonts w:cstheme="minorHAnsi"/>
          <w:color w:val="000000" w:themeColor="text1"/>
        </w:rPr>
        <w:t>p</w:t>
      </w:r>
      <w:r w:rsidRPr="000B05B1" w:rsidR="004333E0">
        <w:rPr>
          <w:rFonts w:cstheme="minorHAnsi"/>
          <w:color w:val="000000" w:themeColor="text1"/>
        </w:rPr>
        <w:t xml:space="preserve">rocess </w:t>
      </w:r>
      <w:r w:rsidR="004333E0">
        <w:rPr>
          <w:rFonts w:cstheme="minorHAnsi"/>
          <w:color w:val="000000" w:themeColor="text1"/>
        </w:rPr>
        <w:t>f</w:t>
      </w:r>
      <w:r w:rsidRPr="000B05B1" w:rsidR="004333E0">
        <w:rPr>
          <w:rFonts w:cstheme="minorHAnsi"/>
          <w:color w:val="000000" w:themeColor="text1"/>
        </w:rPr>
        <w:t xml:space="preserve">low </w:t>
      </w:r>
      <w:r w:rsidR="004333E0">
        <w:rPr>
          <w:rFonts w:cstheme="minorHAnsi"/>
          <w:color w:val="000000" w:themeColor="text1"/>
        </w:rPr>
        <w:t>d</w:t>
      </w:r>
      <w:r w:rsidRPr="000B05B1" w:rsidR="004333E0">
        <w:rPr>
          <w:rFonts w:cstheme="minorHAnsi"/>
          <w:color w:val="000000" w:themeColor="text1"/>
        </w:rPr>
        <w:t>iagram</w:t>
      </w:r>
      <w:r w:rsidRPr="000B05B1">
        <w:rPr>
          <w:rFonts w:cstheme="minorHAnsi"/>
          <w:color w:val="000000" w:themeColor="text1"/>
        </w:rPr>
        <w:t>. Identify all vulnerabilities in the code base by manually inspecting the code.</w:t>
      </w:r>
    </w:p>
    <w:p w:rsidR="003A2F8A" w:rsidP="000B05B1" w:rsidRDefault="003A2F8A" w14:paraId="04730771" w14:textId="77777777">
      <w:pPr>
        <w:suppressAutoHyphens/>
        <w:spacing w:after="0" w:line="240" w:lineRule="auto"/>
        <w:contextualSpacing/>
        <w:rPr>
          <w:rFonts w:cstheme="minorHAnsi"/>
          <w:color w:val="000000" w:themeColor="text1"/>
        </w:rPr>
      </w:pPr>
    </w:p>
    <w:p w:rsidR="2EA96B34" w:rsidP="06C52181" w:rsidRDefault="2EA96B34" w14:paraId="466930B2" w14:textId="74E34209">
      <w:pPr>
        <w:pStyle w:val="Normal"/>
        <w:spacing w:after="0" w:line="480" w:lineRule="auto"/>
        <w:ind w:firstLine="720"/>
        <w:contextualSpacing/>
      </w:pPr>
      <w:r w:rsidRPr="06C52181" w:rsidR="2EA96B34">
        <w:rPr>
          <w:rFonts w:ascii="Calibri" w:hAnsi="Calibri" w:eastAsia="Calibri" w:cs="Calibri"/>
          <w:noProof w:val="0"/>
          <w:sz w:val="22"/>
          <w:szCs w:val="22"/>
          <w:lang w:val="en-US"/>
        </w:rPr>
        <w:t>When manually reviewing the Artemis Financial rest-service code base, several potential issues stood out across the seven security areas from the Vulnerability Assessment Process Flow Diagram. First, input validation is weak in a few places, as some controller methods accept raw user input without proper sanitization, which could expose the application to injection risks. In addition, error handling is minimal, with stack traces and system details likely to be exposed in certain exception flows. Logging also presents a concern, since sensitive details could unintentionally be written to logs without redaction. Authentication and session handling appear to rely heavily on defaults, which raises concerns about session fixation or weak enforcement of access rules. In terms of configuration management, some hardcoded values were found in the service classes, which makes them more difficult to secure or update. The use of older dependencies in the pom.xml also raises red flags for dependency vulnerabilities, even before running the static test. Finally, encryption practices need to be strengthened, as secure communication (such as TLS enforcement) was not clearly evident in the base code. Together, these findings highlight at least seven clear areas of vulnerability: input validation, error handling, logging, authentication/session management, configuration, dependency management, and encryption.</w:t>
      </w:r>
    </w:p>
    <w:p w:rsidR="06C52181" w:rsidP="06C52181" w:rsidRDefault="06C52181" w14:paraId="3CE5ABE6" w14:textId="519256E4">
      <w:pPr>
        <w:pStyle w:val="Normal"/>
        <w:spacing w:after="0" w:line="240" w:lineRule="auto"/>
        <w:contextualSpacing/>
        <w:rPr>
          <w:rFonts w:ascii="Calibri" w:hAnsi="Calibri" w:eastAsia="Calibri" w:cs="Calibri"/>
          <w:noProof w:val="0"/>
          <w:sz w:val="22"/>
          <w:szCs w:val="22"/>
          <w:lang w:val="en-US"/>
        </w:rPr>
      </w:pPr>
    </w:p>
    <w:p w:rsidRPr="000B05B1" w:rsidR="531DB269" w:rsidP="000B05B1" w:rsidRDefault="531DB269" w14:paraId="3FEC70C4" w14:textId="4BF12E80">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rsidR="531DB269" w:rsidP="000B05B1" w:rsidRDefault="531DB269" w14:paraId="3630440C" w14:textId="7147E174">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Pr="000B05B1" w:rsidR="69E9FDE7">
        <w:rPr>
          <w:rFonts w:cstheme="minorHAnsi"/>
          <w:color w:val="000000" w:themeColor="text1"/>
        </w:rPr>
        <w:t>the</w:t>
      </w:r>
      <w:r w:rsidRPr="000B05B1">
        <w:rPr>
          <w:rFonts w:cstheme="minorHAnsi"/>
          <w:color w:val="000000" w:themeColor="text1"/>
        </w:rPr>
        <w:t xml:space="preserve"> dependency</w:t>
      </w:r>
      <w:r w:rsidRPr="000B05B1" w:rsidR="1ED3D48B">
        <w:rPr>
          <w:rFonts w:cstheme="minorHAnsi"/>
          <w:color w:val="000000" w:themeColor="text1"/>
        </w:rPr>
        <w:t>-</w:t>
      </w:r>
      <w:r w:rsidRPr="000B05B1">
        <w:rPr>
          <w:rFonts w:cstheme="minorHAnsi"/>
          <w:color w:val="000000" w:themeColor="text1"/>
        </w:rPr>
        <w:t>check report. Include the following</w:t>
      </w:r>
      <w:r w:rsidRPr="000B05B1" w:rsidR="12183239">
        <w:rPr>
          <w:rFonts w:cstheme="minorHAnsi"/>
          <w:color w:val="000000" w:themeColor="text1"/>
        </w:rPr>
        <w:t xml:space="preserve"> items</w:t>
      </w:r>
      <w:r w:rsidRPr="000B05B1">
        <w:rPr>
          <w:rFonts w:cstheme="minorHAnsi"/>
          <w:color w:val="000000" w:themeColor="text1"/>
        </w:rPr>
        <w:t>:</w:t>
      </w:r>
    </w:p>
    <w:p w:rsidRPr="000B05B1" w:rsidR="003A2F8A" w:rsidP="000B05B1" w:rsidRDefault="003A2F8A" w14:paraId="4299AA06" w14:textId="77777777">
      <w:pPr>
        <w:suppressAutoHyphens/>
        <w:spacing w:after="0" w:line="240" w:lineRule="auto"/>
        <w:contextualSpacing/>
        <w:rPr>
          <w:rFonts w:cstheme="minorHAnsi"/>
          <w:color w:val="000000" w:themeColor="text1"/>
        </w:rPr>
      </w:pPr>
    </w:p>
    <w:p w:rsidRPr="000B05B1" w:rsidR="531DB269" w:rsidP="000B05B1" w:rsidRDefault="531DB269" w14:paraId="547E960D" w14:textId="57BDD47A">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rsidRPr="000B05B1" w:rsidR="531DB269" w:rsidP="000B05B1" w:rsidRDefault="531DB269" w14:paraId="0F95DE24" w14:textId="325AB96A">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Pr="000B05B1" w:rsidR="5B285498">
        <w:rPr>
          <w:rFonts w:cstheme="minorHAnsi"/>
          <w:color w:val="000000" w:themeColor="text1"/>
        </w:rPr>
        <w:t>-</w:t>
      </w:r>
      <w:r w:rsidRPr="000B05B1">
        <w:rPr>
          <w:rFonts w:cstheme="minorHAnsi"/>
          <w:color w:val="000000" w:themeColor="text1"/>
        </w:rPr>
        <w:t>check report</w:t>
      </w:r>
    </w:p>
    <w:p w:rsidRPr="000B05B1" w:rsidR="531DB269" w:rsidP="000B05B1" w:rsidRDefault="0013182C" w14:paraId="3B7A52A2" w14:textId="2EBA5183">
      <w:pPr>
        <w:pStyle w:val="ListParagraph"/>
        <w:numPr>
          <w:ilvl w:val="0"/>
          <w:numId w:val="25"/>
        </w:numPr>
        <w:suppressAutoHyphens/>
        <w:spacing w:after="0" w:line="240" w:lineRule="auto"/>
        <w:rPr>
          <w:rFonts w:cstheme="minorHAnsi"/>
          <w:color w:val="000000" w:themeColor="text1"/>
        </w:rPr>
      </w:pPr>
      <w:r w:rsidRPr="06C52181" w:rsidR="27A8D0A5">
        <w:rPr>
          <w:rFonts w:cs="Calibri" w:cstheme="minorAscii"/>
          <w:color w:val="000000" w:themeColor="text1" w:themeTint="FF" w:themeShade="FF"/>
        </w:rPr>
        <w:t>Any attribution</w:t>
      </w:r>
      <w:r w:rsidRPr="06C52181" w:rsidR="0EFD8241">
        <w:rPr>
          <w:rFonts w:cs="Calibri" w:cstheme="minorAscii"/>
          <w:color w:val="000000" w:themeColor="text1" w:themeTint="FF" w:themeShade="FF"/>
        </w:rPr>
        <w:t xml:space="preserve"> that documents how this vulnerability has been identified or documented previously</w:t>
      </w:r>
    </w:p>
    <w:p w:rsidR="06C52181" w:rsidP="06C52181" w:rsidRDefault="06C52181" w14:paraId="49B38319" w14:textId="7205BF03">
      <w:pPr>
        <w:pStyle w:val="Normal"/>
        <w:spacing w:after="0" w:line="240" w:lineRule="auto"/>
        <w:contextualSpacing/>
        <w:rPr>
          <w:rFonts w:cs="Calibri" w:cstheme="minorAscii"/>
          <w:color w:val="000000" w:themeColor="text1" w:themeTint="FF" w:themeShade="FF"/>
        </w:rPr>
      </w:pPr>
    </w:p>
    <w:p w:rsidR="75EA4AFC" w:rsidP="06C52181" w:rsidRDefault="75EA4AFC" w14:paraId="72390B49" w14:textId="3FE6AE57">
      <w:pPr>
        <w:pStyle w:val="Normal"/>
        <w:spacing w:after="0" w:line="480" w:lineRule="auto"/>
        <w:ind w:firstLine="720"/>
        <w:contextualSpacing/>
        <w:rPr>
          <w:rFonts w:cs="Calibri" w:cstheme="minorAscii"/>
          <w:color w:val="000000" w:themeColor="text1" w:themeTint="FF" w:themeShade="FF"/>
        </w:rPr>
      </w:pPr>
      <w:r w:rsidRPr="06C52181" w:rsidR="75EA4AFC">
        <w:rPr>
          <w:rFonts w:cs="Calibri" w:cstheme="minorAscii"/>
          <w:color w:val="000000" w:themeColor="text1" w:themeTint="FF" w:themeShade="FF"/>
        </w:rPr>
        <w:t xml:space="preserve">The dependency-check report confirmed many of the concerns found in the manual review. Several outdated libraries were flagged with known CVEs, including Spring Framework 5.2.3.RELEASE (CVE-2020-5421, CVE-2021-22096, CVE-2021-22118), Spring Boot 2.2.4.RELEASE (CVE-2022-27772, CVE-2023-20873, CVE-2023-20883), and Tomcat Embed 9.0.30 (CVE-2019-17569, CVE-2020-13934, CVE-2021-41079, and others). Serialization libraries such as Jackson 2.10.2 were also vulnerable, with deserialization flaws like CVE-2020-25649 and CVE-2022-42003, while </w:t>
      </w:r>
      <w:r w:rsidRPr="06C52181" w:rsidR="75EA4AFC">
        <w:rPr>
          <w:rFonts w:cs="Calibri" w:cstheme="minorAscii"/>
          <w:color w:val="000000" w:themeColor="text1" w:themeTint="FF" w:themeShade="FF"/>
        </w:rPr>
        <w:t>Logback</w:t>
      </w:r>
      <w:r w:rsidRPr="06C52181" w:rsidR="75EA4AFC">
        <w:rPr>
          <w:rFonts w:cs="Calibri" w:cstheme="minorAscii"/>
          <w:color w:val="000000" w:themeColor="text1" w:themeTint="FF" w:themeShade="FF"/>
        </w:rPr>
        <w:t xml:space="preserve"> 1.2.3 introduced logging vulnerabilities (CVE-2021-42550, CVE-2023-6378). Additional findings included </w:t>
      </w:r>
      <w:r w:rsidRPr="06C52181" w:rsidR="75EA4AFC">
        <w:rPr>
          <w:rFonts w:cs="Calibri" w:cstheme="minorAscii"/>
          <w:color w:val="000000" w:themeColor="text1" w:themeTint="FF" w:themeShade="FF"/>
        </w:rPr>
        <w:t>SnakeYAML</w:t>
      </w:r>
      <w:r w:rsidRPr="06C52181" w:rsidR="75EA4AFC">
        <w:rPr>
          <w:rFonts w:cs="Calibri" w:cstheme="minorAscii"/>
          <w:color w:val="000000" w:themeColor="text1" w:themeTint="FF" w:themeShade="FF"/>
        </w:rPr>
        <w:t xml:space="preserve"> 1.25 with multiple parsing vulnerabilities (CVE-2017-18640, CVE-2022-1471, CVE-2022-38751), Hibernate Validator 6.0.18.Final (CVE-2020-10693, CVE-2025-35036), and the cryptography library Bouncy Castle 1.46 with older cryptographic weaknesses (CVE-2013-0169, CVE-2015-6644) The recommended solutions were consistent across dependencies: upgrade to patched, supported versions and re-run the scan to confirm remediation.</w:t>
      </w:r>
    </w:p>
    <w:p w:rsidRPr="000B05B1" w:rsidR="531DB269" w:rsidP="000B05B1" w:rsidRDefault="531DB269" w14:paraId="0BD10739" w14:textId="0D278CD9">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rsidRPr="000B05B1" w:rsidR="531DB269" w:rsidP="000B05B1" w:rsidRDefault="004D4292" w14:paraId="547FEC5D" w14:textId="0182E49F">
      <w:pPr>
        <w:suppressAutoHyphens/>
        <w:spacing w:after="0" w:line="240" w:lineRule="auto"/>
        <w:contextualSpacing/>
        <w:rPr>
          <w:rFonts w:cstheme="minorHAnsi"/>
          <w:color w:val="000000" w:themeColor="text1"/>
        </w:rPr>
      </w:pPr>
      <w:r>
        <w:rPr>
          <w:rFonts w:cstheme="minorHAnsi"/>
          <w:color w:val="000000" w:themeColor="text1"/>
        </w:rPr>
        <w:t>Interpret the</w:t>
      </w:r>
      <w:r w:rsidRPr="000B05B1" w:rsidR="531DB269">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Pr="000B05B1" w:rsidR="531DB269">
        <w:rPr>
          <w:rFonts w:cstheme="minorHAnsi"/>
          <w:color w:val="000000" w:themeColor="text1"/>
        </w:rPr>
        <w:t xml:space="preserve">dentify the steps to </w:t>
      </w:r>
      <w:r w:rsidR="00BE5AC6">
        <w:rPr>
          <w:rFonts w:cstheme="minorHAnsi"/>
          <w:color w:val="000000" w:themeColor="text1"/>
        </w:rPr>
        <w:t>mitigate</w:t>
      </w:r>
      <w:r w:rsidRPr="000B05B1" w:rsidR="531DB269">
        <w:rPr>
          <w:rFonts w:cstheme="minorHAnsi"/>
          <w:color w:val="000000" w:themeColor="text1"/>
        </w:rPr>
        <w:t xml:space="preserve"> the identified security vulnerabilities for Artemis Financial’s software application.</w:t>
      </w:r>
    </w:p>
    <w:p w:rsidR="003A2F8A" w:rsidP="000B05B1" w:rsidRDefault="003A2F8A" w14:paraId="26B72996" w14:textId="77777777">
      <w:pPr>
        <w:suppressAutoHyphens/>
        <w:spacing w:after="0" w:line="240" w:lineRule="auto"/>
        <w:contextualSpacing/>
        <w:rPr>
          <w:rFonts w:cstheme="minorHAnsi"/>
          <w:color w:val="000000" w:themeColor="text1"/>
        </w:rPr>
      </w:pPr>
    </w:p>
    <w:p w:rsidRPr="000B05B1" w:rsidR="322AA2CB" w:rsidP="06C52181" w:rsidRDefault="531DB269" w14:paraId="6A69540B" w14:textId="6F10D998">
      <w:pPr>
        <w:suppressAutoHyphens/>
        <w:spacing w:after="0" w:line="480" w:lineRule="auto"/>
        <w:ind w:firstLine="720"/>
        <w:contextualSpacing/>
        <w:rPr>
          <w:rFonts w:cs="Calibri" w:cstheme="minorAscii"/>
          <w:color w:val="000000" w:themeColor="text1" w:themeTint="FF" w:themeShade="FF"/>
        </w:rPr>
      </w:pPr>
      <w:r w:rsidRPr="06C52181" w:rsidR="04590A62">
        <w:rPr>
          <w:rFonts w:cs="Calibri" w:cstheme="minorAscii"/>
          <w:color w:val="000000" w:themeColor="text1" w:themeTint="FF" w:themeShade="FF"/>
        </w:rPr>
        <w:t xml:space="preserve">The combination of the manual review and the static analysis </w:t>
      </w:r>
      <w:bookmarkStart w:name="_Int_JVaaVxGF" w:id="2079784697"/>
      <w:r w:rsidRPr="06C52181" w:rsidR="04590A62">
        <w:rPr>
          <w:rFonts w:cs="Calibri" w:cstheme="minorAscii"/>
          <w:color w:val="000000" w:themeColor="text1" w:themeTint="FF" w:themeShade="FF"/>
        </w:rPr>
        <w:t>highlights</w:t>
      </w:r>
      <w:bookmarkEnd w:id="2079784697"/>
      <w:r w:rsidRPr="06C52181" w:rsidR="04590A62">
        <w:rPr>
          <w:rFonts w:cs="Calibri" w:cstheme="minorAscii"/>
          <w:color w:val="000000" w:themeColor="text1" w:themeTint="FF" w:themeShade="FF"/>
        </w:rPr>
        <w:t xml:space="preserve"> the need for a layered mitigation plan. First, input validation and error handling should be improved by implementing validation frameworks and ensuring error messages do not reveal system details. Sensitive logging must be redacted, and authentication/session controls should be hardened, such as enabling secure cookies and enforcing stricter role-based access. For configuration issues, hardcoded values should be externalized into secure configuration files or environment variables. Most critically, the outdated dependencies must be upgraded, Spring and Tomcat should be aligned with a current Spring Boot release, Jackson updated to a safe 2.x line, </w:t>
      </w:r>
      <w:r w:rsidRPr="06C52181" w:rsidR="04590A62">
        <w:rPr>
          <w:rFonts w:cs="Calibri" w:cstheme="minorAscii"/>
          <w:color w:val="000000" w:themeColor="text1" w:themeTint="FF" w:themeShade="FF"/>
        </w:rPr>
        <w:t>Logback</w:t>
      </w:r>
      <w:r w:rsidRPr="06C52181" w:rsidR="04590A62">
        <w:rPr>
          <w:rFonts w:cs="Calibri" w:cstheme="minorAscii"/>
          <w:color w:val="000000" w:themeColor="text1" w:themeTint="FF" w:themeShade="FF"/>
        </w:rPr>
        <w:t xml:space="preserve"> moved to a patched version, and </w:t>
      </w:r>
      <w:r w:rsidRPr="06C52181" w:rsidR="04590A62">
        <w:rPr>
          <w:rFonts w:cs="Calibri" w:cstheme="minorAscii"/>
          <w:color w:val="000000" w:themeColor="text1" w:themeTint="FF" w:themeShade="FF"/>
        </w:rPr>
        <w:t>SnakeYAML</w:t>
      </w:r>
      <w:r w:rsidRPr="06C52181" w:rsidR="04590A62">
        <w:rPr>
          <w:rFonts w:cs="Calibri" w:cstheme="minorAscii"/>
          <w:color w:val="000000" w:themeColor="text1" w:themeTint="FF" w:themeShade="FF"/>
        </w:rPr>
        <w:t xml:space="preserve">, Hibernate Validator, and Bouncy Castle upgraded to supported releases. By applying these changes, the application will address both design-level vulnerabilities </w:t>
      </w:r>
      <w:r w:rsidRPr="06C52181" w:rsidR="04590A62">
        <w:rPr>
          <w:rFonts w:cs="Calibri" w:cstheme="minorAscii"/>
          <w:color w:val="000000" w:themeColor="text1" w:themeTint="FF" w:themeShade="FF"/>
        </w:rPr>
        <w:t>identified</w:t>
      </w:r>
      <w:r w:rsidRPr="06C52181" w:rsidR="04590A62">
        <w:rPr>
          <w:rFonts w:cs="Calibri" w:cstheme="minorAscii"/>
          <w:color w:val="000000" w:themeColor="text1" w:themeTint="FF" w:themeShade="FF"/>
        </w:rPr>
        <w:t xml:space="preserve"> in the manual review and the library-level vulnerabilities revealed by the dependency-check report.</w:t>
      </w:r>
    </w:p>
    <w:p w:rsidR="06C52181" w:rsidP="06C52181" w:rsidRDefault="06C52181" w14:paraId="021DD1D5" w14:textId="6BD9EECF">
      <w:pPr>
        <w:spacing w:after="0" w:line="480" w:lineRule="auto"/>
        <w:ind w:firstLine="720"/>
        <w:contextualSpacing/>
        <w:rPr>
          <w:rFonts w:cs="Calibri" w:cstheme="minorAscii"/>
          <w:color w:val="000000" w:themeColor="text1" w:themeTint="FF" w:themeShade="FF"/>
        </w:rPr>
      </w:pPr>
    </w:p>
    <w:p w:rsidR="06C52181" w:rsidP="06C52181" w:rsidRDefault="06C52181" w14:paraId="23FD7FC2" w14:textId="1EE349F0">
      <w:pPr>
        <w:spacing w:after="0" w:line="480" w:lineRule="auto"/>
        <w:ind w:firstLine="720"/>
        <w:contextualSpacing/>
        <w:rPr>
          <w:rFonts w:cs="Calibri" w:cstheme="minorAscii"/>
          <w:color w:val="000000" w:themeColor="text1" w:themeTint="FF" w:themeShade="FF"/>
        </w:rPr>
      </w:pPr>
    </w:p>
    <w:p w:rsidR="06C52181" w:rsidP="06C52181" w:rsidRDefault="06C52181" w14:paraId="0BB59C19" w14:textId="242D3A4A">
      <w:pPr>
        <w:spacing w:after="0" w:line="480" w:lineRule="auto"/>
        <w:ind w:firstLine="720"/>
        <w:contextualSpacing/>
        <w:rPr>
          <w:rFonts w:cs="Calibri" w:cstheme="minorAscii"/>
          <w:color w:val="000000" w:themeColor="text1" w:themeTint="FF" w:themeShade="FF"/>
        </w:rPr>
      </w:pPr>
    </w:p>
    <w:p w:rsidR="06C52181" w:rsidP="06C52181" w:rsidRDefault="06C52181" w14:paraId="7CEC8B89" w14:textId="7231C682">
      <w:pPr>
        <w:spacing w:after="0" w:line="480" w:lineRule="auto"/>
        <w:ind w:firstLine="720"/>
        <w:contextualSpacing/>
        <w:rPr>
          <w:rFonts w:cs="Calibri" w:cstheme="minorAscii"/>
          <w:color w:val="000000" w:themeColor="text1" w:themeTint="FF" w:themeShade="FF"/>
        </w:rPr>
      </w:pPr>
    </w:p>
    <w:p w:rsidR="06C52181" w:rsidP="06C52181" w:rsidRDefault="06C52181" w14:paraId="4D203A5B" w14:textId="5B0327D6">
      <w:pPr>
        <w:spacing w:after="0" w:line="480" w:lineRule="auto"/>
        <w:ind w:firstLine="720"/>
        <w:contextualSpacing/>
        <w:rPr>
          <w:rFonts w:cs="Calibri" w:cstheme="minorAscii"/>
          <w:color w:val="000000" w:themeColor="text1" w:themeTint="FF" w:themeShade="FF"/>
        </w:rPr>
      </w:pPr>
    </w:p>
    <w:p w:rsidR="06C52181" w:rsidP="06C52181" w:rsidRDefault="06C52181" w14:paraId="794E42C2" w14:textId="61EB1E89">
      <w:pPr>
        <w:spacing w:after="0" w:line="480" w:lineRule="auto"/>
        <w:ind w:firstLine="720"/>
        <w:contextualSpacing/>
        <w:rPr>
          <w:rFonts w:cs="Calibri" w:cstheme="minorAscii"/>
          <w:color w:val="000000" w:themeColor="text1" w:themeTint="FF" w:themeShade="FF"/>
        </w:rPr>
      </w:pPr>
    </w:p>
    <w:p w:rsidR="06C52181" w:rsidP="06C52181" w:rsidRDefault="06C52181" w14:paraId="7E104F3B" w14:textId="56387315">
      <w:pPr>
        <w:spacing w:after="0" w:line="480" w:lineRule="auto"/>
        <w:ind w:firstLine="720"/>
        <w:contextualSpacing/>
        <w:rPr>
          <w:rFonts w:cs="Calibri" w:cstheme="minorAscii"/>
          <w:color w:val="000000" w:themeColor="text1" w:themeTint="FF" w:themeShade="FF"/>
        </w:rPr>
      </w:pPr>
    </w:p>
    <w:p w:rsidR="06C52181" w:rsidP="06C52181" w:rsidRDefault="06C52181" w14:paraId="492F2763" w14:textId="668CC6BC">
      <w:pPr>
        <w:spacing w:after="0" w:line="480" w:lineRule="auto"/>
        <w:ind w:firstLine="720"/>
        <w:contextualSpacing/>
        <w:rPr>
          <w:rFonts w:cs="Calibri" w:cstheme="minorAscii"/>
          <w:color w:val="000000" w:themeColor="text1" w:themeTint="FF" w:themeShade="FF"/>
        </w:rPr>
      </w:pPr>
    </w:p>
    <w:p w:rsidR="06C52181" w:rsidP="06C52181" w:rsidRDefault="06C52181" w14:paraId="4C474585" w14:textId="55C3303C">
      <w:pPr>
        <w:spacing w:after="0" w:line="480" w:lineRule="auto"/>
        <w:ind w:firstLine="720"/>
        <w:contextualSpacing/>
        <w:rPr>
          <w:rFonts w:cs="Calibri" w:cstheme="minorAscii"/>
          <w:color w:val="000000" w:themeColor="text1" w:themeTint="FF" w:themeShade="FF"/>
        </w:rPr>
      </w:pPr>
    </w:p>
    <w:p w:rsidR="06C52181" w:rsidP="06C52181" w:rsidRDefault="06C52181" w14:paraId="36FC69EF" w14:textId="30138295">
      <w:pPr>
        <w:spacing w:after="0" w:line="480" w:lineRule="auto"/>
        <w:ind w:firstLine="720"/>
        <w:contextualSpacing/>
        <w:rPr>
          <w:rFonts w:cs="Calibri" w:cstheme="minorAscii"/>
          <w:color w:val="000000" w:themeColor="text1" w:themeTint="FF" w:themeShade="FF"/>
        </w:rPr>
      </w:pPr>
    </w:p>
    <w:p w:rsidR="06C52181" w:rsidP="06C52181" w:rsidRDefault="06C52181" w14:paraId="03D607F9" w14:textId="720D2DDF">
      <w:pPr>
        <w:spacing w:after="0" w:line="480" w:lineRule="auto"/>
        <w:ind w:firstLine="720"/>
        <w:contextualSpacing/>
        <w:rPr>
          <w:rFonts w:cs="Calibri" w:cstheme="minorAscii"/>
          <w:color w:val="000000" w:themeColor="text1" w:themeTint="FF" w:themeShade="FF"/>
        </w:rPr>
      </w:pPr>
    </w:p>
    <w:p w:rsidR="06C52181" w:rsidP="06C52181" w:rsidRDefault="06C52181" w14:paraId="04198CDC" w14:textId="1E8C8441">
      <w:pPr>
        <w:spacing w:after="0" w:line="480" w:lineRule="auto"/>
        <w:ind w:firstLine="720"/>
        <w:contextualSpacing/>
        <w:rPr>
          <w:rFonts w:cs="Calibri" w:cstheme="minorAscii"/>
          <w:color w:val="000000" w:themeColor="text1" w:themeTint="FF" w:themeShade="FF"/>
        </w:rPr>
      </w:pPr>
    </w:p>
    <w:p w:rsidR="06C52181" w:rsidP="06C52181" w:rsidRDefault="06C52181" w14:paraId="49FADBF9" w14:textId="53C87F2B">
      <w:pPr>
        <w:spacing w:after="0" w:line="480" w:lineRule="auto"/>
        <w:ind w:firstLine="720"/>
        <w:contextualSpacing/>
        <w:rPr>
          <w:rFonts w:cs="Calibri" w:cstheme="minorAscii"/>
          <w:color w:val="000000" w:themeColor="text1" w:themeTint="FF" w:themeShade="FF"/>
        </w:rPr>
      </w:pPr>
    </w:p>
    <w:p w:rsidR="06C52181" w:rsidP="06C52181" w:rsidRDefault="06C52181" w14:paraId="1AF3CFD2" w14:textId="4D9CEB6C">
      <w:pPr>
        <w:spacing w:after="0" w:line="480" w:lineRule="auto"/>
        <w:ind w:firstLine="720"/>
        <w:contextualSpacing/>
        <w:rPr>
          <w:rFonts w:cs="Calibri" w:cstheme="minorAscii"/>
          <w:color w:val="000000" w:themeColor="text1" w:themeTint="FF" w:themeShade="FF"/>
        </w:rPr>
      </w:pPr>
    </w:p>
    <w:p w:rsidR="06C52181" w:rsidP="06C52181" w:rsidRDefault="06C52181" w14:paraId="7F8CD9CC" w14:textId="2BFA5E86">
      <w:pPr>
        <w:pStyle w:val="Normal"/>
        <w:spacing w:after="0" w:line="480" w:lineRule="auto"/>
        <w:ind w:firstLine="720"/>
        <w:contextualSpacing/>
        <w:rPr>
          <w:rFonts w:cs="Calibri" w:cstheme="minorAscii"/>
          <w:color w:val="000000" w:themeColor="text1" w:themeTint="FF" w:themeShade="FF"/>
        </w:rPr>
      </w:pPr>
    </w:p>
    <w:p w:rsidR="5ECD9814" w:rsidP="06C52181" w:rsidRDefault="5ECD9814" w14:paraId="35D23BC1" w14:textId="749FFD1C">
      <w:pPr>
        <w:pStyle w:val="Normal"/>
        <w:spacing w:after="0" w:line="480" w:lineRule="auto"/>
        <w:ind w:firstLine="0"/>
        <w:contextualSpacing/>
        <w:jc w:val="center"/>
        <w:rPr>
          <w:rFonts w:cs="Calibri" w:cstheme="minorAscii"/>
          <w:b w:val="1"/>
          <w:bCs w:val="1"/>
          <w:color w:val="000000" w:themeColor="text1" w:themeTint="FF" w:themeShade="FF"/>
        </w:rPr>
      </w:pPr>
      <w:r w:rsidRPr="06C52181" w:rsidR="5ECD9814">
        <w:rPr>
          <w:rFonts w:cs="Calibri" w:cstheme="minorAscii"/>
          <w:b w:val="1"/>
          <w:bCs w:val="1"/>
          <w:color w:val="000000" w:themeColor="text1" w:themeTint="FF" w:themeShade="FF"/>
        </w:rPr>
        <w:t>References</w:t>
      </w:r>
      <w:r>
        <w:br/>
      </w:r>
    </w:p>
    <w:p w:rsidR="4532EF4A" w:rsidP="06C52181" w:rsidRDefault="4532EF4A" w14:paraId="691CC3DA" w14:textId="154737F0">
      <w:pPr>
        <w:pStyle w:val="Normal"/>
        <w:spacing w:after="0" w:line="480" w:lineRule="auto"/>
        <w:ind w:firstLine="0"/>
        <w:contextualSpacing/>
        <w:jc w:val="left"/>
        <w:rPr>
          <w:rFonts w:cs="Calibri" w:cstheme="minorAscii"/>
          <w:b w:val="0"/>
          <w:bCs w:val="0"/>
          <w:color w:val="000000" w:themeColor="text1" w:themeTint="FF" w:themeShade="FF"/>
        </w:rPr>
      </w:pPr>
      <w:r w:rsidRPr="06C52181" w:rsidR="4532EF4A">
        <w:rPr>
          <w:rFonts w:cs="Calibri" w:cstheme="minorAscii"/>
          <w:b w:val="0"/>
          <w:bCs w:val="0"/>
          <w:color w:val="000000" w:themeColor="text1" w:themeTint="FF" w:themeShade="FF"/>
        </w:rPr>
        <w:t xml:space="preserve">OWASP. (n.d.). OWASP Secure Coding Practices Quick Reference Guide. </w:t>
      </w:r>
      <w:r w:rsidRPr="06C52181" w:rsidR="4532EF4A">
        <w:rPr>
          <w:rFonts w:cs="Calibri" w:cstheme="minorAscii"/>
          <w:b w:val="0"/>
          <w:bCs w:val="0"/>
          <w:color w:val="000000" w:themeColor="text1" w:themeTint="FF" w:themeShade="FF"/>
        </w:rPr>
        <w:t>https://owasp.org/www-</w:t>
      </w:r>
      <w:r>
        <w:tab/>
      </w:r>
      <w:r>
        <w:tab/>
      </w:r>
      <w:r w:rsidRPr="06C52181" w:rsidR="4532EF4A">
        <w:rPr>
          <w:rFonts w:cs="Calibri" w:cstheme="minorAscii"/>
          <w:b w:val="0"/>
          <w:bCs w:val="0"/>
          <w:color w:val="000000" w:themeColor="text1" w:themeTint="FF" w:themeShade="FF"/>
        </w:rPr>
        <w:t>project-secure-coding-practices-quick-reference-guide/</w:t>
      </w:r>
      <w:r w:rsidRPr="06C52181" w:rsidR="4532EF4A">
        <w:rPr>
          <w:rFonts w:cs="Calibri" w:cstheme="minorAscii"/>
          <w:b w:val="0"/>
          <w:bCs w:val="0"/>
          <w:color w:val="000000" w:themeColor="text1" w:themeTint="FF" w:themeShade="FF"/>
        </w:rPr>
        <w:t xml:space="preserve"> </w:t>
      </w:r>
    </w:p>
    <w:p w:rsidR="06C52181" w:rsidP="06C52181" w:rsidRDefault="06C52181" w14:paraId="622F72EC" w14:textId="07BEAA72">
      <w:pPr>
        <w:pStyle w:val="Normal"/>
        <w:spacing w:after="0" w:line="480" w:lineRule="auto"/>
        <w:ind w:firstLine="0"/>
        <w:contextualSpacing/>
        <w:jc w:val="left"/>
        <w:rPr>
          <w:rFonts w:cs="Calibri" w:cstheme="minorAscii"/>
          <w:b w:val="0"/>
          <w:bCs w:val="0"/>
          <w:color w:val="000000" w:themeColor="text1" w:themeTint="FF" w:themeShade="FF"/>
        </w:rPr>
      </w:pPr>
    </w:p>
    <w:p w:rsidR="4532EF4A" w:rsidP="06C52181" w:rsidRDefault="4532EF4A" w14:paraId="44B3E091" w14:textId="0FBF0906">
      <w:pPr>
        <w:pStyle w:val="Normal"/>
        <w:spacing w:after="0" w:line="480" w:lineRule="auto"/>
        <w:ind w:firstLine="0"/>
        <w:contextualSpacing/>
        <w:jc w:val="left"/>
        <w:rPr>
          <w:b w:val="0"/>
          <w:bCs w:val="0"/>
        </w:rPr>
      </w:pPr>
      <w:r w:rsidRPr="06C52181" w:rsidR="4532EF4A">
        <w:rPr>
          <w:rFonts w:cs="Calibri" w:cstheme="minorAscii"/>
          <w:b w:val="0"/>
          <w:bCs w:val="0"/>
          <w:color w:val="000000" w:themeColor="text1" w:themeTint="FF" w:themeShade="FF"/>
        </w:rPr>
        <w:t xml:space="preserve">OWASP Dependency-Check Maven. (n.d.). Dependency-Check Maven Plug-in. </w:t>
      </w:r>
      <w:r>
        <w:tab/>
      </w:r>
      <w:r>
        <w:tab/>
      </w:r>
      <w:r>
        <w:tab/>
      </w:r>
      <w:r>
        <w:tab/>
      </w:r>
      <w:r w:rsidRPr="06C52181" w:rsidR="4532EF4A">
        <w:rPr>
          <w:rFonts w:cs="Calibri" w:cstheme="minorAscii"/>
          <w:b w:val="0"/>
          <w:bCs w:val="0"/>
          <w:color w:val="000000" w:themeColor="text1" w:themeTint="FF" w:themeShade="FF"/>
        </w:rPr>
        <w:t>https://jeremylong.github.io/DependencyCheck/dependency-check-maven/index.html</w:t>
      </w:r>
    </w:p>
    <w:p w:rsidR="4532EF4A" w:rsidP="06C52181" w:rsidRDefault="4532EF4A" w14:paraId="42F047A5" w14:textId="36C2304F">
      <w:pPr>
        <w:pStyle w:val="Normal"/>
        <w:spacing w:after="0" w:line="480" w:lineRule="auto"/>
        <w:ind w:firstLine="0"/>
        <w:contextualSpacing/>
        <w:jc w:val="left"/>
        <w:rPr>
          <w:rFonts w:cs="Calibri" w:cstheme="minorAscii"/>
          <w:b w:val="0"/>
          <w:bCs w:val="0"/>
          <w:color w:val="000000" w:themeColor="text1" w:themeTint="FF" w:themeShade="FF"/>
        </w:rPr>
      </w:pPr>
      <w:r w:rsidRPr="06C52181" w:rsidR="4532EF4A">
        <w:rPr>
          <w:rFonts w:cs="Calibri" w:cstheme="minorAscii"/>
          <w:b w:val="0"/>
          <w:bCs w:val="0"/>
          <w:color w:val="000000" w:themeColor="text1" w:themeTint="FF" w:themeShade="FF"/>
        </w:rPr>
        <w:t xml:space="preserve"> </w:t>
      </w:r>
    </w:p>
    <w:p w:rsidR="4532EF4A" w:rsidP="06C52181" w:rsidRDefault="4532EF4A" w14:paraId="3F8F1B1E" w14:textId="336ED2B5">
      <w:pPr>
        <w:pStyle w:val="Normal"/>
        <w:spacing w:after="0" w:line="480" w:lineRule="auto"/>
        <w:ind w:firstLine="0"/>
        <w:contextualSpacing/>
        <w:jc w:val="left"/>
        <w:rPr>
          <w:b w:val="0"/>
          <w:bCs w:val="0"/>
        </w:rPr>
      </w:pPr>
      <w:r w:rsidRPr="06C52181" w:rsidR="4532EF4A">
        <w:rPr>
          <w:rFonts w:cs="Calibri" w:cstheme="minorAscii"/>
          <w:b w:val="0"/>
          <w:bCs w:val="0"/>
          <w:color w:val="000000" w:themeColor="text1" w:themeTint="FF" w:themeShade="FF"/>
        </w:rPr>
        <w:t xml:space="preserve">Oracle. (n.d.). Secure Coding Guidelines for Java SE. </w:t>
      </w:r>
      <w:r>
        <w:tab/>
      </w:r>
      <w:r>
        <w:tab/>
      </w:r>
      <w:r>
        <w:tab/>
      </w:r>
      <w:r>
        <w:tab/>
      </w:r>
      <w:r>
        <w:tab/>
      </w:r>
      <w:r>
        <w:tab/>
      </w:r>
      <w:r>
        <w:tab/>
      </w:r>
      <w:r w:rsidRPr="06C52181" w:rsidR="4532EF4A">
        <w:rPr>
          <w:rFonts w:cs="Calibri" w:cstheme="minorAscii"/>
          <w:b w:val="0"/>
          <w:bCs w:val="0"/>
          <w:color w:val="000000" w:themeColor="text1" w:themeTint="FF" w:themeShade="FF"/>
        </w:rPr>
        <w:t>https://www.oracle.com/java/technologies/javase/seccodeguide.html</w:t>
      </w:r>
    </w:p>
    <w:p w:rsidR="4532EF4A" w:rsidP="06C52181" w:rsidRDefault="4532EF4A" w14:paraId="552A8F4B" w14:textId="6D0C8096">
      <w:pPr>
        <w:pStyle w:val="Normal"/>
        <w:spacing w:after="0" w:line="480" w:lineRule="auto"/>
        <w:ind w:firstLine="0"/>
        <w:contextualSpacing/>
        <w:jc w:val="left"/>
        <w:rPr>
          <w:rFonts w:cs="Calibri" w:cstheme="minorAscii"/>
          <w:b w:val="0"/>
          <w:bCs w:val="0"/>
          <w:color w:val="000000" w:themeColor="text1" w:themeTint="FF" w:themeShade="FF"/>
        </w:rPr>
      </w:pPr>
      <w:r w:rsidRPr="06C52181" w:rsidR="4532EF4A">
        <w:rPr>
          <w:rFonts w:cs="Calibri" w:cstheme="minorAscii"/>
          <w:b w:val="0"/>
          <w:bCs w:val="0"/>
          <w:color w:val="000000" w:themeColor="text1" w:themeTint="FF" w:themeShade="FF"/>
        </w:rPr>
        <w:t xml:space="preserve"> </w:t>
      </w:r>
    </w:p>
    <w:p w:rsidR="4532EF4A" w:rsidP="06C52181" w:rsidRDefault="4532EF4A" w14:paraId="7BE280B9" w14:textId="7535A979">
      <w:pPr>
        <w:pStyle w:val="Normal"/>
        <w:spacing w:after="0" w:line="480" w:lineRule="auto"/>
        <w:ind w:firstLine="0"/>
        <w:contextualSpacing/>
        <w:jc w:val="left"/>
        <w:rPr>
          <w:rFonts w:cs="Calibri" w:cstheme="minorAscii"/>
          <w:b w:val="0"/>
          <w:bCs w:val="0"/>
          <w:color w:val="000000" w:themeColor="text1" w:themeTint="FF" w:themeShade="FF"/>
        </w:rPr>
      </w:pPr>
      <w:r w:rsidRPr="06C52181" w:rsidR="4532EF4A">
        <w:rPr>
          <w:rFonts w:cs="Calibri" w:cstheme="minorAscii"/>
          <w:b w:val="0"/>
          <w:bCs w:val="0"/>
          <w:color w:val="000000" w:themeColor="text1" w:themeTint="FF" w:themeShade="FF"/>
        </w:rPr>
        <w:t xml:space="preserve">Detlefsen, A., &amp; </w:t>
      </w:r>
      <w:r w:rsidRPr="06C52181" w:rsidR="4532EF4A">
        <w:rPr>
          <w:rFonts w:cs="Calibri" w:cstheme="minorAscii"/>
          <w:b w:val="0"/>
          <w:bCs w:val="0"/>
          <w:color w:val="000000" w:themeColor="text1" w:themeTint="FF" w:themeShade="FF"/>
        </w:rPr>
        <w:t>Manico</w:t>
      </w:r>
      <w:r w:rsidRPr="06C52181" w:rsidR="4532EF4A">
        <w:rPr>
          <w:rFonts w:cs="Calibri" w:cstheme="minorAscii"/>
          <w:b w:val="0"/>
          <w:bCs w:val="0"/>
          <w:color w:val="000000" w:themeColor="text1" w:themeTint="FF" w:themeShade="FF"/>
        </w:rPr>
        <w:t xml:space="preserve">, J. (2015). Iron-Clad Java: Building Secure Web Applications. McGraw-Hill </w:t>
      </w:r>
      <w:r>
        <w:tab/>
      </w:r>
      <w:r w:rsidRPr="06C52181" w:rsidR="4532EF4A">
        <w:rPr>
          <w:rFonts w:cs="Calibri" w:cstheme="minorAscii"/>
          <w:b w:val="0"/>
          <w:bCs w:val="0"/>
          <w:color w:val="000000" w:themeColor="text1" w:themeTint="FF" w:themeShade="FF"/>
        </w:rPr>
        <w:t>Education. (</w:t>
      </w:r>
      <w:r w:rsidRPr="06C52181" w:rsidR="4532EF4A">
        <w:rPr>
          <w:rFonts w:cs="Calibri" w:cstheme="minorAscii"/>
          <w:b w:val="0"/>
          <w:bCs w:val="0"/>
          <w:color w:val="000000" w:themeColor="text1" w:themeTint="FF" w:themeShade="FF"/>
        </w:rPr>
        <w:t>Chs</w:t>
      </w:r>
      <w:r w:rsidRPr="06C52181" w:rsidR="4532EF4A">
        <w:rPr>
          <w:rFonts w:cs="Calibri" w:cstheme="minorAscii"/>
          <w:b w:val="0"/>
          <w:bCs w:val="0"/>
          <w:color w:val="000000" w:themeColor="text1" w:themeTint="FF" w:themeShade="FF"/>
        </w:rPr>
        <w:t>. 1, 3, 7, 10)</w:t>
      </w:r>
    </w:p>
    <w:sectPr w:rsidRPr="000B05B1" w:rsidR="322AA2CB" w:rsidSect="00F20525">
      <w:headerReference w:type="default" r:id="rId12"/>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525" w:rsidP="002F3F84" w:rsidRDefault="00F20525" w14:paraId="29EC629A" w14:textId="77777777">
      <w:r>
        <w:separator/>
      </w:r>
    </w:p>
  </w:endnote>
  <w:endnote w:type="continuationSeparator" w:id="0">
    <w:p w:rsidR="00F20525" w:rsidP="002F3F84" w:rsidRDefault="00F20525" w14:paraId="5972DA87" w14:textId="77777777">
      <w:r>
        <w:continuationSeparator/>
      </w:r>
    </w:p>
  </w:endnote>
  <w:endnote w:type="continuationNotice" w:id="1">
    <w:p w:rsidR="00F20525" w:rsidRDefault="00F20525" w14:paraId="0B6C9C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EndPr>
      <w:rPr>
        <w:rStyle w:val="PageNumber"/>
      </w:rPr>
    </w:sdtEndPr>
  </w:sdt>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525" w:rsidP="002F3F84" w:rsidRDefault="00F20525" w14:paraId="1DD15878" w14:textId="77777777">
      <w:r>
        <w:separator/>
      </w:r>
    </w:p>
  </w:footnote>
  <w:footnote w:type="continuationSeparator" w:id="0">
    <w:p w:rsidR="00F20525" w:rsidP="002F3F84" w:rsidRDefault="00F20525" w14:paraId="27451882" w14:textId="77777777">
      <w:r>
        <w:continuationSeparator/>
      </w:r>
    </w:p>
  </w:footnote>
  <w:footnote w:type="continuationNotice" w:id="1">
    <w:p w:rsidR="00F20525" w:rsidRDefault="00F20525" w14:paraId="7FCC2B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bookmark int2:bookmarkName="_Int_JVaaVxGF" int2:invalidationBookmarkName="" int2:hashCode="CK4TDNkhICJqgB" int2:id="GUnC9iNL">
      <int2:state int2:type="gram"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49E0"/>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89DB5"/>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590A62"/>
    <w:rsid w:val="04952F50"/>
    <w:rsid w:val="04A36FCB"/>
    <w:rsid w:val="062A43EE"/>
    <w:rsid w:val="06C52181"/>
    <w:rsid w:val="06D1427C"/>
    <w:rsid w:val="06E422F3"/>
    <w:rsid w:val="089FFEE4"/>
    <w:rsid w:val="0983E65B"/>
    <w:rsid w:val="0A4B790F"/>
    <w:rsid w:val="0A4D09AC"/>
    <w:rsid w:val="0A7300DA"/>
    <w:rsid w:val="0AA73686"/>
    <w:rsid w:val="0B1BB49F"/>
    <w:rsid w:val="0B293BFE"/>
    <w:rsid w:val="0C4393C7"/>
    <w:rsid w:val="0D41FE62"/>
    <w:rsid w:val="0D5A47AA"/>
    <w:rsid w:val="0DDF6428"/>
    <w:rsid w:val="0EFD8241"/>
    <w:rsid w:val="0F3E546A"/>
    <w:rsid w:val="0F7B3489"/>
    <w:rsid w:val="0F8B357B"/>
    <w:rsid w:val="0FF327DF"/>
    <w:rsid w:val="0FFCD95C"/>
    <w:rsid w:val="10423CFC"/>
    <w:rsid w:val="109F20B6"/>
    <w:rsid w:val="10B45F15"/>
    <w:rsid w:val="10BC4B30"/>
    <w:rsid w:val="112627AA"/>
    <w:rsid w:val="11361B7C"/>
    <w:rsid w:val="11987D82"/>
    <w:rsid w:val="12183239"/>
    <w:rsid w:val="13092FAB"/>
    <w:rsid w:val="1341079B"/>
    <w:rsid w:val="139BE685"/>
    <w:rsid w:val="14571AB2"/>
    <w:rsid w:val="14871BC7"/>
    <w:rsid w:val="15297F16"/>
    <w:rsid w:val="1565598F"/>
    <w:rsid w:val="15C5A913"/>
    <w:rsid w:val="15DB3374"/>
    <w:rsid w:val="19C8F155"/>
    <w:rsid w:val="1A6D4B70"/>
    <w:rsid w:val="1A79554F"/>
    <w:rsid w:val="1C989808"/>
    <w:rsid w:val="1CC2D389"/>
    <w:rsid w:val="1D2E8CDC"/>
    <w:rsid w:val="1D6F62D2"/>
    <w:rsid w:val="1E7431AE"/>
    <w:rsid w:val="1ED3D48B"/>
    <w:rsid w:val="1EDF6521"/>
    <w:rsid w:val="1F56BAB6"/>
    <w:rsid w:val="1FFE2E4D"/>
    <w:rsid w:val="205AA796"/>
    <w:rsid w:val="209D5CF7"/>
    <w:rsid w:val="20F0DBC6"/>
    <w:rsid w:val="21FDDD1B"/>
    <w:rsid w:val="223C8784"/>
    <w:rsid w:val="23283AA3"/>
    <w:rsid w:val="232FB194"/>
    <w:rsid w:val="2462D138"/>
    <w:rsid w:val="24848B84"/>
    <w:rsid w:val="24D36FEB"/>
    <w:rsid w:val="2511E18D"/>
    <w:rsid w:val="25EED220"/>
    <w:rsid w:val="26675256"/>
    <w:rsid w:val="266F404C"/>
    <w:rsid w:val="26F45CCA"/>
    <w:rsid w:val="27A8D0A5"/>
    <w:rsid w:val="28F5E669"/>
    <w:rsid w:val="2946477E"/>
    <w:rsid w:val="2A12D52F"/>
    <w:rsid w:val="2AC251B7"/>
    <w:rsid w:val="2BAEA590"/>
    <w:rsid w:val="2D2A29C2"/>
    <w:rsid w:val="2EA96B34"/>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03B343"/>
    <w:rsid w:val="3756913F"/>
    <w:rsid w:val="377583DF"/>
    <w:rsid w:val="38024BFC"/>
    <w:rsid w:val="38194386"/>
    <w:rsid w:val="3844EF5D"/>
    <w:rsid w:val="3A52139B"/>
    <w:rsid w:val="3AE236D4"/>
    <w:rsid w:val="3B97FBB7"/>
    <w:rsid w:val="3D8BDAA4"/>
    <w:rsid w:val="415FAE2D"/>
    <w:rsid w:val="41674641"/>
    <w:rsid w:val="43D7C8C5"/>
    <w:rsid w:val="43E6AF7E"/>
    <w:rsid w:val="4532EF4A"/>
    <w:rsid w:val="45934E53"/>
    <w:rsid w:val="459E84D5"/>
    <w:rsid w:val="45DBE961"/>
    <w:rsid w:val="45F5A391"/>
    <w:rsid w:val="46EAAD2A"/>
    <w:rsid w:val="47E7BAB8"/>
    <w:rsid w:val="4827B4B6"/>
    <w:rsid w:val="487B1FD0"/>
    <w:rsid w:val="492CDCD4"/>
    <w:rsid w:val="49681798"/>
    <w:rsid w:val="496B3798"/>
    <w:rsid w:val="497AF940"/>
    <w:rsid w:val="49822283"/>
    <w:rsid w:val="4A470A49"/>
    <w:rsid w:val="4B57DAA5"/>
    <w:rsid w:val="4B62ED36"/>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D3C39BE"/>
    <w:rsid w:val="5EC8E002"/>
    <w:rsid w:val="5ECD9814"/>
    <w:rsid w:val="5F9757B5"/>
    <w:rsid w:val="601306AE"/>
    <w:rsid w:val="602D65CE"/>
    <w:rsid w:val="6087D31B"/>
    <w:rsid w:val="609CBD7A"/>
    <w:rsid w:val="620F83CE"/>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6FD810EA"/>
    <w:rsid w:val="700F95DF"/>
    <w:rsid w:val="701053E2"/>
    <w:rsid w:val="7076DBAE"/>
    <w:rsid w:val="70919B57"/>
    <w:rsid w:val="70A6CD78"/>
    <w:rsid w:val="71E8A27A"/>
    <w:rsid w:val="7223E676"/>
    <w:rsid w:val="7413DA77"/>
    <w:rsid w:val="75EA4AFC"/>
    <w:rsid w:val="760EE13E"/>
    <w:rsid w:val="7657E9EC"/>
    <w:rsid w:val="7701A898"/>
    <w:rsid w:val="776B39B0"/>
    <w:rsid w:val="776C0E91"/>
    <w:rsid w:val="784D86F2"/>
    <w:rsid w:val="7881C1ED"/>
    <w:rsid w:val="79339D6A"/>
    <w:rsid w:val="79E2263A"/>
    <w:rsid w:val="7BA27AEA"/>
    <w:rsid w:val="7BD519BB"/>
    <w:rsid w:val="7C10DD85"/>
    <w:rsid w:val="7D5D4C3C"/>
    <w:rsid w:val="7E060167"/>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102a15d2d9d042a0"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Quinata, Joey</lastModifiedBy>
  <revision>6</revision>
  <dcterms:created xsi:type="dcterms:W3CDTF">2024-02-07T05:59:00.0000000Z</dcterms:created>
  <dcterms:modified xsi:type="dcterms:W3CDTF">2025-09-22T01:38:25.6643918Z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