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PUNCT DE VEDERE AL SOCIETĂȚII CIVILE PRIVIND PROIECTUL B596/2026</w:t>
      </w:r>
    </w:p>
    <w:p>
      <w:pPr>
        <w:pBdr>
          <w:bottom w:val="single" w:color="999999" w:sz="6" w:space="8"/>
        </w:pBdr>
        <w:spacing w:after="300"/>
        <w:jc w:val="center"/>
      </w:pPr>
      <w:r>
        <w:rPr>
          <w:rFonts w:ascii="Calibri" w:cs="Calibri" w:eastAsia="Calibri" w:hAnsi="Calibri"/>
          <w:i/>
          <w:iCs/>
          <w:color w:val="444444"/>
          <w:sz w:val="20"/>
          <w:szCs w:val="20"/>
        </w:rPr>
        <w:t xml:space="preserve">Propunere legislativă pentru modificarea Legii nr.165/2018 privind acordarea biletelor de valoare (Cod Senat: 28032 | Termen dezbatere publică: 27-11-2026)</w:t>
      </w:r>
    </w:p>
    <w:p>
      <w:pPr>
        <w:spacing w:after="200" w:before="200"/>
      </w:pPr>
      <w:r>
        <w:rPr>
          <w:rFonts w:ascii="Calibri" w:cs="Calibri" w:eastAsia="Calibri" w:hAnsi="Calibri"/>
          <w:b/>
          <w:bCs/>
          <w:sz w:val="22"/>
          <w:szCs w:val="22"/>
        </w:rPr>
        <w:t xml:space="preserve">Către: Biroul Permanent al Senatului României și Comisiile permanente sesizate în fond și pentru aviz</w:t>
      </w:r>
    </w:p>
    <w:p>
      <w:pPr>
        <w:spacing w:after="240"/>
        <w:jc w:val="both"/>
      </w:pPr>
      <w:r>
        <w:rPr>
          <w:rFonts w:ascii="Calibri" w:cs="Calibri" w:eastAsia="Calibri" w:hAnsi="Calibri"/>
          <w:sz w:val="22"/>
          <w:szCs w:val="22"/>
        </w:rPr>
        <w:t xml:space="preserve">În cadrul consultării publice organizate de Senatul României și în exercitarea dreptului de petiționare prevăzut de art. 51 din Constituția României, formulăm prezentul punct de vedere tehnic și juridic referitor la propunerea legislativă B596/2026.</w:t>
      </w:r>
    </w:p>
    <w:p>
      <w:pPr>
        <w:pStyle w:val="Heading2"/>
        <w:spacing w:after="120" w:before="240"/>
      </w:pPr>
      <w:r>
        <w:rPr>
          <w:rFonts w:ascii="Calibri" w:cs="Calibri" w:eastAsia="Calibri" w:hAnsi="Calibri"/>
          <w:b/>
          <w:bCs/>
          <w:sz w:val="24"/>
          <w:szCs w:val="24"/>
        </w:rPr>
        <w:t xml:space="preserve">I. Sinteză Executivă</w:t>
      </w:r>
    </w:p>
    <w:p>
      <w:pPr>
        <w:spacing w:after="160"/>
        <w:jc w:val="both"/>
      </w:pPr>
      <w:r>
        <w:rPr>
          <w:rFonts w:ascii="Calibri" w:cs="Calibri" w:eastAsia="Calibri" w:hAnsi="Calibri"/>
          <w:b/>
          <w:bCs/>
          <w:sz w:val="22"/>
          <w:szCs w:val="22"/>
        </w:rPr>
        <w:t xml:space="preserve">Ce susțin inițiatorii: </w:t>
      </w:r>
      <w:r>
        <w:rPr>
          <w:rFonts w:ascii="Calibri" w:cs="Calibri" w:eastAsia="Calibri" w:hAnsi="Calibri"/>
          <w:sz w:val="22"/>
          <w:szCs w:val="22"/>
        </w:rPr>
        <w:t xml:space="preserve">Inițiatorii spun că inflația, majorarea TVA și scumpirea alimentelor au erodat tichetul de 45 lei. Susțin că un plafon de 50 lei ar proteja puterea de cumpărare a circa 3,2 milioane de angajați și ar aduce bugetului circa 1,46 mld lei.</w:t>
      </w:r>
    </w:p>
    <w:p>
      <w:pPr>
        <w:spacing w:after="240"/>
        <w:jc w:val="both"/>
      </w:pPr>
      <w:r>
        <w:rPr>
          <w:rFonts w:ascii="Calibri" w:cs="Calibri" w:eastAsia="Calibri" w:hAnsi="Calibri"/>
          <w:b/>
          <w:bCs/>
          <w:sz w:val="22"/>
          <w:szCs w:val="22"/>
        </w:rPr>
        <w:t xml:space="preserve">Efectul real în practică: </w:t>
      </w:r>
      <w:r>
        <w:rPr>
          <w:rFonts w:ascii="Calibri" w:cs="Calibri" w:eastAsia="Calibri" w:hAnsi="Calibri"/>
          <w:sz w:val="22"/>
          <w:szCs w:val="22"/>
        </w:rPr>
        <w:t xml:space="preserve">Legea schimbă un singur număr: plafonul maxim din art. 14 urcă de la 45 la 50 lei. Angajatorii nu sunt obligați să acorde mai mult, deci niciun salariat nu primește automat ceva în plus. Câștigul bugetar promis presupune că toți angajatorii măresc tichetul și ignoră că firmele pot muta bani din salariu (cu CAS/CAM) în tichete (fără CAS/CAM). Afirmația că măsura nu afectează inflația contrazice chiar argumentul inițiatorilor despre stimularea consumului cu ~4 mld lei/an.</w:t>
      </w:r>
    </w:p>
    <w:p>
      <w:pPr>
        <w:pStyle w:val="Heading2"/>
        <w:spacing w:after="120" w:before="240"/>
      </w:pPr>
      <w:r>
        <w:rPr>
          <w:rFonts w:ascii="Calibri" w:cs="Calibri" w:eastAsia="Calibri" w:hAnsi="Calibri"/>
          <w:b/>
          <w:bCs/>
          <w:sz w:val="24"/>
          <w:szCs w:val="24"/>
        </w:rPr>
        <w:t xml:space="preserve">II. Analiza Tehnică, Constituțională și de Drept European</w:t>
      </w:r>
    </w:p>
    <w:p>
      <w:pPr>
        <w:spacing w:after="160"/>
        <w:jc w:val="both"/>
      </w:pPr>
      <w:r>
        <w:rPr>
          <w:rFonts w:ascii="Calibri" w:cs="Calibri" w:eastAsia="Calibri" w:hAnsi="Calibri"/>
          <w:sz w:val="22"/>
          <w:szCs w:val="22"/>
        </w:rPr>
        <w:t xml:space="preserve">Tehnică legislativă și impactul asupra cetățenilor: Măsură benignă și opțională pentru mediul privat, care permite creșterea tichetului de masă la cel mult 50 lei/zi lucrată. Singura problemă reală este calendarul anacronic din Art. II, care prevede aplicarea din noiembrie 2026, deși legea este încă în consultare publică la finalul aceleiași luni. — Sub aspectul fondului, măsura este constituțională. Însă Art. II alin. (1), prin raportare la data parcurgerii procedurii parlamentare, încalcă art. 15 alin. (2) din Constituție (neretroactivitatea legii civile/fiscale) și art. 1 alin. (5) privind previzibilitatea normei, întrucât potrivit Legii nr. 165/2018 tichetele se transferă salariaților în ultima decadă a lunii anterioare sau în luna în curs, înainte ca această lege să poată intra în vigoare. Nu ridică probleme de compatibilitate cu dreptul Uniunii Europene. Nu restrânge libertatea de stabilire sau libera prestare a serviciilor (Directiva 2018/958 nu este incidentă) și nu introduce reglementări tehnice noi privind serviciile societății informaționale care să impună notificarea TRIS conform Directivei (UE) 2015/1535.</w:t>
      </w:r>
    </w:p>
    <w:p>
      <w:pPr>
        <w:spacing w:after="160"/>
        <w:jc w:val="both"/>
      </w:pPr>
      <w:r>
        <w:rPr>
          <w:rFonts w:ascii="Calibri" w:cs="Calibri" w:eastAsia="Calibri" w:hAnsi="Calibri"/>
          <w:sz w:val="22"/>
          <w:szCs w:val="22"/>
        </w:rPr>
        <w:t xml:space="preserve">Constituționalitate și drept european: Măsura e benignă și opțională: ridică doar plafonul, fără să oblige vreun angajator să plătească mai mult. Are două probleme: data de aplicare este retroactivă (noiembrie 2026), iar calculele bugetare din Expunere sunt umflate și se contrazic între ele. — Art. I este clar și previzibil (art. 1 alin. 5). Problema este art. II alin. (1): legea nu poate intra în vigoare înainte de acordarea drepturilor pe noiembrie 2026, deci aplicarea ar fi retroactivă, contrar art. 15 alin. (2) și art. 78 din Constituție. Ar crea și incertitudine privind impozitul și CASS pentru tichetele deja acordate. Propunerea afectează veniturile bugetare, deci informarea Guvernului este obligatorie (art. 111 alin. 1). Art. 138 alin. (5) este atins doar marginal, fiindcă măsura nu impune cheltuieli obligatorii. Cu data corectată, legea este constituțională. Directiva (UE) 2018/958 nu se aplică, pentru că propunerea nu reglementează accesul la o profesie sau exercitarea ei. Nici TRIS (2015/1535) nu este incidentă: se modifică un plafon fiscal, nu o regulă tehnică pentru servicii ale societății informaționale. Măsura este generală, fără selectivitate relevantă pentru ajutorul de stat. Contează însă cadrul fiscal UE: România se află în procedura de deficit excesiv, iar o cheltuială fiscală suplimentară (venit scutit de CAS/CAM) trebuie evaluată realist și compensată în traiectoria de ajustare.</w:t>
      </w:r>
    </w:p>
    <w:p>
      <w:pPr>
        <w:spacing w:after="160"/>
        <w:jc w:val="both"/>
      </w:pPr>
      <w:r>
        <w:rPr>
          <w:rFonts w:ascii="Calibri" w:cs="Calibri" w:eastAsia="Calibri" w:hAnsi="Calibri"/>
          <w:sz w:val="22"/>
          <w:szCs w:val="22"/>
        </w:rPr>
        <w:t xml:space="preserve">Impact economic și fiscal: Măsură utilă, cu risc redus: permite angajatorilor să ofere tichete mai mari, fără obligații generale de majorare. Aplicarea în timp trebuie clarificată, iar veniturile bugetare promise sunt supraestimate ca certitudine. — Plafonul este clar în sensul art. 1 alin. (5); vulnerabilitatea principală privește tranziția temporală, care trebuie corelată cu neretroactivitatea din art. 15 alin. (2) și intrarea în vigoare potrivit art. 78. Art. 23 alin. (12), privind legalitatea pedepsei, nu ridică o problemă proprie aici: proiectul nu introduce pedepse. Dacă se identifică modificări ale prevederilor bugetare, trebuie respectat art. 111 alin. (1), iar eventualele cheltuieli bugetare noi trebuie examinate potrivit art. 138 alin. (5); majorarea facultativă a plafonului nu dovedește singură încălcarea acestor norme. [Constituția României](https://legislatie.just.ro/Public/DetaliiDocument/47355) Nu rezultă bariere noi la intrarea pe piață, exclusivități sau discriminări între emitenți; creșterea volumelor poate avantaja operatorii existenți, fără să instituie un monopol. Directiva (UE) 2018/958 privește accesul la profesii reglementate și exercitarea lor, astfel că nu impune aici testul său specific. Modificarea plafonului nu stabilește cerințe tehnice și nu reglementează în mod țintit servicii digitale sau AI; suportul electronic al tichetelor nu declanșează singur notificarea TRIS. Aceste concluzii privesc textul analizat. [Directiva 2018/958](https://eur-lex.europa.eu/eli/dir/2018/958/oj/eng), [Directiva 2015/1535](https://eur-lex.europa.eu/legal-content/EN/ALL/?uri=celex%3A32015L1535)</w:t>
      </w:r>
    </w:p>
    <w:p>
      <w:pPr>
        <w:pStyle w:val="Heading2"/>
        <w:spacing w:after="120" w:before="240"/>
      </w:pPr>
      <w:r>
        <w:rPr>
          <w:rFonts w:ascii="Calibri" w:cs="Calibri" w:eastAsia="Calibri" w:hAnsi="Calibri"/>
          <w:b/>
          <w:bCs/>
          <w:sz w:val="24"/>
          <w:szCs w:val="24"/>
        </w:rPr>
        <w:t xml:space="preserve">III. Propunere de Amendare / Reglementare și Argumentare</w:t>
      </w:r>
    </w:p>
    <w:p>
      <w:pPr>
        <w:spacing w:after="160"/>
        <w:jc w:val="both"/>
      </w:pPr>
      <w:r>
        <w:rPr>
          <w:rFonts w:ascii="Calibri" w:cs="Calibri" w:eastAsia="Calibri" w:hAnsi="Calibri"/>
          <w:sz w:val="22"/>
          <w:szCs w:val="22"/>
        </w:rPr>
        <w:t xml:space="preserve">Articol vizat: Art. II alin. (1) și (2) – data de aplicare</w:t>
      </w:r>
    </w:p>
    <w:p>
      <w:pPr>
        <w:spacing w:after="160"/>
        <w:jc w:val="both"/>
      </w:pPr>
      <w:r>
        <w:rPr>
          <w:rFonts w:ascii="Calibri" w:cs="Calibri" w:eastAsia="Calibri" w:hAnsi="Calibri"/>
          <w:sz w:val="22"/>
          <w:szCs w:val="22"/>
        </w:rPr>
        <w:t xml:space="preserve">Conținut propunere: Art. II alin. (1) se modifică: „Prevederile art. I se aplică începând cu drepturile aferente lunii următoare celei în care prezenta lege intră în vigoare.” La alin. (2) se precizează explicit ce plafon se aplică începând cu octombrie 2027.</w:t>
      </w:r>
    </w:p>
    <w:p>
      <w:pPr>
        <w:spacing w:after="160"/>
        <w:jc w:val="both"/>
      </w:pPr>
      <w:r>
        <w:rPr>
          <w:rFonts w:ascii="Calibri" w:cs="Calibri" w:eastAsia="Calibri" w:hAnsi="Calibri"/>
          <w:sz w:val="22"/>
          <w:szCs w:val="22"/>
        </w:rPr>
        <w:t xml:space="preserve">Argumentare: Consultarea se încheie pe 27.11.2026; legea nu poate trece prin ambele Camere și promulgare înainte de acordarea drepturilor pe noiembrie. Aplicarea la drepturi deja acordate ar fi retroactivă (art. 15 alin. 2, art. 78 Constituție) și ar crea incertitudine fiscală (impozit, CASS) pentru angajatori. Data de aplicare trebuie legată de intrarea în vigoare.</w:t>
      </w:r>
    </w:p>
    <w:p>
      <w:pPr>
        <w:spacing w:after="160"/>
        <w:jc w:val="both"/>
      </w:pPr>
      <w:r>
        <w:rPr>
          <w:rFonts w:ascii="Calibri" w:cs="Calibri" w:eastAsia="Calibri" w:hAnsi="Calibri"/>
          <w:sz w:val="22"/>
          <w:szCs w:val="22"/>
        </w:rPr>
        <w:t xml:space="preserve">Observații suplimentare: Estimările din Expunere presupun că toți cei 3,2 mil. beneficiari primesc +5 lei/zi și ignoră înlocuirea salariului cu tichete (fără CAS/CAM), care scade contribuțiile la pensie. Cifrele sunt și contradictorii (TVA: 1,3 mld în text vs 564 mil. în tabel). Solicităm fișă financiară realistă și punctul de vedere al Guvernului (art. 111 Constituție).</w:t>
      </w:r>
    </w:p>
    <w:p>
      <w:pPr>
        <w:pStyle w:val="Heading2"/>
        <w:spacing w:after="120" w:before="280"/>
      </w:pPr>
      <w:r>
        <w:rPr>
          <w:rFonts w:ascii="Calibri" w:cs="Calibri" w:eastAsia="Calibri" w:hAnsi="Calibri"/>
          <w:b/>
          <w:bCs/>
          <w:sz w:val="24"/>
          <w:szCs w:val="24"/>
        </w:rPr>
        <w:t xml:space="preserve">Concluzii și Solicitări Oficiale</w:t>
      </w:r>
    </w:p>
    <w:p>
      <w:pPr>
        <w:pStyle w:val="ListParagraph"/>
        <w:numPr>
          <w:ilvl w:val="0"/>
          <w:numId w:val="1"/>
        </w:numPr>
        <w:spacing w:after="120"/>
      </w:pPr>
      <w:r>
        <w:rPr>
          <w:rFonts w:ascii="Calibri" w:cs="Calibri" w:eastAsia="Calibri" w:hAnsi="Calibri"/>
          <w:b/>
          <w:bCs/>
          <w:sz w:val="22"/>
          <w:szCs w:val="22"/>
        </w:rPr>
        <w:t xml:space="preserve">Având în vedere argumentele de mai sus, solicităm Comisiilor raportoare analizarea prezentelor observații și adoptarea amendamentelor tehnic-legislative propuse.</w:t>
      </w:r>
    </w:p>
    <w:p>
      <w:pPr>
        <w:spacing w:after="120" w:before="360"/>
      </w:pPr>
      <w:r>
        <w:rPr>
          <w:rFonts w:ascii="Calibri" w:cs="Calibri" w:eastAsia="Calibri" w:hAnsi="Calibri"/>
          <w:sz w:val="22"/>
          <w:szCs w:val="22"/>
        </w:rPr>
        <w:t xml:space="preserve">Cu deosebită considerație,</w:t>
      </w:r>
    </w:p>
    <w:p>
      <w:pPr>
        <w:spacing w:after="80"/>
      </w:pPr>
      <w:r>
        <w:rPr>
          <w:rFonts w:ascii="Calibri" w:cs="Calibri" w:eastAsia="Calibri" w:hAnsi="Calibri"/>
          <w:b/>
          <w:bCs/>
          <w:sz w:val="22"/>
          <w:szCs w:val="22"/>
        </w:rPr>
        <w:t xml:space="preserve">Nume și prenume: ……………………………………</w:t>
      </w:r>
    </w:p>
    <w:p>
      <w:r>
        <w:rPr>
          <w:rFonts w:ascii="Calibri" w:cs="Calibri" w:eastAsia="Calibri" w:hAnsi="Calibri"/>
          <w:i/>
          <w:iCs/>
          <w:color w:val="666666"/>
          <w:sz w:val="18"/>
          <w:szCs w:val="18"/>
        </w:rPr>
        <w:t xml:space="preserve">Pregătit cu destrajă.ro, pe baza analizei a trei modele AI • Referință proiect: B596/2026 (Cod Senat 28032)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2026-10-30T15:21:39.642Z</dcterms:created>
  <dcterms:modified xsi:type="dcterms:W3CDTF">2026-10-30T15:21:39.642Z</dcterms:modified>
</cp:coreProperties>
</file>

<file path=docProps/custom.xml><?xml version="1.0" encoding="utf-8"?>
<Properties xmlns="http://schemas.openxmlformats.org/officeDocument/2006/custom-properties" xmlns:vt="http://schemas.openxmlformats.org/officeDocument/2006/docPropsVTypes"/>
</file>