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B597/2026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privind dezvoltarea sigură a sistemelor de inteligență artificială de vârf și prevenirea riscurilor catastrofale pentru cetățeanul român (Cod Senat: 28034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B597/2026.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Inițiatorul spune că cele mai avansate sisteme AI nu mai pot fi controlate în siguranță și că autoreglementarea laboratoarelor a eșuat. Invocă avertismentele lui Hinton și Bengio și un incident din 2026 în care agenți AI ar fi ieșit din mediul de test. Propune ca dezvoltarea și exploatarea acestor sisteme să fie tratate ca activități cu risc intrinsec, supuse autorizării și controlului public.</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Mecanic, legea creează în cadrul ANCOM o Autoritate pentru Siguranța IA și un regim de autorizare (cap. III) pentru cine dezvoltă sau pune în exploatare un „sistem de vârf” în România ori pentru persoane din România, inclusiv laboratoarele străine. Definițiile din art. 3 lit. f)-i) sunt atât de largi încât pot prinde și firmele care doar conectează prin API un model de vârf la propriile aplicații sau îl pun la dispoziția angajaților, iar ajustarea fină a unui model mare poate transforma un IMM în „dezvoltator”. Efect secundar realist: furnizorii globali pot prefera să blocheze accesul din România decât să obțină o autorizație națională peste AI Act, așa cum ChatGPT a fost blocat temporar în Italia în 2023, după o decizie a autorității naționale.</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Deși invocă riscuri globale reale privind siguranța IA, legea creează o barieră națională paralelă cu Regulamentul UE privind IA (AI Act), obligând dezvoltatorii să își divulge secretele comerciale către ANCOM și să înregistreze nealterabil toate datele introduse de utilizatori. Efectul practic ar fi izolarea digitală a României (geoblocking) și împovărarea firmelor IT locale care integrează agenți IA. — Încalcă Art. 148 alin. (2) și (4) din Constituție (prioritatea regulamentelor obligatorii ale UE față de legile interne) prin dublarea competenței exclusive a Comisiei Europene (AI Office) în materia modelelor GPAI cu risc sistemic. Încalcă Art. 1 alin. (5) privind calitatea și previzibilitatea legii prin condiția suspensivă nedeterminată de la Art. 1 alin. (2) („cât timp nu există o metodă validată științific de a garanta că un sistem urmărește exclusiv obiectivele stabilite de oameni”). De asemenea, obligația de stocare integrală și nealterabilă a tuturor datelor de intrare (Art. 3 lit. r) afectează disproporționat dreptul la viață intimă, familială și privată (Art. 26) și libertatea economică (Art. 45). Conflict direct cu Regulamentul (UE) 2024/1689 (AI Act, în special art. 1 alin. 2, Cap. V și art. 88), care armonizează integral normele privind modelele de IA de uz general cu risc sistemic. Încalcă Directiva (UE) 2015/1535 (TRIS) prin lipsa notificării și a perioadei de status-quo pentru reglementări tehnice aplicabile serviciilor digitale, Directiva 2000/31/CE (principiul țării de origine pentru serviciile societății informaționale), Regulamentul (UE) 2016/679 (GDPR - art. 5 alin. 1 lit. c și e privind minimizarea datelor și limitarea stocării, respectiv art. 17 privind dreptul la ștergere) și Directiva (UE) 2016/943 privind protecția secretelor comerciale.</w:t>
      </w:r>
    </w:p>
    <w:p>
      <w:pPr>
        <w:spacing w:after="160"/>
        <w:jc w:val="both"/>
      </w:pPr>
      <w:r>
        <w:rPr>
          <w:rFonts w:ascii="Calibri" w:cs="Calibri" w:eastAsia="Calibri" w:hAnsi="Calibri"/>
          <w:sz w:val="22"/>
          <w:szCs w:val="22"/>
        </w:rPr>
        <w:t xml:space="preserve">Constituționalitate și drept european: E o propunere serioasă, documentată tehnic și cu garanții procedurale reale, despre un risc pe care îl recunosc chiar liderii domeniului. Problema e că definițiile ei pot cere autorizație și firmelor românești care doar folosesc un model prin API, iar un regim național de autorizare se ciocnește de AI Act și de piața unică. — Scopul are temei solid: art. 22, 34 și 1 alin. (3) impun statului obligații pozitive de protecție, iar un regim de autorizare pentru laboratoarele de vârf poate trece testul de proporționalitate din art. 53. Problemele țin de previzibilitate (art. 1 alin. 5). „Punerea în exploatare” acoperă orice conectare la sisteme externe, iar „incidentul grav” include noțiuni vagi. În plus, întinderea regimului depinde de o constatare a Autorității (art. 1 alin. 2), ceea ce mută la o structură administrativă o decizie care ține de legiuitor (art. 61 alin. 1). Dacă infracțiunile din partea neextrasă trimit la praguri stabilite prin acte ale Autorității (art. 6 alin. 4), ele intră în conflict cu art. 23 alin. (12) și art. 73 alin. (3) lit. h), în linia Deciziei CCR nr. 405/2016. Noile atribuții ale ANCOM, autoritate administrativă autonomă, trebuie adoptate prin lege organică (art. 117 alin. 3) și corelate cu OUG nr. 22/2009. Costurile noii structuri cer informarea Guvernului și stabilirea sursei de finanțare (art. 111 alin. 1, art. 138 alin. 5). Libertatea economică (art. 45) e atinsă disproporționat doar prin extinderea regimului asupra simplilor integratori. Riscul major vine din AI Act. Regulamentul (UE) 2024/1689 armonizează complet introducerea pe piață și punerea în funcțiune a sistemelor IA și reglementează direct modelele de uz general cu risc sistemic, supravegheate exclusiv de Comisie (art. 51-55, 88-94). Considerentul 1 exclude restricțiile naționale neprevăzute de regulament. O autorizație națională pentru a pune la dispoziția persoanelor din România un model deja conform AI Act este, în fapt, o condiție de acces pe piață, iar declarațiile din art. 1 alin. (3)-(4) nu înlătură conflictul. Pentru furnizorii stabiliți în alte state membre se aplică și principiul țării de origine din Directiva 2000/31/CE, iar CJUE (C-376/22 Google Ireland) a exclus derogările prin măsuri generale și abstracte. Proiectul conține reglementări tehnice privind servicii ale societății informaționale, deci trebuie notificat prin TRIS (Directiva 2015/1535). Altfel este inaplicabil particularilor (C-194/94 CIA Security). Directiva 2018/958 contează doar dacă legea condiționează activitatea evaluatorilor de calificări profesionale. Pentru regimul de autorizare, testul potrivit este cel din art. 9-10 al Directivei 2006/123/CE și din art. 56 TFUE. Mai trebuie corelate: marcajul de proveniență (lit. s) cu art. 50 AI Act, incidentele cu art. 55 și 73 AI Act și cu NIS2 (OUG nr. 155/2024), jurnalele cu GDPR, iar răspunderea civilă cu Directiva (UE) 2024/2853 privind produsele cu defect, care include software-ul și trebuie transpusă până la 9 decembrie 2026.</w:t>
      </w:r>
    </w:p>
    <w:p>
      <w:pPr>
        <w:spacing w:after="160"/>
        <w:jc w:val="both"/>
      </w:pPr>
      <w:r>
        <w:rPr>
          <w:rFonts w:ascii="Calibri" w:cs="Calibri" w:eastAsia="Calibri" w:hAnsi="Calibri"/>
          <w:sz w:val="22"/>
          <w:szCs w:val="22"/>
        </w:rPr>
        <w:t xml:space="preserve">Impact economic și fiscal: Protecția împotriva riscurilor grave este legitimă, dar proiectul poate ridica bariere financiare și administrative excesive. Sunt necesare amendamente substanțiale privind proporționalitatea și compatibilitatea cu dreptul UE. — Scopul protecției vieții și sănătății este legitim. Riscul privind art. 1 alin. (5) și art. 23 alin. (12) privește previzibilitatea clasificării tehnice care condiționează inclusiv răspunderea penală: elementele esențiale trebuie stabilite prin lege. Restricțiile economice cer examinare prin art. 45 și 135, iar ingerințele în drepturi, prin art. 53. Pentru finanțare trebuie demonstrată suficiența resurselor indicate, potrivit art. 138 alin. (5); informarea Guvernului este obligatorie în ipoteza art. 111 alin. (1). Acestea sunt vulnerabilități de verificat, nu neconstituționalități definitiv constatate. [Constituția](https://www.senat.ro/pagini/constitutia/constitutia.htm). Art. 88 din Regulamentul 2024/1689 rezervă Comisiei supravegherea și aplicarea capitolului V privind modelele de uz general. Clauza de conformitate din art. 1 al proiectului nu înlătură eventualele suprapuneri materiale; invocarea siguranței publice nu constituie o derogare generală de la armonizare. [Regulamentul privind IA](https://eur-lex.europa.eu/legal-content/EN/TXT/?uri=CELEX%3A32024R1689). Directiva 2018/958 se aplică restricțiilor privind profesiile reglementate, nu automat autorizării sistemelor; proporționalitatea barierelor economice rămâne necesară. [Directiva 2018/958](https://eur-lex.europa.eu/eli/dir/2018/958/oj/eng). Normele dedicate serviciilor AI online sunt, în principiu, susceptibile de notificare TRIS: trebuie verificată încadrarea fiecărei dispoziții, notificarea înaintea adoptării și termenul obișnuit de așteptare de trei luni, sub rezerva excepțiilor. Nu afirm că notificarea lipsește. [Directiva 2015/1535, art. 1, 5-7](https://eur-lex.europa.eu/legal-content/EN/ALL/?uri=celex%3A32015L1535).</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3 alin. (1) lit. h) și i)</w:t>
      </w:r>
    </w:p>
    <w:p>
      <w:pPr>
        <w:spacing w:after="160"/>
        <w:jc w:val="both"/>
      </w:pPr>
      <w:r>
        <w:rPr>
          <w:rFonts w:ascii="Calibri" w:cs="Calibri" w:eastAsia="Calibri" w:hAnsi="Calibri"/>
          <w:sz w:val="22"/>
          <w:szCs w:val="22"/>
        </w:rPr>
        <w:t xml:space="preserve">Conținut propunere: Lit. h) se completează cu teza: „Nu este exploatant persoana care integrează, prin interfață de programare, un sistem de vârf autorizat, fără a-i modifica ponderile ori mecanismele de siguranță și în limitele autorizației dezvoltatorului; aceasta are doar obligația de a informa utilizatorii și de a raporta incidentele grave.”</w:t>
      </w:r>
    </w:p>
    <w:p>
      <w:pPr>
        <w:spacing w:after="160"/>
        <w:jc w:val="both"/>
      </w:pPr>
      <w:r>
        <w:rPr>
          <w:rFonts w:ascii="Calibri" w:cs="Calibri" w:eastAsia="Calibri" w:hAnsi="Calibri"/>
          <w:sz w:val="22"/>
          <w:szCs w:val="22"/>
        </w:rPr>
        <w:t xml:space="preserve">Argumentare: Lit. h)-i) fac „exploatant” orice firmă care oferă clienților sau angajaților un serviciu bazat pe un model de vârf, inclusiv IMM-uri care doar apelează o interfață. A autoriza fiecare integrator e disproporționat (art. 45, 53 Constituție; art. 9 Dir. 2006/123) și imprevizibil (art. 1 alin. 5); riscul se controlează la dezvoltator.</w:t>
      </w:r>
    </w:p>
    <w:p>
      <w:pPr>
        <w:spacing w:after="160"/>
        <w:jc w:val="both"/>
      </w:pPr>
      <w:r>
        <w:rPr>
          <w:rFonts w:ascii="Calibri" w:cs="Calibri" w:eastAsia="Calibri" w:hAnsi="Calibri"/>
          <w:sz w:val="22"/>
          <w:szCs w:val="22"/>
        </w:rPr>
        <w:t xml:space="preserve">Observații suplimentare: Proiectul trebuie notificat prin TRIS (Dir. 2015/1535), altfel e inaplicabil particularilor. Necesită informarea Guvernului și sursă de finanțare (art. 111 alin. 1, 138 alin. 5). Jurnalul „integral și nealterabil” (lit. r) reține și ce scriu utilizatorii; trebuie limitat ca durată și acces (art. 5 GDPR). Expunerea să indice surse pentru faptele din septembrie 2026.</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B597/2026 (Cod Senat 28034)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2026-10-30T15:21:39.660Z</dcterms:created>
  <dcterms:modified xsi:type="dcterms:W3CDTF">2026-10-30T15:21:39.660Z</dcterms:modified>
</cp:coreProperties>
</file>

<file path=docProps/custom.xml><?xml version="1.0" encoding="utf-8"?>
<Properties xmlns="http://schemas.openxmlformats.org/officeDocument/2006/custom-properties" xmlns:vt="http://schemas.openxmlformats.org/officeDocument/2006/docPropsVTypes"/>
</file>