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B598/2026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completarea Legii nr.76/2002 privind sistemul asigurărilor pentru șomaj și stimularea ocupării forței de muncă (Cod Senat: 28035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B598/2026.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tinerii pierd facilitățile de transport exact când încep să muncească, iar chiria și naveta îi împiedică să accepte joburi în centrele urbane. Vor să reducă aceste costuri în primii ani de muncă, să încurajeze relocarea și să formalizeze contractele de închiriere.</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Legea dă tinerilor de 18-29 de ani cu salariu net de cel mult 4.000 lei două lucruri, plătite din bugetul de stat timp de maximum 36 de luni: un sprijin lunar pentru chirie de până la 400-600 lei și reducere de 50% la abonamentele de transport local sau feroviar. Pragul de venit e larg: pe datele din 2024 citate chiar în Expunere, salariatul mediu de 20-24 de ani (6.413 lei brut, cca 3.750 lei net) s-ar fi încadrat, deci costul poate fi mare. Textul nu spune ce parte din chirie se acoperă, cine aplică reducerea la transport și cum sunt compensați operatorii. O parte din subvenție poate ajunge la proprietari prin chirii mai mari.</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O măsură socială pozitivă care sprijină tinerii angajați cu salarii mici și stimulează declararea chiriilor la ANAF, dar care conține câteva capcane de redactare (precum penalizarea studenților angajați part-time și efectul de prag abrupt la 4.000 lei net). — Sub raportul Art. 1 alin. (5) din Constituție (claritatea și previzibilitatea legii), există o contradicție internă între interdicția generală de cumul din alin. (2) și interdicțiile specifice din alin. (3) lit. i) și alin. (4) lit. e), precum și o delegare excesivă către normele metodologice (Art. II) a mecanismului de calcul al venitului net lunar și a decontării către operatorii de transport. De asemenea, Art. 138 alin. (5) din Constituție impune indicarea sursei reale de finanțare și fișa financiară, simpla mențiune că sumele se suportă din bugetul de stat fiind insuficientă dacă nu este corelată cu bugetul asigurărilor pentru șomaj gestionat de ANOFM. Măsura este compatibilă cu dreptul UE și se înscrie în obiectivele Garanției pentru Tineret consolidate (Recomandarea Consiliului din octombrie 2020). Nu ridică probleme pe Directiva (UE) 2018/958 (nu reglementează profesii) sau pe Directiva (UE) 2015/1535 (TRIS). În privința operatorilor de transport public și feroviar, mecanismul de decontare prin HG va trebui să respecte Regulamentul (CE) nr. 1370/2007 privind compensațiile de serviciu public.</w:t>
      </w:r>
    </w:p>
    <w:p>
      <w:pPr>
        <w:spacing w:after="160"/>
        <w:jc w:val="both"/>
      </w:pPr>
      <w:r>
        <w:rPr>
          <w:rFonts w:ascii="Calibri" w:cs="Calibri" w:eastAsia="Calibri" w:hAnsi="Calibri"/>
          <w:sz w:val="22"/>
          <w:szCs w:val="22"/>
        </w:rPr>
        <w:t xml:space="preserve">Constituționalitate și drept european: Este o măsură socială utilă. Nu ascunde capcane pentru cetățeni și îi ajută pe tinerii cu salarii mici să se mute aproape de locul de muncă. Problemele țin de redactare și de cost: mecanismul pentru transport e neclar, nu se spune ce parte din chirie se plătește, iar impactul bugetar nu e cuantificat în textul disponibil. — Măsura e compatibilă cu art. 49 alin. (1) (regim special de protecție pentru tineri) și cu art. 47. Diferențierea pe vârstă are o justificare obiectivă și rezonabilă, deci nu ridică probleme serioase pe art. 16. Art. 23 alin. (12) nu e incident, fiindcă legea nu creează sancțiuni. Riscurile reale sunt procedurale și de claritate. Fiind o cheltuială nouă de la bugetul de stat, informarea Guvernului este obligatorie (art. 111 alin. 1), la fel și stabilirea sursei de finanțare (art. 138 alin. 5), iar CCR a sancționat în mod repetat legi adoptate fără acestea. Este nevoie și de fișa financiară (art. 15 din Legea 500/2002 și din Legea 69/2010). Contradicția dintre alin. (2) și alin. (3) lit. i), plus dubla natură a sprijinului pentru transport, afectează previzibilitatea normei (art. 1 alin. 5). E recomandabilă amânarea aplicării până la anul bugetar următor. Directiva 2018/958 nu se aplică, fiindcă nu se reglementează accesul la o profesie. Nici Directiva TRIS 2015/1535 nu se aplică, fiindcă nu există reguli tehnice privind serviciile societății informaționale. Relevante sunt două regulamente. Primul este Reg. (UE) 492/2011, art. 7 alin. (2): sprijinul e un avantaj social pentru lucrători și trebuie acordat egal cetățenilor UE care lucrează în România. Condiția de domiciliu sau reședință în România pentru transport (alin. 4 lit. b) poate exclude lucrătorii frontalieri (CJUE, Giersch, C-20/12). Al doilea este Reg. (CE) 1370/2007, art. 3 alin. (2): o reducere tarifară impusă pentru o categorie de pasageri este o obligație de serviciu public stabilită prin reguli generale. Ea trebuie aplicată nediscriminatoriu tuturor operatorilor și compensată pentru efectul financiar net. Altfel apar riscuri de ajutor de stat și distorsiuni între operatorul feroviar de stat și cei privați.</w:t>
      </w:r>
    </w:p>
    <w:p>
      <w:pPr>
        <w:spacing w:after="160"/>
        <w:jc w:val="both"/>
      </w:pPr>
      <w:r>
        <w:rPr>
          <w:rFonts w:ascii="Calibri" w:cs="Calibri" w:eastAsia="Calibri" w:hAnsi="Calibri"/>
          <w:sz w:val="22"/>
          <w:szCs w:val="22"/>
        </w:rPr>
        <w:t xml:space="preserve">Impact economic și fiscal: Propunerea oferă un sprijin social util, fără taxe, monopoluri sau sancțiuni noi. Riscurile principale sunt regulile incomplete de acordare și finanțarea insuficient detaliată în documentele furnizate. — Obiectivul este compatibil cu protecția socială și sprijinirea tinerilor, potrivit art. 47 și 49. Neclaritățile privind cuantumul, cumulul și aplicarea temporală ridică probleme remediabile de previzibilitate în raport cu art. 1 alin. (5). Diferențele de vârstă, statut profesional și localitate necesită justificări obiective potrivit art. 16, fără a constitui automat discriminare. Art. 23 alin. (12) privește legalitatea pedepselor și nu este incident direct: propunerea nu instituie pedepse. Pentru art. 111 alin. (1) și art. 138 alin. (5), trebuie verificată solicitarea informării Guvernului și fundamentarea finanțării; simpla lipsă a unei estimări în extras nu dovedește neconstituționalitatea. [Constituția României](https://legislatie.just.ro/Public/DetaliiDocument/47355). Evaluarea financiară trebuie verificată și potrivit [art. 15 din Legea nr. 69/2010](https://legislatie.just.ro/Public/DetaliiDocumentAfis/220273). Directiva 2018/958 nu impune aici testul special de proporționalitate: textul nu restrânge accesul la profesii reglementate sau exercitarea lor. [Directiva 2018/958](https://eur-lex.europa.eu/legal-content/RO/TXT/?uri=CELEX:32018L0958). Nu se identifică o obligație TRIS în baza Directivei 2015/1535: propunerea nu introduce reglementări tehnice pentru produse și nu reglementează servicii digitale sau AI. [Directiva 2015/1535](https://eur-lex.europa.eu/legal-content/RO/TXT/?uri=CELEX:32015L1535). Nu rezultă monopoluri sau avantaje rezervate nominal unor operatori. Dacă reducerea transportului este implementată prin obligații tarifare compensate operatorilor, mecanismul trebuie corelat cu Regulamentul 1370/2007, inclusiv transparența parametrilor și evitarea supracompensării. [Regulamentul 1370/2007](https://eur-lex.europa.eu/legal-content/RO/TXT/?uri=CELEX:32007R1370).</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76^6 alin. (1) lit. b) și alin. (4)</w:t>
      </w:r>
    </w:p>
    <w:p>
      <w:pPr>
        <w:spacing w:after="160"/>
        <w:jc w:val="both"/>
      </w:pPr>
      <w:r>
        <w:rPr>
          <w:rFonts w:ascii="Calibri" w:cs="Calibri" w:eastAsia="Calibri" w:hAnsi="Calibri"/>
          <w:sz w:val="22"/>
          <w:szCs w:val="22"/>
        </w:rPr>
        <w:t xml:space="preserve">Conținut propunere: Se precizează că reducerea de 50% se aplică direct la emiterea abonamentului, de toți operatorii feroviari și de transport public, iar statul compensează integral operatorilor diferența, conform art. 3 alin. (2) din Reg. (CE) 1370/2007. La alin. (4), „sprijin financiar lunar” devine „reducerea tarifului”, iar la lit. d) se adaugă „raportat la normă întreagă”.</w:t>
      </w:r>
    </w:p>
    <w:p>
      <w:pPr>
        <w:spacing w:after="160"/>
        <w:jc w:val="both"/>
      </w:pPr>
      <w:r>
        <w:rPr>
          <w:rFonts w:ascii="Calibri" w:cs="Calibri" w:eastAsia="Calibri" w:hAnsi="Calibri"/>
          <w:sz w:val="22"/>
          <w:szCs w:val="22"/>
        </w:rPr>
        <w:t xml:space="preserve">Argumentare: Textul numește aceeași măsură o dată reducere de tarif (alin. 1), o dată sprijin financiar lunar (alin. 4), fără să spună cine aplică reducerea și cine o decontează. Fără obligație pentru toți operatorii și compensare, apar distorsiuni între CFR Călători și operatorii privați și încălcări ale Reg. 1370/2007. Plafonul de venit diferă între alin. (3) și (4).</w:t>
      </w:r>
    </w:p>
    <w:p>
      <w:pPr>
        <w:spacing w:after="160"/>
        <w:jc w:val="both"/>
      </w:pPr>
      <w:r>
        <w:rPr>
          <w:rFonts w:ascii="Calibri" w:cs="Calibri" w:eastAsia="Calibri" w:hAnsi="Calibri"/>
          <w:sz w:val="22"/>
          <w:szCs w:val="22"/>
        </w:rPr>
        <w:t xml:space="preserve">Observații suplimentare: Alin. (6) fixează doar plafoane, nu și ce parte din chirie se acordă (procent, sumă fixă?). Propunem 50% din chirie, în limita plafonului, și indexarea anuală a plafoanelor de 600/500/400 lei și a pragului de 4.000 lei. Condiția de la alin. (3) lit. f) ar trebui să nu excludă tinerii cu o cotă moștenită dintr-o locuință în altă localitate.</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B598/2026 (Cod Senat 28035)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2026-10-30T15:21:39.676Z</dcterms:created>
  <dcterms:modified xsi:type="dcterms:W3CDTF">2026-10-30T15:21:39.676Z</dcterms:modified>
</cp:coreProperties>
</file>

<file path=docProps/custom.xml><?xml version="1.0" encoding="utf-8"?>
<Properties xmlns="http://schemas.openxmlformats.org/officeDocument/2006/custom-properties" xmlns:vt="http://schemas.openxmlformats.org/officeDocument/2006/docPropsVTypes"/>
</file>