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28"/>
          <w:szCs w:val="28"/>
        </w:rPr>
        <w:t xml:space="preserve">PUNCT DE VEDERE AL SOCIETĂȚII CIVILE PRIVIND PROIECTUL B600/2026</w:t>
      </w:r>
    </w:p>
    <w:p>
      <w:pPr>
        <w:pBdr>
          <w:bottom w:val="single" w:color="999999" w:sz="6" w:space="8"/>
        </w:pBdr>
        <w:spacing w:after="300"/>
        <w:jc w:val="center"/>
      </w:pPr>
      <w:r>
        <w:rPr>
          <w:rFonts w:ascii="Calibri" w:cs="Calibri" w:eastAsia="Calibri" w:hAnsi="Calibri"/>
          <w:i/>
          <w:iCs/>
          <w:color w:val="444444"/>
          <w:sz w:val="20"/>
          <w:szCs w:val="20"/>
        </w:rPr>
        <w:t xml:space="preserve">Propunere legislativă pentru modificarea și completarea Ordonanței Guvernului nr.21/1992 privind protecția consumatorilor și a Ordonanței de urgență a Guvernului nr.111/2011 privind comunicațiile electronice, în vederea asigurării stabilității și predictibilității prețului contractual (Cod Senat: 28037 | Termen dezbatere publică: 27-11-2026)</w:t>
      </w:r>
    </w:p>
    <w:p>
      <w:pPr>
        <w:spacing w:after="200" w:before="200"/>
      </w:pPr>
      <w:r>
        <w:rPr>
          <w:rFonts w:ascii="Calibri" w:cs="Calibri" w:eastAsia="Calibri" w:hAnsi="Calibri"/>
          <w:b/>
          <w:bCs/>
          <w:sz w:val="22"/>
          <w:szCs w:val="22"/>
        </w:rPr>
        <w:t xml:space="preserve">Către: Biroul Permanent al Senatului României și Comisiile permanente sesizate în fond și pentru aviz</w:t>
      </w:r>
    </w:p>
    <w:p>
      <w:pPr>
        <w:spacing w:after="240"/>
        <w:jc w:val="both"/>
      </w:pPr>
      <w:r>
        <w:rPr>
          <w:rFonts w:ascii="Calibri" w:cs="Calibri" w:eastAsia="Calibri" w:hAnsi="Calibri"/>
          <w:sz w:val="22"/>
          <w:szCs w:val="22"/>
        </w:rPr>
        <w:t xml:space="preserve">În cadrul consultării publice organizate de Senatul României și în exercitarea dreptului de petiționare prevăzut de art. 51 din Constituția României, formulăm prezentul punct de vedere tehnic și juridic referitor la propunerea legislativă B600/2026.</w:t>
      </w:r>
    </w:p>
    <w:p>
      <w:pPr>
        <w:pStyle w:val="Heading2"/>
        <w:spacing w:after="120" w:before="240"/>
      </w:pPr>
      <w:r>
        <w:rPr>
          <w:rFonts w:ascii="Calibri" w:cs="Calibri" w:eastAsia="Calibri" w:hAnsi="Calibri"/>
          <w:b/>
          <w:bCs/>
          <w:sz w:val="24"/>
          <w:szCs w:val="24"/>
        </w:rPr>
        <w:t xml:space="preserve">I. Sinteză Executivă</w:t>
      </w:r>
    </w:p>
    <w:p>
      <w:pPr>
        <w:spacing w:after="160"/>
        <w:jc w:val="both"/>
      </w:pPr>
      <w:r>
        <w:rPr>
          <w:rFonts w:ascii="Calibri" w:cs="Calibri" w:eastAsia="Calibri" w:hAnsi="Calibri"/>
          <w:b/>
          <w:bCs/>
          <w:sz w:val="22"/>
          <w:szCs w:val="22"/>
        </w:rPr>
        <w:t xml:space="preserve">Ce susțin inițiatorii: </w:t>
      </w:r>
      <w:r>
        <w:rPr>
          <w:rFonts w:ascii="Calibri" w:cs="Calibri" w:eastAsia="Calibri" w:hAnsi="Calibri"/>
          <w:sz w:val="22"/>
          <w:szCs w:val="22"/>
        </w:rPr>
        <w:t xml:space="preserve">Inițiatorul vrea ca, atunci când plătești în lei, să cunoști exact în lei prețul sau tariful unitar înainte să te obligi. Acesta nu ar mai putea crește automat odată cu cursul euro, iar în telecom orice scumpire ar necesita acordul tău expres.</w:t>
      </w:r>
    </w:p>
    <w:p>
      <w:pPr>
        <w:spacing w:after="240"/>
        <w:jc w:val="both"/>
      </w:pPr>
      <w:r>
        <w:rPr>
          <w:rFonts w:ascii="Calibri" w:cs="Calibri" w:eastAsia="Calibri" w:hAnsi="Calibri"/>
          <w:b/>
          <w:bCs/>
          <w:sz w:val="22"/>
          <w:szCs w:val="22"/>
        </w:rPr>
        <w:t xml:space="preserve">Efectul real în practică: </w:t>
      </w:r>
      <w:r>
        <w:rPr>
          <w:rFonts w:ascii="Calibri" w:cs="Calibri" w:eastAsia="Calibri" w:hAnsi="Calibri"/>
          <w:sz w:val="22"/>
          <w:szCs w:val="22"/>
        </w:rPr>
        <w:t xml:space="preserve">Noul art. 10^1 din OG 21/1992 obligă comerciantul să fixeze în lei prețul de bază înainte de semnare sau de plata unui avans nerestituibil. Dacă oferta era doar în valută, conversia se face o singură dată, la cursul BNR. Recalcularea după curs este interzisă sub orice denumire, iar scumpirile rămân posibile doar prin indice oficial convenit (de exemplu inflația), prin acord expres sau prin lege. Efectele secundare: riscul valutar va fi inclus de la început în preț, deci ofertele pot fi puțin mai scumpe, iar clauzele de indexare cu inflația se vor generaliza. Dezvoltatorii și dealerii pot ocoli legea cerând plata direct în euro (alin. 11 lit. d), iar în telecom alin. (5^1) nu spune ce se întâmplă dacă abonatul refuză scumpirea.</w:t>
      </w:r>
    </w:p>
    <w:p>
      <w:pPr>
        <w:pStyle w:val="Heading2"/>
        <w:spacing w:after="120" w:before="240"/>
      </w:pPr>
      <w:r>
        <w:rPr>
          <w:rFonts w:ascii="Calibri" w:cs="Calibri" w:eastAsia="Calibri" w:hAnsi="Calibri"/>
          <w:b/>
          <w:bCs/>
          <w:sz w:val="24"/>
          <w:szCs w:val="24"/>
        </w:rPr>
        <w:t xml:space="preserve">II. Analiza Tehnică, Constituțională și de Drept European</w:t>
      </w:r>
    </w:p>
    <w:p>
      <w:pPr>
        <w:spacing w:after="160"/>
        <w:jc w:val="both"/>
      </w:pPr>
      <w:r>
        <w:rPr>
          <w:rFonts w:ascii="Calibri" w:cs="Calibri" w:eastAsia="Calibri" w:hAnsi="Calibri"/>
          <w:sz w:val="22"/>
          <w:szCs w:val="22"/>
        </w:rPr>
        <w:t xml:space="preserve">Tehnică legislativă și impactul asupra cetățenilor: O propunere legislativă pro-consumator neobișnuit de bine redactată tehnic, care elimină practica facturării în lei la „cursul băncii vânzătorului” și scumpirea unilaterală a abonamentelor telecom prin simpla tăcere a clientului. Deși utilă, legea poate determina comercianții să includă preventiv o marjă de risc în prețul inițial în lei sau să înlocuiască riscul valutar cu clauze de indexare automată cu inflația. — Textul respectă exigențele de calitate și previzibilitate a legii (Art. 1 alin. 5 din Constituție), fiind redactat îngrijit și corelat cu observațiile anterioare ale Consiliului Legislativ. Sub aspectul libertății economice (Art. 45), măsura este proporțională deoarece nu plafonează prețurile sau marjele comerciale, ci reglementează doar moneda de cont în raporturile B2C plătibile în moneda națională (Art. 137 alin. 2). Aplicarea asupra contractelor în curs doar de la prima prelungire sau reînnoire (Art. III alin. 2) respectă principiul neretroactivității legii (Art. 15 alin. 2). Nu încalcă Directiva (UE) 2018/958 (nu introduce restricții privind profesiile reglementate), însă necesită atenție pe două paliere: (1) Directiva (UE) 2018/1972 impune armonizare maximă în sectorul telecom, iar condiționarea oricărei majorări de preț de acordul expres opt-in (chiar și la contractele pe durată nedeterminată) poate fi atacată la CJUE de operatori; (2) Directiva (UE) 2015/1535 (TRIS) și Directiva 2000/31/CE pot fi incidente în cazul platformelor digitale din alte state membre care tarifează conținut digital în euro prin factura operatorilor telecom.</w:t>
      </w:r>
    </w:p>
    <w:p>
      <w:pPr>
        <w:spacing w:after="160"/>
        <w:jc w:val="both"/>
      </w:pPr>
      <w:r>
        <w:rPr>
          <w:rFonts w:ascii="Calibri" w:cs="Calibri" w:eastAsia="Calibri" w:hAnsi="Calibri"/>
          <w:sz w:val="22"/>
          <w:szCs w:val="22"/>
        </w:rPr>
        <w:t xml:space="preserve">Constituționalitate și drept european: Lege pro-consumator, bine scrisă tehnic. Oprește practica „preț în euro, plătibil în lei la cursul băncii” la abonamente, mașini sau locuințe. Riscurile sunt juridice, nu capcane pentru cetățeni: regula acordului expres din telecom poate intra în conflict cu armonizarea maximă din Codul european al comunicațiilor electronice, iar proiectul se suprapune cu PL-x 562/2026. — Proiectul este compatibil în ansamblu cu Constituția. Libertatea economică (art. 45) se exercită „în condițiile legii”, iar restrângerea urmărește un scop legitim, protecția consumatorilor. Măsura este proporțională: nu plafonează prețul și nu fixează marja, ci reglementează doar moneda și momentul în care obligația devine determinată. Claritatea și previzibilitatea (art. 1 alin. 5) sunt în general bune, cu două excepții: noțiunea de „componentă fixă” nu e definită, iar alin. (5^1) din OUG 111/2011 nu spune ce se întâmplă la refuzul consumatorului. Neretroactivitatea (art. 15 alin. 2) e respectată prin aplicarea la contracte noi și la prelungiri, în spiritul art. 102 din Legea nr. 71/2011. Restul art. III e trunchiat în textul disponibil. O eventuală aplicare forțată la contracte în derulare, fără reînnoire, ar trebui verificată atent în lumina jurisprudenței CCR privind intervenția legiuitorului în contracte în curs (de exemplu Decizia nr. 62/2017, privind conversia creditelor în franci elvețieni). Directiva 2018/958 (testul de proporționalitate) nu se aplică, deoarece nu sunt vizate profesii reglementate. Pentru regula generală din OG 21/1992 nu se întrevăd conflicte. Directiva 93/13 privind clauzele abuzive e de armonizare minimă și permite o protecție sporită. Contractele cu consumatori sunt exceptate de la principiul țării de origine din Directiva 2000/31 (anexă), iar comercianții străini care își direcționează activitatea spre România se supun legii române (Regulamentul Roma I, art. 6). Punctul sensibil e telecomul: OUG 111/2011 transpune Directiva (UE) 2018/1972, al cărei art. 101 interzice norme naționale mai stricte sau mai puțin stricte pentru art. 102-115. Art. 105 alin. (4) prevede dreptul de reziliere fără costuri la modificări, nu acordul expres, astfel că alin. (5^1) poate fi contestat. Indexarea după un indice clar convenit e în linie cu CJUE C-326/14 (A1 Telekom Austria). TRIS (Directiva 2015/1535): norma e generală și nu vizează specific serviciile societății informaționale, deci notificarea nu pare obligatorie. Totuși, o notificare de precauție pentru partea de conținut digital și microplăți (art. 50^11 alin. 2) ar elimina riscul de inopozabilitate (CJUE C-194/94 CIA Security). În privința PSD2, facturarea prin operator e deja exceptată (art. 3 lit. l din Directiva 2015/2366), iar proiectul exclude expres serviciul de plată ca atare.</w:t>
      </w:r>
    </w:p>
    <w:p>
      <w:pPr>
        <w:spacing w:after="160"/>
        <w:jc w:val="both"/>
      </w:pPr>
      <w:r>
        <w:rPr>
          <w:rFonts w:ascii="Calibri" w:cs="Calibri" w:eastAsia="Calibri" w:hAnsi="Calibri"/>
          <w:sz w:val="22"/>
          <w:szCs w:val="22"/>
        </w:rPr>
        <w:t xml:space="preserve">Impact economic și fiscal: Propunerea protejează util consumatorii împotriva recalculărilor valutare și păstrează libertatea comercianților de a stabili prețul inițial. Necesită corelări privind sancțiunile, tarifele dependente de consum și compatibilitatea regulilor telecom cu dreptul UE. — Nu identific o neconstituționalitate evidentă a regulii de stabilire a prețului în lei. Protecția consumatorilor poate justifica limitarea libertății contractuale, cu respectarea libertății economice și a concurenței, potrivit art. 45 și 135. Art. 1 alin. (5) impune corelarea obligațiilor cu sancțiunile și clarificarea aplicării în timp; art. 15 alin. (2) interzice retroactivitatea, fără a exclude automat reguli pentru efectele viitoare ale contractelor existente. Art. 23 alin. (12) privește legalitatea pedepsei penale: proiectul instituie contravenții, pentru care reperul central aici este previzibilitatea cerută de art. 1 alin. (5). [Constituția României](https://legislatie.just.ro/Public/DetaliiDocument/47355) Directiva 2018/958 privește accesul la profesii reglementate și exercitarea lor; proiectul nu introduce asemenea condiții, deci testul său special nu este aplicabil. [Art. 2](https://eur-lex.europa.eu/legal-content/EN/ALL/?uri=CELEX%3A32018L0958) Problema UE principală este raportul dintre acordul expres cerut în telecom și armonizarea deplină din art. 101, coroborat cu mecanismul notificării și încetării din art. 105 alin. (4) al Directivei 2018/1972: este necesară o justificare juridică, nu prezumția că orice protecție suplimentară este permisă. [Codul european al comunicațiilor](https://eur-lex.europa.eu/legal-content/EN/TXT/?qid=1579606892488&amp;uri=CELEX%3A32018L1972) TRIS nu devine obligatoriu doar fiindcă sunt menționate servicii digitale. Trebuie analizate distinct dispozițiile care le vizează explicit, potrivit art. 1 alin. (1) lit. e), și excepția pentru materiile telecom acoperite de legislația UE, de la alin. (3); dacă există norme notificabile, se aplică art. 5–6. Extrasul nu dovedește lipsa notificării. Proiectul nu reglementează specific AI. [Directiva 2015/1535](https://eur-lex.europa.eu/legal-content/EN/ALL/?uri=celex%3A32015L1535)</w:t>
      </w:r>
    </w:p>
    <w:p>
      <w:pPr>
        <w:pStyle w:val="Heading2"/>
        <w:spacing w:after="120" w:before="240"/>
      </w:pPr>
      <w:r>
        <w:rPr>
          <w:rFonts w:ascii="Calibri" w:cs="Calibri" w:eastAsia="Calibri" w:hAnsi="Calibri"/>
          <w:b/>
          <w:bCs/>
          <w:sz w:val="24"/>
          <w:szCs w:val="24"/>
        </w:rPr>
        <w:t xml:space="preserve">III. Propunere de Amendare / Reglementare și Argumentare</w:t>
      </w:r>
    </w:p>
    <w:p>
      <w:pPr>
        <w:spacing w:after="160"/>
        <w:jc w:val="both"/>
      </w:pPr>
      <w:r>
        <w:rPr>
          <w:rFonts w:ascii="Calibri" w:cs="Calibri" w:eastAsia="Calibri" w:hAnsi="Calibri"/>
          <w:sz w:val="22"/>
          <w:szCs w:val="22"/>
        </w:rPr>
        <w:t xml:space="preserve">Articol vizat: Art. II pct. 3 – art. 59^11 alin. (5^1)</w:t>
      </w:r>
    </w:p>
    <w:p>
      <w:pPr>
        <w:spacing w:after="160"/>
        <w:jc w:val="both"/>
      </w:pPr>
      <w:r>
        <w:rPr>
          <w:rFonts w:ascii="Calibri" w:cs="Calibri" w:eastAsia="Calibri" w:hAnsi="Calibri"/>
          <w:sz w:val="22"/>
          <w:szCs w:val="22"/>
        </w:rPr>
        <w:t xml:space="preserve">Conținut propunere: Se completează alin. (5^1) cu o teză finală: „Dacă consumatorul nu își exprimă acordul, contractul continuă la prețul inițial până la expirarea perioadei minime; la contractele pe durată nedeterminată, furnizorul îl poate denunța cu un preaviz de 30 de zile, fără costuri pentru consumator.”</w:t>
      </w:r>
    </w:p>
    <w:p>
      <w:pPr>
        <w:spacing w:after="160"/>
        <w:jc w:val="both"/>
      </w:pPr>
      <w:r>
        <w:rPr>
          <w:rFonts w:ascii="Calibri" w:cs="Calibri" w:eastAsia="Calibri" w:hAnsi="Calibri"/>
          <w:sz w:val="22"/>
          <w:szCs w:val="22"/>
        </w:rPr>
        <w:t xml:space="preserve">Argumentare: Textul nu spune ce se întâmplă dacă abonatul refuză majorarea, ceea ce lasă loc de litigii și presiuni (suspendare, migrare forțată pe alt plan). O regulă clară protejează consumatorul și reduce riscul de conflict cu Directiva (UE) 2018/1972 (art. 101 și 105), care armonizează maximal drepturile utilizatorilor finali.</w:t>
      </w:r>
    </w:p>
    <w:p>
      <w:pPr>
        <w:spacing w:after="160"/>
        <w:jc w:val="both"/>
      </w:pPr>
      <w:r>
        <w:rPr>
          <w:rFonts w:ascii="Calibri" w:cs="Calibri" w:eastAsia="Calibri" w:hAnsi="Calibri"/>
          <w:sz w:val="22"/>
          <w:szCs w:val="22"/>
        </w:rPr>
        <w:t xml:space="preserve">Observații suplimentare: Art. 10^1 se aplică doar dacă operatorul cere plata în lei; excepția de la alin. (11) lit. d) permite ocolirea prin cererea plății în euro (auto, imobiliare), cu comisionul de schimb mutat la banca clientului. Trebuie corelat cu PL-x 562/2026, ca să nu existe două regimuri diferite pentru aceeași factură în valută.</w:t>
      </w:r>
    </w:p>
    <w:p>
      <w:pPr>
        <w:pStyle w:val="Heading2"/>
        <w:spacing w:after="120" w:before="280"/>
      </w:pPr>
      <w:r>
        <w:rPr>
          <w:rFonts w:ascii="Calibri" w:cs="Calibri" w:eastAsia="Calibri" w:hAnsi="Calibri"/>
          <w:b/>
          <w:bCs/>
          <w:sz w:val="24"/>
          <w:szCs w:val="24"/>
        </w:rPr>
        <w:t xml:space="preserve">Concluzii și Solicitări Oficiale</w:t>
      </w:r>
    </w:p>
    <w:p>
      <w:pPr>
        <w:pStyle w:val="ListParagraph"/>
        <w:numPr>
          <w:ilvl w:val="0"/>
          <w:numId w:val="1"/>
        </w:numPr>
        <w:spacing w:after="120"/>
      </w:pPr>
      <w:r>
        <w:rPr>
          <w:rFonts w:ascii="Calibri" w:cs="Calibri" w:eastAsia="Calibri" w:hAnsi="Calibri"/>
          <w:b/>
          <w:bCs/>
          <w:sz w:val="22"/>
          <w:szCs w:val="22"/>
        </w:rPr>
        <w:t xml:space="preserve">Având în vedere argumentele de mai sus, solicităm Comisiilor raportoare analizarea prezentelor observații și adoptarea amendamentelor tehnic-legislative propuse.</w:t>
      </w:r>
    </w:p>
    <w:p>
      <w:pPr>
        <w:spacing w:after="120" w:before="360"/>
      </w:pPr>
      <w:r>
        <w:rPr>
          <w:rFonts w:ascii="Calibri" w:cs="Calibri" w:eastAsia="Calibri" w:hAnsi="Calibri"/>
          <w:sz w:val="22"/>
          <w:szCs w:val="22"/>
        </w:rPr>
        <w:t xml:space="preserve">Cu deosebită considerație,</w:t>
      </w:r>
    </w:p>
    <w:p>
      <w:pPr>
        <w:spacing w:after="80"/>
      </w:pPr>
      <w:r>
        <w:rPr>
          <w:rFonts w:ascii="Calibri" w:cs="Calibri" w:eastAsia="Calibri" w:hAnsi="Calibri"/>
          <w:b/>
          <w:bCs/>
          <w:sz w:val="22"/>
          <w:szCs w:val="22"/>
        </w:rPr>
        <w:t xml:space="preserve">Nume și prenume: ……………………………………</w:t>
      </w:r>
    </w:p>
    <w:p>
      <w:r>
        <w:rPr>
          <w:rFonts w:ascii="Calibri" w:cs="Calibri" w:eastAsia="Calibri" w:hAnsi="Calibri"/>
          <w:i/>
          <w:iCs/>
          <w:color w:val="666666"/>
          <w:sz w:val="18"/>
          <w:szCs w:val="18"/>
        </w:rPr>
        <w:t xml:space="preserve">Pregătit cu destrajă.ro, pe baza analizei a trei modele AI • Referință proiect: B600/2026 (Cod Senat 28037)</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2026-10-30T15:21:39.708Z</dcterms:created>
  <dcterms:modified xsi:type="dcterms:W3CDTF">2026-10-30T15:21:39.708Z</dcterms:modified>
</cp:coreProperties>
</file>

<file path=docProps/custom.xml><?xml version="1.0" encoding="utf-8"?>
<Properties xmlns="http://schemas.openxmlformats.org/officeDocument/2006/custom-properties" xmlns:vt="http://schemas.openxmlformats.org/officeDocument/2006/docPropsVTypes"/>
</file>