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PUNCT DE VEDERE AL SOCIETĂȚII CIVILE PRIVIND PROIECTUL B601/2026</w:t>
      </w:r>
    </w:p>
    <w:p>
      <w:pPr>
        <w:pBdr>
          <w:bottom w:val="single" w:color="999999" w:sz="6" w:space="8"/>
        </w:pBdr>
        <w:spacing w:after="300"/>
        <w:jc w:val="center"/>
      </w:pPr>
      <w:r>
        <w:rPr>
          <w:rFonts w:ascii="Calibri" w:cs="Calibri" w:eastAsia="Calibri" w:hAnsi="Calibri"/>
          <w:i/>
          <w:iCs/>
          <w:color w:val="444444"/>
          <w:sz w:val="20"/>
          <w:szCs w:val="20"/>
        </w:rPr>
        <w:t xml:space="preserve">Propunere legislativă pentru completarea Legii nr.69/2000 a educației fizice și sportului (Cod Senat: 28038 | Termen dezbatere publică: 27-11-2026)</w:t>
      </w:r>
    </w:p>
    <w:p>
      <w:pPr>
        <w:spacing w:after="200" w:before="200"/>
      </w:pPr>
      <w:r>
        <w:rPr>
          <w:rFonts w:ascii="Calibri" w:cs="Calibri" w:eastAsia="Calibri" w:hAnsi="Calibri"/>
          <w:b/>
          <w:bCs/>
          <w:sz w:val="22"/>
          <w:szCs w:val="22"/>
        </w:rPr>
        <w:t xml:space="preserve">Către: Biroul Permanent al Senatului României și Comisiile permanente sesizate în fond și pentru aviz</w:t>
      </w:r>
    </w:p>
    <w:p>
      <w:pPr>
        <w:spacing w:after="240"/>
        <w:jc w:val="both"/>
      </w:pPr>
      <w:r>
        <w:rPr>
          <w:rFonts w:ascii="Calibri" w:cs="Calibri" w:eastAsia="Calibri" w:hAnsi="Calibri"/>
          <w:sz w:val="22"/>
          <w:szCs w:val="22"/>
        </w:rPr>
        <w:t xml:space="preserve">În cadrul consultării publice organizate de Senatul României și în exercitarea dreptului de petiționare prevăzut de art. 51 din Constituția României, formulăm prezentul punct de vedere tehnic și juridic referitor la propunerea legislativă B601/2026.</w:t>
      </w:r>
    </w:p>
    <w:p>
      <w:pPr>
        <w:pStyle w:val="Heading2"/>
        <w:spacing w:after="120" w:before="240"/>
      </w:pPr>
      <w:r>
        <w:rPr>
          <w:rFonts w:ascii="Calibri" w:cs="Calibri" w:eastAsia="Calibri" w:hAnsi="Calibri"/>
          <w:b/>
          <w:bCs/>
          <w:sz w:val="24"/>
          <w:szCs w:val="24"/>
        </w:rPr>
        <w:t xml:space="preserve">I. Sinteză Executivă</w:t>
      </w:r>
    </w:p>
    <w:p>
      <w:pPr>
        <w:spacing w:after="160"/>
        <w:jc w:val="both"/>
      </w:pPr>
      <w:r>
        <w:rPr>
          <w:rFonts w:ascii="Calibri" w:cs="Calibri" w:eastAsia="Calibri" w:hAnsi="Calibri"/>
          <w:b/>
          <w:bCs/>
          <w:sz w:val="22"/>
          <w:szCs w:val="22"/>
        </w:rPr>
        <w:t xml:space="preserve">Ce susțin inițiatorii: </w:t>
      </w:r>
      <w:r>
        <w:rPr>
          <w:rFonts w:ascii="Calibri" w:cs="Calibri" w:eastAsia="Calibri" w:hAnsi="Calibri"/>
          <w:sz w:val="22"/>
          <w:szCs w:val="22"/>
        </w:rPr>
        <w:t xml:space="preserve">Inițiatorii spun că România nu are o infracțiune specifică pentru aranjarea meciurilor. Din acest motiv, procurorii lucrează cu încadrări indirecte (corupție, înșelăciune). Legislația ar trebui adaptată înainte de ratificarea Convenției de la Macolin, pe care, potrivit Expunerii, România a semnat-o în 2024.</w:t>
      </w:r>
    </w:p>
    <w:p>
      <w:pPr>
        <w:spacing w:after="240"/>
        <w:jc w:val="both"/>
      </w:pPr>
      <w:r>
        <w:rPr>
          <w:rFonts w:ascii="Calibri" w:cs="Calibri" w:eastAsia="Calibri" w:hAnsi="Calibri"/>
          <w:b/>
          <w:bCs/>
          <w:sz w:val="22"/>
          <w:szCs w:val="22"/>
        </w:rPr>
        <w:t xml:space="preserve">Efectul real în practică: </w:t>
      </w:r>
      <w:r>
        <w:rPr>
          <w:rFonts w:ascii="Calibri" w:cs="Calibri" w:eastAsia="Calibri" w:hAnsi="Calibri"/>
          <w:sz w:val="22"/>
          <w:szCs w:val="22"/>
        </w:rPr>
        <w:t xml:space="preserve">Articolul unic introduce art. 93¹ în Legea nr. 69/2000. Sportivii, antrenorii, arbitrii, conducătorii de cluburi, agenții, personalul organizatorilor și alte persoane care cer, primesc sau acceptă foloase ca să trucheze un rezultat sau un incident de joc riscă 2-8 ani de închisoare, la fel ca cei care le oferă mita. Mituitorul care denunță fapta la timp nu se pedepsește, iar bunurile se confiscă. În fond, textul reîmpachetează mita din sectorul privat (art. 289-290 raportat la art. 308 C.pen.) într-o normă specială, cu pedepse mai mari, mai ales pentru mituitor. Nu acoperă însă trucarea prin amenințări sau fără mită, nici pariurile și informațiile privilegiate invocate în Expunere. Expunerea vorbește de o infracțiune în Codul penal, dar textul modifică Legea sportului.</w:t>
      </w:r>
    </w:p>
    <w:p>
      <w:pPr>
        <w:pStyle w:val="Heading2"/>
        <w:spacing w:after="120" w:before="240"/>
      </w:pPr>
      <w:r>
        <w:rPr>
          <w:rFonts w:ascii="Calibri" w:cs="Calibri" w:eastAsia="Calibri" w:hAnsi="Calibri"/>
          <w:b/>
          <w:bCs/>
          <w:sz w:val="24"/>
          <w:szCs w:val="24"/>
        </w:rPr>
        <w:t xml:space="preserve">II. Analiza Tehnică, Constituțională și de Drept European</w:t>
      </w:r>
    </w:p>
    <w:p>
      <w:pPr>
        <w:spacing w:after="160"/>
        <w:jc w:val="both"/>
      </w:pPr>
      <w:r>
        <w:rPr>
          <w:rFonts w:ascii="Calibri" w:cs="Calibri" w:eastAsia="Calibri" w:hAnsi="Calibri"/>
          <w:sz w:val="22"/>
          <w:szCs w:val="22"/>
        </w:rPr>
        <w:t xml:space="preserve">Tehnică legislativă și impactul asupra cetățenilor: Obiectivul legii este legitim și necesar pentru combaterea blatului în sport (Convenția de la Macolin), însă redactarea tehnică este deficitară: califică greșit o lege penală drept lege ordinară, folosește termeni vagi neconstituționali și uită să incrimineze chiar cazul în care sportivul sau arbitrul pariază singur împotriva propriei echipe. — Risc ridicat de neconstituționalitate extrinsecă dacă este adoptată conform formulei propuse (art. 76 alin. 2 - lege ordinară), întrucât art. 73 alin. (3) lit. h) din Constituție impune lege organică pentru reglementarea infracțiunilor. Sub aspect intrinsec, sintagmele deschise „altor persoane care desfășoară activități împreună cu sportivii” și „altor persoane acreditate” (plus erorile gramaticale „arbitrii, membrii ai...”) contravin principiului legalității incriminării (lex certa) prevăzut de art. 1 alin. (5) și art. 23 alin. (12) din Constituție. Proiectul nu ridică probleme pe Directiva (UE) 2018/958 sau Directiva TRIS 2015/1535, ci urmărește transpunerea standardelor Convenției Consiliului Europei privind manipularea competițiilor sportive (Convenția de la Macolin, 2014). Totuși, transpunerea este incompletă față de art. 3 și art. 15 din Convenție, deoarece condiționează infracțiunea exclusiv de existența unui act de corupție (pretindere/primire/oferire de foloase).</w:t>
      </w:r>
    </w:p>
    <w:p>
      <w:pPr>
        <w:spacing w:after="160"/>
        <w:jc w:val="both"/>
      </w:pPr>
      <w:r>
        <w:rPr>
          <w:rFonts w:ascii="Calibri" w:cs="Calibri" w:eastAsia="Calibri" w:hAnsi="Calibri"/>
          <w:sz w:val="22"/>
          <w:szCs w:val="22"/>
        </w:rPr>
        <w:t xml:space="preserve">Constituționalitate și drept european: Lege utilă și legitimă: transformă aranjarea meciurilor prin mită într-o infracțiune clară, pedepsită cu 2-8 ani de închisoare. Problemele sunt de redactare, nu de fond: pedeapsa e formulată echivoc, tentativa e incriminată fără sens, iar formula de adoptare e greșită (lege ordinară în loc de organică). — Pe fond, incriminarea mitei în sport e o opțiune legitimă de politică penală și nu restrânge drepturi fundamentale. Riscurile țin de calitatea legii (art. 1 alin. (5)) și de legalitatea pedepsei (art. 23 alin. (12)): pedeapsa echivocă «...sau amendă», conjuncția «precum și» din descrierea scopului și categoria deschisă de la alin. (2) lit. b). Pedeapsa mai mare pentru mituitorul din sport decât pentru cel al unui funcționar public poate fi criticată ca disproporționată, deși CCR lasă legiuitorului o marjă largă în stabilirea pedepselor. Caracterul organic (art. 73 alin. (3) lit. h)) impune adoptarea conform art. 76 alin. (1), nu alin. (2), cum indică formula finală. Directiva (UE) 2018/958 nu se aplică, pentru că textul nu reglementează accesul la o profesie sau exercitarea ei. Nici Directiva (UE) 2015/1535 (TRIS) nu se aplică: nu există reguli tehnice sau reguli privind serviciile societății informaționale, iar operatorilor de pariuri nu li se impun obligații. Textul e compatibil cu Decizia-cadru 2003/568/JAI privind corupția în sectorul privat, pe care o extinde în zona sportului. Sportul profesionist e activitate economică (C-519/04 P, Meca-Medina), dar o normă penală anticorupție aplicată nediscriminatoriu nu restrânge libera circulație și nu afectează concurența.</w:t>
      </w:r>
    </w:p>
    <w:p>
      <w:pPr>
        <w:spacing w:after="160"/>
        <w:jc w:val="both"/>
      </w:pPr>
      <w:r>
        <w:rPr>
          <w:rFonts w:ascii="Calibri" w:cs="Calibri" w:eastAsia="Calibri" w:hAnsi="Calibri"/>
          <w:sz w:val="22"/>
          <w:szCs w:val="22"/>
        </w:rPr>
        <w:t xml:space="preserve">Impact economic și fiscal: Protejarea sportului de meciuri aranjate este utilă, dar proiectul necesită corecturi înainte de adoptare. Principalele probleme sunt formula greșită pentru adoptarea unei legi penale și delimitarea insuficientă a persoanelor și faptelor sancționate. — Scopul protejării integrității sportului este legitim. Există însă riscuri de previzibilitate raportate la art. 1 alin. (5) și art. 23 alin. (12), mai ales privind extinderea subiecților activi și delimitarea conduitei incriminate. Problema procedurală principală este trimiterea la majoritatea pentru legi ordinare: norma penală necesită majoritatea membrilor fiecărei Camere, conform art. 73 alin. (3) lit. h) și art. 76 alin. (1). Neconstituționalitatea procedurală ar interveni dacă adoptarea efectivă nu respectă cerințele constituționale; mențiunea greșită din proiect este un defect remediabil. [Constituția României](https://legislatie.just.ro/Public/DetaliiDocument/47355?isFormaDeBaza=True). Directiva (UE) 2018/958 privește restricțiile asupra accesului la profesii reglementate și exercitării acestora în cadrul Directivei 2005/36/CE. Incriminarea coruperii participanților la competiții nu introduce condiții de calificare sau acces profesional; din text nu rezultă obligația unui test în temeiul acestei directive. [Directiva 2018/958, art. 2](https://eur-lex.europa.eu/legal-content/RO/TXT/?uri=CELEX:32018L0958). Nu sunt reglementate specific servicii digitale, AI sau cerințe tehnice pentru produse, astfel că nu se identifică un temei pentru notificare TRIS. Simpla posibilitate a pariurilor online nu schimbă această concluzie. [Directiva 2015/1535, art. 1](https://eur-lex.europa.eu/legal-content/RO/TXT/?uri=CELEX:32015L1535). Nu se observă discriminări după naționalitate sau avantaje exclusive pentru operatori; proporționalitatea sancțiunilor necesită totuși justificare.</w:t>
      </w:r>
    </w:p>
    <w:p>
      <w:pPr>
        <w:pStyle w:val="Heading2"/>
        <w:spacing w:after="120" w:before="240"/>
      </w:pPr>
      <w:r>
        <w:rPr>
          <w:rFonts w:ascii="Calibri" w:cs="Calibri" w:eastAsia="Calibri" w:hAnsi="Calibri"/>
          <w:b/>
          <w:bCs/>
          <w:sz w:val="24"/>
          <w:szCs w:val="24"/>
        </w:rPr>
        <w:t xml:space="preserve">III. Propunere de Amendare / Reglementare și Argumentare</w:t>
      </w:r>
    </w:p>
    <w:p>
      <w:pPr>
        <w:spacing w:after="160"/>
        <w:jc w:val="both"/>
      </w:pPr>
      <w:r>
        <w:rPr>
          <w:rFonts w:ascii="Calibri" w:cs="Calibri" w:eastAsia="Calibri" w:hAnsi="Calibri"/>
          <w:sz w:val="22"/>
          <w:szCs w:val="22"/>
        </w:rPr>
        <w:t xml:space="preserve">Articol vizat: Art. unic, art. 93¹ alin. (1), (2) lit. b), (4)</w:t>
      </w:r>
    </w:p>
    <w:p>
      <w:pPr>
        <w:spacing w:after="160"/>
        <w:jc w:val="both"/>
      </w:pPr>
      <w:r>
        <w:rPr>
          <w:rFonts w:ascii="Calibri" w:cs="Calibri" w:eastAsia="Calibri" w:hAnsi="Calibri"/>
          <w:sz w:val="22"/>
          <w:szCs w:val="22"/>
        </w:rPr>
        <w:t xml:space="preserve">Conținut propunere: Alin. (1): pedeapsa să fie «închisoarea de la 2 la 7 ani și interzicerea exercitării unor drepturi», fără «sau amendă»; «precum și de a influența» devine «ori de a influența». Alin. (2) lit. b): se elimină «altor persoane care desfășoară activități împreună cu sportivii». Alin. (4) se elimină. Corecturi: «arbitri», «membri», «fapta».</w:t>
      </w:r>
    </w:p>
    <w:p>
      <w:pPr>
        <w:spacing w:after="160"/>
        <w:jc w:val="both"/>
      </w:pPr>
      <w:r>
        <w:rPr>
          <w:rFonts w:ascii="Calibri" w:cs="Calibri" w:eastAsia="Calibri" w:hAnsi="Calibri"/>
          <w:sz w:val="22"/>
          <w:szCs w:val="22"/>
        </w:rPr>
        <w:t xml:space="preserve">Argumentare: Pedeapsa «2-8 ani și interzicerea... sau amendă» e echivocă, contrar art. 1 alin. (5) și art. 23 alin. (12) din Constituție; 2-7 ani o aliniază la darea de mită (art. 290 C.pen.). Mita se consumă la pretindere/ofertă, deci tentativa e inaplicabilă. «Precum și» sugerează scopuri cumulative, excluzând spot-fixing-ul. Formula «altor persoane care desfășoară activități» e vagă.</w:t>
      </w:r>
    </w:p>
    <w:p>
      <w:pPr>
        <w:spacing w:after="160"/>
        <w:jc w:val="both"/>
      </w:pPr>
      <w:r>
        <w:rPr>
          <w:rFonts w:ascii="Calibri" w:cs="Calibri" w:eastAsia="Calibri" w:hAnsi="Calibri"/>
          <w:sz w:val="22"/>
          <w:szCs w:val="22"/>
        </w:rPr>
        <w:t xml:space="preserve">Observații suplimentare: Normă penală = lege organică (art. 73 alin. (3) lit. h) din Constituție); formula finală trebuie să trimită la art. 76 alin. (1), nu la alin. (2), altfel legea e expusă neconstituționalității extrinseci. Textul acoperă doar varianta coruptă; art. 15 din Convenția de la Macolin vizează și practicile coercitive și frauduloase (amenințări, aranjare fără mită).</w:t>
      </w:r>
    </w:p>
    <w:p>
      <w:pPr>
        <w:pStyle w:val="Heading2"/>
        <w:spacing w:after="120" w:before="280"/>
      </w:pPr>
      <w:r>
        <w:rPr>
          <w:rFonts w:ascii="Calibri" w:cs="Calibri" w:eastAsia="Calibri" w:hAnsi="Calibri"/>
          <w:b/>
          <w:bCs/>
          <w:sz w:val="24"/>
          <w:szCs w:val="24"/>
        </w:rPr>
        <w:t xml:space="preserve">Concluzii și Solicitări Oficiale</w:t>
      </w:r>
    </w:p>
    <w:p>
      <w:pPr>
        <w:pStyle w:val="ListParagraph"/>
        <w:numPr>
          <w:ilvl w:val="0"/>
          <w:numId w:val="1"/>
        </w:numPr>
        <w:spacing w:after="120"/>
      </w:pPr>
      <w:r>
        <w:rPr>
          <w:rFonts w:ascii="Calibri" w:cs="Calibri" w:eastAsia="Calibri" w:hAnsi="Calibri"/>
          <w:b/>
          <w:bCs/>
          <w:sz w:val="22"/>
          <w:szCs w:val="22"/>
        </w:rPr>
        <w:t xml:space="preserve">Având în vedere argumentele de mai sus, solicităm Comisiilor raportoare analizarea prezentelor observații și adoptarea amendamentelor tehnic-legislative propuse.</w:t>
      </w:r>
    </w:p>
    <w:p>
      <w:pPr>
        <w:spacing w:after="120" w:before="360"/>
      </w:pPr>
      <w:r>
        <w:rPr>
          <w:rFonts w:ascii="Calibri" w:cs="Calibri" w:eastAsia="Calibri" w:hAnsi="Calibri"/>
          <w:sz w:val="22"/>
          <w:szCs w:val="22"/>
        </w:rPr>
        <w:t xml:space="preserve">Cu deosebită considerație,</w:t>
      </w:r>
    </w:p>
    <w:p>
      <w:pPr>
        <w:spacing w:after="80"/>
      </w:pPr>
      <w:r>
        <w:rPr>
          <w:rFonts w:ascii="Calibri" w:cs="Calibri" w:eastAsia="Calibri" w:hAnsi="Calibri"/>
          <w:b/>
          <w:bCs/>
          <w:sz w:val="22"/>
          <w:szCs w:val="22"/>
        </w:rPr>
        <w:t xml:space="preserve">Nume și prenume: ……………………………………</w:t>
      </w:r>
    </w:p>
    <w:p>
      <w:r>
        <w:rPr>
          <w:rFonts w:ascii="Calibri" w:cs="Calibri" w:eastAsia="Calibri" w:hAnsi="Calibri"/>
          <w:i/>
          <w:iCs/>
          <w:color w:val="666666"/>
          <w:sz w:val="18"/>
          <w:szCs w:val="18"/>
        </w:rPr>
        <w:t xml:space="preserve">Pregătit cu destrajă.ro, pe baza analizei a trei modele AI • Referință proiect: B601/2026 (Cod Senat 28038)</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2026-10-30T15:21:39.727Z</dcterms:created>
  <dcterms:modified xsi:type="dcterms:W3CDTF">2026-10-30T15:21:39.727Z</dcterms:modified>
</cp:coreProperties>
</file>

<file path=docProps/custom.xml><?xml version="1.0" encoding="utf-8"?>
<Properties xmlns="http://schemas.openxmlformats.org/officeDocument/2006/custom-properties" xmlns:vt="http://schemas.openxmlformats.org/officeDocument/2006/docPropsVTypes"/>
</file>