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B604/2026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modificarea unor dispoziții din Legea nr.161/2003 privind unele măsuri pentru asigurarea transparenței în exercitarea demnităților publice, a funcțiilor publice și în mediul de afaceri, prevenirea și sancționarea corupției (Cod Senat: 28041 | Termen dezbatere publică: 27-11-2026)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B604/2026.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susțin că cele trei incompatibilități introduse prin Legea nr. 180/2026 pentru consilierii locali și județeni sunt disproporționate și schimbă regulile în timpul mandatului, iar riscurile pot fi gestionate prin regulile de conflict de interese (art. 228 Cod administrativ). Vor să permită din nou funcționarilor publici să lucreze în organizații internaționale cât timp au raportul de serviciu suspendat.</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Legea permite din nou ca același om să voteze în consiliu și, în paralel, să fie plătit de primar ca și consilier personal sau ca administrator public (numit prin dispoziția primarului, pe contract de management, uneori ordonator de credite). Permite la fel angajarea la ADR-ul care gestionează fondurile pentru care UAT-ul depune proiecte. Aceasta este o dependență structurală față de executivul pe care consiliul trebuie să-l controleze, nu un risc punctual, iar mecanismul din art. 228 Cod administrativ se bazează pe autodeclarare. Pe deasupra, art. II șterge retroactiv orice consecință pentru cei care au rămas în incompatibilitate după Legea nr. 180/2026. Prin formularea vagă, acoperă și „conflicte de interese”.</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Tehnică legislativă și impactul asupra cetățenilor: Sub pretextul unei corecții tehnice și al deblocării mobilității funcționarilor în organizații internaționale, proiectul permite consilierilor locali și județeni să fie simultan angajați în subordinea directă a primarului sau președintelui CJ (ca administratori publici ori consilieri personali) și șterge retroactiv incompatibilitățile deja produse în 2026. — Art. II încalcă principiul neretroactivității legii prevăzut de art. 15 alin. (2) din Constituție, potrivit căruia legea dispune numai pentru viitor, cu excepția legii penale sau contravenționale mai favorabile. Regimul incompatibilităților și al conflictelor de interese administrative/civile nu are natură penală sau contravențională, astfel încât ștergerea retroactivă a stărilor de incompatibilitate deja consumate și a răspunderii aferente contravine jurisprudenței constante a Curții Constituționale și art. 1 alin. (3) și (5) din Constituție (statul de drept, calitatea și previzibilitatea legii). De asemenea, lipsa oricărei motivări pentru abrogarea art. 93¹ încalcă normele de tehnică legislativă din Legea nr. 24/2000, sancționabile pe temeiul art. 1 alin. (5) din Constituție. Proiectul nu reglementează profesii reglementate pe piața unică în sensul Directivei (UE) 2018/958 și nici servicii ale societății informaționale sub incidența Directivei (UE) 2015/1535 (TRIS). Totuși, sub aspectul angajamentelor României privind statul de drept și mecanismul anual de evaluare a integrității publice (Rule of Law Report al Comisiei Europene), relaxarea incompatibilităților la doar câteva luni după adoptarea Legii nr. 180/2026 și amnistierea retroactivă a cazurilor din această perioadă vulnerabilizează stabilitatea cadrului anticorupție.</w:t>
      </w:r>
    </w:p>
    <w:p>
      <w:pPr>
        <w:spacing w:after="160"/>
        <w:jc w:val="both"/>
      </w:pPr>
      <w:r>
        <w:rPr>
          <w:rFonts w:ascii="Calibri" w:cs="Calibri" w:eastAsia="Calibri" w:hAnsi="Calibri"/>
          <w:sz w:val="22"/>
          <w:szCs w:val="22"/>
        </w:rPr>
        <w:t xml:space="preserve">Constituționalitate și drept european: Renunțarea la trei incompatibilități adoptate abia în 2026 e o alegere politică discutabilă, dar ține de marja legiuitorului. Problema gravă este art. II, care declară retroactiv că încălcările de la intrarea în vigoare a Legii nr. 180/2026 încoace nu au existat și nu atrag nicio răspundere. Singura parte clar utilă este cea pentru funcționarii cu raportul de serviciu suspendat care lucrează în organizații internaționale. — Abrogarea ex nunc a unor incompatibilități ține de marja de apreciere a legiuitorului și nu este, în sine, neconstituțională. Argumentul „încrederii legitime” din expunere este însă slab: aplicarea imediată a legii noi asupra mandatelor în curs, cu termen de opțiune, nu înseamnă retroactivitate. Art. II ridică în schimb probleme serioase. Art. 15 alin. (2) permite retroactivitatea numai pentru legea penală sau contravențională mai favorabilă, nu pentru sancțiuni administrative precum încetarea mandatului sau interdicția de 3 ani. Textul tratează diferit, fără justificare obiectivă, pe cei care s-au conformat legii și pe cei care nu s-au conformat (art. 16). Poate lipsi de efecte rapoarte de evaluare ANI și hotărâri judecătorești definitive (art. 1 alin. 4, art. 124). Formularea „răspunderea juridică aferentă” este imprecisă (art. 1 alin. 5). Rămâne de verificat caracterul organic al materiei (art. 73 alin. 3 lit. j și o) față de formula de adoptare din art. 76 alin. (2). Directiva (UE) 2018/958 nu se aplică, pentru că incompatibilitățile aleșilor locali și ale funcționarilor publici nu reglementează accesul la o profesie reglementată. Nici Directiva TRIS (UE) 2015/1535 nu este relevantă, textul neatingând servicii ale societății informaționale sau AI. Dreptul UE contează la lit. k): ADR-urile sunt autorități de management ale programelor regionale 2021-2027. Art. 61 din Regulamentul financiar (UE, Euratom) 2024/2509 rămâne direct aplicabil și interzice personalului implicat să acționeze în conflict de interese. Abrogarea nu încalcă dreptul UE, dar elimină un filtru național preventiv și poate atrage observații de audit sau comentarii în raportul Comisiei privind statul de drept. Modificarea art. 94 alin. (2⁴) este în linie cu libera circulație a lucrătorilor (art. 45 TFUE) și cu interesul de a avea funcționari români în instituțiile UE și internaționale.</w:t>
      </w:r>
    </w:p>
    <w:p>
      <w:pPr>
        <w:spacing w:after="160"/>
        <w:jc w:val="both"/>
      </w:pPr>
      <w:r>
        <w:rPr>
          <w:rFonts w:ascii="Calibri" w:cs="Calibri" w:eastAsia="Calibri" w:hAnsi="Calibri"/>
          <w:sz w:val="22"/>
          <w:szCs w:val="22"/>
        </w:rPr>
        <w:t xml:space="preserve">Impact economic și fiscal: Proiectul poate corecta interdicții excesive, dar depășește acest obiectiv: elimină protecții distincte pentru administratorii publici și înlătură retroactiv răspunderea pentru situațiile enumerate. Forma propusă necesită corecturi substanțiale de conținut și de procedură constituțională. — Art. II prezintă un risc serios în raport cu neretroactivitatea din art. 15 alin. (2): excepția legii penale sau contravenționale mai favorabile nu poate fi extinsă automat asupra tuturor consecințelor administrative, disciplinare ori civile. Delimitarea neclară a răspunderii și lipsa regulilor privind situațiile definitive ridică probleme de previzibilitate conform art. 1 alin. (5). Art. 23 alin. (12) privește legalitatea pedepsei și nu transformă orice sancțiune de integritate într-o pedeapsă penală. [Constituția, titlul II](https://www.cdep.ro/ords/pls/dic/site.page?id=339&amp;idl=1&amp;par1=2). Intervenția asupra statutului funcționarilor publici impune lege organică potrivit art. 73 alin. (3) lit. j) și majoritatea prevăzută de art. 76 alin. (1); formula propusă trebuie corectată. Mențiunea greșită nu dovedește, singură, că votul viitor va încălca majoritatea necesară. Adoptarea unor reguli noi pentru efectele viitoare ale mandatelor în curs nu constituie, prin ea însăși, retroactivitate. [Constituția, titlul III](https://www.cdep.ro/ords/pls/dic/site.page?id=339&amp;idl=1&amp;par1=3). Din obiectul proiectului nu rezultă aplicabilitatea Directivei (UE) 2018/958: aceasta privește profesiile reglementate incluse în domeniul Directivei 2005/36/CE, nu orice funcție publică sau mandat ales. Simpla existență a unor incompatibilități nu declanșează automat testul european obligatoriu. [Directiva 2018/958, art. 2](https://eur-lex.europa.eu/legal-content/ro/ALL/?uri=CELEX%3A32018L0958). Proiectul nu stabilește specificații tehnice pentru produse sau norme specifice serviciilor societății informaționale, inclusiv servicii digitale ori AI; nu rezultă obligația notificării TRIS. [Directiva 2015/1535, art. 1](https://eur-lex.europa.eu/eli/dir/2015/1535/oj/ron/pdf). Nu sunt identificate bariere directe noi în piața unică. Pentru administrarea fondurilor europene, relaxarea incompatibilităților nu înlătură obligațiile de prevenire și gestionare a conflictelor de interese prevăzute de dreptul UE.</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II (exonerare retroactivă)</w:t>
      </w:r>
    </w:p>
    <w:p>
      <w:pPr>
        <w:spacing w:after="160"/>
        <w:jc w:val="both"/>
      </w:pPr>
      <w:r>
        <w:rPr>
          <w:rFonts w:ascii="Calibri" w:cs="Calibri" w:eastAsia="Calibri" w:hAnsi="Calibri"/>
          <w:sz w:val="22"/>
          <w:szCs w:val="22"/>
        </w:rPr>
        <w:t xml:space="preserve">Conținut propunere: Eliminarea art. II. Subsidiar, dacă se păstrează o normă tranzitorie: limitarea ei la incompatibilitățile din art. 88 alin. (1) lit. i)-k), eliminarea sintagmei „sau un conflict de interese” și a trimiterii la art. 94 alin. (2) lit. e) pentru funcționarii cu raport activ, plus mențiunea că nu afectează rapoartele ANI și hotărârile judecătorești definitive.</w:t>
      </w:r>
    </w:p>
    <w:p>
      <w:pPr>
        <w:spacing w:after="160"/>
        <w:jc w:val="both"/>
      </w:pPr>
      <w:r>
        <w:rPr>
          <w:rFonts w:ascii="Calibri" w:cs="Calibri" w:eastAsia="Calibri" w:hAnsi="Calibri"/>
          <w:sz w:val="22"/>
          <w:szCs w:val="22"/>
        </w:rPr>
        <w:t xml:space="preserve">Argumentare: Art. 15 alin. (2) Constituție admite retroactivitatea numai pentru legea penală sau contravențională mai favorabilă; încetarea mandatului și interdicția de 3 ani sunt sancțiuni administrative. Art. II îi avantajează pe cei care au ignorat termenul de opțiune față de cei care s-au conformat (art. 16) și poate neutraliza rapoarte ANI și hotărâri definitive (art. 124).</w:t>
      </w:r>
    </w:p>
    <w:p>
      <w:pPr>
        <w:spacing w:after="160"/>
        <w:jc w:val="both"/>
      </w:pPr>
      <w:r>
        <w:rPr>
          <w:rFonts w:ascii="Calibri" w:cs="Calibri" w:eastAsia="Calibri" w:hAnsi="Calibri"/>
          <w:sz w:val="22"/>
          <w:szCs w:val="22"/>
        </w:rPr>
        <w:t xml:space="preserve">Observații suplimentare: Art. II acoperă situațiile din art. 94 alin. (2) lit. e), inclusiv pe cele ale funcționarilor cu raport activ, deși art. I relaxează interdicția doar pe durata suspendării. Propunem menținerea art. 88 alin. (1) lit. k): ADR-urile gestionează programele regionale care finanțează proiecte ale UAT-urilor. Abrogarea art. 93¹ lipsește din obiectul declarat al expunerii.</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emiterea unui raport de respingere / eliminare a prevederilor neconstituționale.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B604/2026 (Cod Senat 28041)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2026-10-30T15:21:39.792Z</dcterms:created>
  <dcterms:modified xsi:type="dcterms:W3CDTF">2026-10-30T15:21:39.792Z</dcterms:modified>
</cp:coreProperties>
</file>

<file path=docProps/custom.xml><?xml version="1.0" encoding="utf-8"?>
<Properties xmlns="http://schemas.openxmlformats.org/officeDocument/2006/custom-properties" xmlns:vt="http://schemas.openxmlformats.org/officeDocument/2006/docPropsVTypes"/>
</file>