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/>
        <w:jc w:val="center"/>
      </w:pPr>
      <w:r>
        <w:rPr>
          <w:rFonts w:ascii="Calibri" w:cs="Calibri" w:eastAsia="Calibri" w:hAnsi="Calibri"/>
          <w:b/>
          <w:bCs/>
          <w:sz w:val="28"/>
          <w:szCs w:val="28"/>
        </w:rPr>
        <w:t xml:space="preserve">PUNCT DE VEDERE PRIVIND PROPUNEREA LEGISLATIVĂ B535/2026</w:t>
      </w:r>
    </w:p>
    <w:p>
      <w:pPr>
        <w:pBdr>
          <w:bottom w:val="single" w:color="999999" w:sz="6" w:space="8"/>
        </w:pBdr>
        <w:spacing w:after="300"/>
        <w:jc w:val="center"/>
      </w:pPr>
      <w:r>
        <w:rPr>
          <w:rFonts w:ascii="Calibri" w:cs="Calibri" w:eastAsia="Calibri" w:hAnsi="Calibri"/>
          <w:i/>
          <w:iCs/>
          <w:color w:val="444444"/>
          <w:sz w:val="20"/>
          <w:szCs w:val="20"/>
        </w:rPr>
        <w:t xml:space="preserve">Propunere legislativă privind cadrul național pentru protejarea și conservarea bisericilor de lemn (Cod Senat: 27974 | Termen dezbatere publică: 24-10-2026)</w:t>
      </w:r>
    </w:p>
    <w:p>
      <w:pPr>
        <w:spacing w:after="200" w:before="2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Către: Biroul Permanent al Senatului României și Comisiile permanente sesizate în fond și pentru aviz</w:t>
      </w:r>
    </w:p>
    <w:p>
      <w:pPr>
        <w:spacing w:after="240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Subsemnatul(a) ……………………………………, în temeiul procedurii de consultare publică a Senatului României, formulez prezentul Punct de vedere referitor la Propunerea legislativă B535/2026 (Propunere legislativă privind cadrul național pentru protejarea și conservarea bisericilor de lemn).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I. Sinteză Executivă (Scor Risc AI — Gemini + Claude + ChatGPT: 3.6/10)</w:t>
      </w:r>
    </w:p>
    <w:p>
      <w:pPr>
        <w:spacing w:after="160"/>
        <w:jc w:val="both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Ce susțin inițiatorii: </w:t>
      </w:r>
      <w:r>
        <w:rPr>
          <w:rFonts w:ascii="Calibri" w:cs="Calibri" w:eastAsia="Calibri" w:hAnsi="Calibri"/>
          <w:sz w:val="22"/>
          <w:szCs w:val="22"/>
        </w:rPr>
        <w:t xml:space="preserve">Salvează de la prăbușire și incendii patrimoniul unic de biserici de lemn din România.</w:t>
      </w:r>
    </w:p>
    <w:p>
      <w:pPr>
        <w:spacing w:after="240"/>
        <w:jc w:val="both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Efectul real în practică: </w:t>
      </w:r>
      <w:r>
        <w:rPr>
          <w:rFonts w:ascii="Calibri" w:cs="Calibri" w:eastAsia="Calibri" w:hAnsi="Calibri"/>
          <w:sz w:val="22"/>
          <w:szCs w:val="22"/>
        </w:rPr>
        <w:t xml:space="preserve">Obiectiv cultural legitim și necesar, însă textul de 69.000 de caractere creează structuri administrative și proceduri paralele cu Legea monumentelor istorice nr. 422/2001, fără justificare pentru procedura de urgență.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1. Sinteza prevederilor analizate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Instituie un cadru legislativ dedicat inventarierii, prevenirii incendiilor și intervenției de urgență pentru salvarea bisericilor istorice de lemn (inclusiv UNESCO) din România.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Obiectiv cultural legitim și necesar, însă textul de 69.000 de caractere creează structuri administrative și proceduri paralele cu Legea monumentelor istorice nr. 422/2001, fără justificare pentru procedura de urgență.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2. Recomandare și argumentare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Solicit reanalizarea în comisiile de specialitate a propunerii B535/2026 și efectuarea unei evaluări complete de impact înainte de adoptare.</w:t>
      </w:r>
    </w:p>
    <w:p>
      <w:pPr>
        <w:pStyle w:val="Heading2"/>
        <w:spacing w:after="120" w:before="28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Concluzii și Solicitări Oficiale</w:t>
      </w:r>
    </w:p>
    <w:p>
      <w:pPr>
        <w:pStyle w:val="ListParagraph"/>
        <w:numPr>
          <w:ilvl w:val="0"/>
          <w:numId w:val="1"/>
        </w:num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Solicit reanalizarea în comisiile de specialitate a propunerii B535/2026 și efectuarea unei evaluări complete de impact înainte de adoptare.</w:t>
      </w:r>
    </w:p>
    <w:p>
      <w:pPr>
        <w:spacing w:after="120" w:before="360"/>
      </w:pPr>
      <w:r>
        <w:rPr>
          <w:rFonts w:ascii="Calibri" w:cs="Calibri" w:eastAsia="Calibri" w:hAnsi="Calibri"/>
          <w:sz w:val="22"/>
          <w:szCs w:val="22"/>
        </w:rPr>
        <w:t xml:space="preserve">Cu deosebită considerație,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Nume și prenume: ……………………………………</w:t>
      </w:r>
    </w:p>
    <w:p>
      <w:r>
        <w:rPr>
          <w:rFonts w:ascii="Calibri" w:cs="Calibri" w:eastAsia="Calibri" w:hAnsi="Calibri"/>
          <w:i/>
          <w:iCs/>
          <w:color w:val="666666"/>
          <w:sz w:val="18"/>
          <w:szCs w:val="18"/>
        </w:rPr>
        <w:t xml:space="preserve">Generat prin platforma civică destrajă.ro • Referință proiect: B535/2026 (Cod Senat 27974)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2026-10-30T14:46:49.602Z</dcterms:created>
  <dcterms:modified xsi:type="dcterms:W3CDTF">2026-10-30T14:46:49.602Z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