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PUNCT DE VEDERE PRIVIND PROPUNEREA LEGISLATIVĂ B544/2026</w:t>
      </w:r>
    </w:p>
    <w:p>
      <w:pPr>
        <w:pBdr>
          <w:bottom w:val="single" w:color="999999" w:sz="6" w:space="8"/>
        </w:pBdr>
        <w:spacing w:after="300"/>
        <w:jc w:val="center"/>
      </w:pPr>
      <w:r>
        <w:rPr>
          <w:rFonts w:ascii="Calibri" w:cs="Calibri" w:eastAsia="Calibri" w:hAnsi="Calibri"/>
          <w:i/>
          <w:iCs/>
          <w:color w:val="444444"/>
          <w:sz w:val="20"/>
          <w:szCs w:val="20"/>
        </w:rPr>
        <w:t xml:space="preserve">Propunere legislativă pentru modificarea și completarea Legii nr.143/2000 privind prevenirea și combaterea traficului și consumului ilicit de droguri, precum și pentru modificarea art.271 din Legea nr.86/2006 privind Codul vamal al României (Cod Senat: 27984 | Termen dezbatere publică: 04-11-2026)</w:t>
      </w:r>
    </w:p>
    <w:p>
      <w:pPr>
        <w:spacing w:after="20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Către: Biroul Permanent al Senatului României și Comisiile permanente sesizate în fond și pentru aviz</w:t>
      </w:r>
    </w:p>
    <w:p>
      <w:pPr>
        <w:spacing w:after="24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Subsemnatul(a) ……………………………………, în cadrul procedurii de consultare publică parlamentară, formulez prezentul Punct de vedere referitor la Propunerea legislativă B544/2026 (Propunere legislativă pentru modificarea și completarea Legii nr.143/2000 privind prevenirea și combaterea traficului și consumului ilicit de droguri, precum și pentru modificarea art.271 din Legea nr.86/2006 privind Codul vamal al României).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I. Sinteză Executivă (Scor Risc AI — Gemini + Claude + ChatGPT: 4.8/10)</w:t>
      </w:r>
    </w:p>
    <w:p>
      <w:pPr>
        <w:spacing w:after="16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Ce susțin inițiatorii: </w:t>
      </w:r>
      <w:r>
        <w:rPr>
          <w:rFonts w:ascii="Calibri" w:cs="Calibri" w:eastAsia="Calibri" w:hAnsi="Calibri"/>
          <w:sz w:val="22"/>
          <w:szCs w:val="22"/>
        </w:rPr>
        <w:t xml:space="preserve">Inițiatorii arată cu date oficiale că 77,5% din activitatea DIICOT este blocată cu dosare de droguri, din care ~80% vizează capturi sub 5 grame (medie ~1 gram), ceea ce sufocă lupta împotriva marilor traficanți și împinge consumatorii departe de tratament medical.</w:t>
      </w:r>
    </w:p>
    <w:p>
      <w:pPr>
        <w:spacing w:after="24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Efectul real în practică: </w:t>
      </w:r>
      <w:r>
        <w:rPr>
          <w:rFonts w:ascii="Calibri" w:cs="Calibri" w:eastAsia="Calibri" w:hAnsi="Calibri"/>
          <w:sz w:val="22"/>
          <w:szCs w:val="22"/>
        </w:rPr>
        <w:t xml:space="preserve">Proiect extrem de amplu documentat (peste 160 pagini de Expunere de motive cu statistici DIICOT, ANP și practică europeană – Portugalia, Germania, Cehia, Elveția). Deși schimbarea de paradigmă este susținută criminologic și medical, lipsa unor praguri cantitative clare în textul Art. 4 pentru delimitarea „consumului propriu” de trafic poate lăsa loc de interpretări neunitare în practică.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1. Obiectul propunerii și sinteza observațiilor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Modifică Legea nr. 143/2000 pentru a transforma deținerea de droguri pentru consum propriu din infracțiune penală în contravenție (amendă 1.000–3.500 lei) și permite autorizarea în spitale a unor spații supravegheate medical pentru prevenirea supradozelor și tratamentul adicțiilor.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Proiect extrem de amplu documentat (peste 160 pagini de Expunere de motive cu statistici DIICOT, ANP și practică europeană – Portugalia, Germania, Cehia, Elveția). Deși schimbarea de paradigmă este susținută criminologic și medical, lipsa unor praguri cantitative clare în textul Art. 4 pentru delimitarea „consumului propriu” de trafic poate lăsa loc de interpretări neunitare în practică.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2. Propunere și argumentare juridică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Susțin orientarea politicii publice spre sănătate publică și degrevarea DIICOT pentru combaterea marelui trafic, cu recomandarea introducerii la Art. 4 a unor criterii obiective și cantități-limită clare care să delimiteze strict deținerea pentru consum propriu de traficul de droguri.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Statisticile DIICOT (79% capturi sub 5g) confirmă ineficiența încarcerării consumatorilor. Totuși, pentru respectarea art. 1 alin. (5) din Constituție (previzibilitatea legii penale vs. contravenționale), legea trebuie să stabilească praguri cantitative obiective, astfel încât traficanții stradali să nu poată invoca regimul contravențional.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Se recomandă corelarea intrării în vigoare cu alocarea bugetară efectivă pentru centrele de tratament și consiliere ale Ministerului Sănătății.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Concluzii și Solicitări Oficiale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Susțin orientarea politicii publice spre sănătate publică și degrevarea DIICOT pentru combaterea marelui trafic, cu recomandarea introducerii la Art. 4 a unor criterii obiective și cantități-limită clare care să delimiteze strict deținerea pentru consum propriu de traficul de droguri.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Se recomandă corelarea intrării în vigoare cu alocarea bugetară efectivă pentru centrele de tratament și consiliere ale Ministerului Sănătății.</w:t>
      </w:r>
    </w:p>
    <w:p>
      <w:pPr>
        <w:spacing w:after="120" w:before="360"/>
      </w:pPr>
      <w:r>
        <w:rPr>
          <w:rFonts w:ascii="Calibri" w:cs="Calibri" w:eastAsia="Calibri" w:hAnsi="Calibri"/>
          <w:sz w:val="22"/>
          <w:szCs w:val="22"/>
        </w:rPr>
        <w:t xml:space="preserve">Cu deosebită considerație,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Nume și prenume: ……………………………………</w:t>
      </w:r>
    </w:p>
    <w:p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Generat prin platforma civică destrajă.ro • Referință proiect: B544/2026 (Cod Senat 27984)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2026-10-30T14:46:48.643Z</dcterms:created>
  <dcterms:modified xsi:type="dcterms:W3CDTF">2026-10-30T14:46:48.643Z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