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PUNCT DE VEDERE PRIVIND PROPUNEREA LEGISLATIVĂ B573/2026</w:t>
      </w:r>
    </w:p>
    <w:p>
      <w:pPr>
        <w:pBdr>
          <w:bottom w:val="single" w:color="999999" w:sz="6" w:space="8"/>
        </w:pBd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Propunere legislativă pentru modificarea art.94 alin.(2) lit.a) din Legea nr.208/2015 privind alegerea Senatului și a Camerei Deputaților, precum și pentru organizarea și funcționarea Autorității Electorale Permanente (Cod Senat: 28009 | Termen dezbatere publică: 18-11-2026)</w:t>
      </w:r>
    </w:p>
    <w:p>
      <w:pPr>
        <w:spacing w:after="2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Către: Biroul Permanent al Senatului României și Comisiile permanente sesizate în fond și pentru aviz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Subsemnatul(a) ……………………………………, în cadrul procedurii de consultare publică parlamentară, formulez prezentul Punct de vedere referitor la Propunerea legislativă B573/2026 (Propunere legislativă pentru modificarea art.94 alin.(2) lit.a) din Legea nr.208/2015 privind alegerea Senatului și a Camerei Deputaților, precum și pentru organizarea și funcționarea Autorității Electorale Permanente).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I. Sinteză Executivă (Scor Risc AI — Gemini + Claude + ChatGPT: 7.9/10)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 susțin inițiatorii: </w:t>
      </w:r>
      <w:r>
        <w:rPr>
          <w:rFonts w:ascii="Calibri" w:cs="Calibri" w:eastAsia="Calibri" w:hAnsi="Calibri"/>
          <w:sz w:val="22"/>
          <w:szCs w:val="22"/>
        </w:rPr>
        <w:t xml:space="preserve">Inițiatorii susțin că pragul alternativ creează un dublu standard și permite intrarea în Parlament a unor formațiuni care nu au 5% la nivel național.</w:t>
      </w:r>
    </w:p>
    <w:p>
      <w:pPr>
        <w:spacing w:after="2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Efectul real în practică: </w:t>
      </w:r>
      <w:r>
        <w:rPr>
          <w:rFonts w:ascii="Calibri" w:cs="Calibri" w:eastAsia="Calibri" w:hAnsi="Calibri"/>
          <w:sz w:val="22"/>
          <w:szCs w:val="22"/>
        </w:rPr>
        <w:t xml:space="preserve">Eliminarea pragului regional de 20% în 4 circumscripții afectează direct reprezentarea comunităților regionale și a minorităților naționale cu concentrare geografică (precum UDMR), modificând arhitectura reprezentativității parlamentare fără o dezbatere constituțională amplă.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Obiectul propunerii și sinteza observațiilor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Modifică Legea nr. 208/2015 privind alegerea Senatului și a Camerei Deputaților prin eliminarea pragului electoral alternativ (20% din voturi în cel puțin 4 circumscripții) și păstrarea exclusivă a pragului de 5% la nivel național.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Eliminarea pragului regional de 20% în 4 circumscripții afectează direct reprezentarea comunităților regionale și a minorităților naționale cu concentrare geografică (precum UDMR), modificând arhitectura reprezentativității parlamentare fără o dezbatere constituțională amplă.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Propunere și argumentare juridică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Solicit respingerea propunerii B573/2026 și menținerea formei actuale a art. 94 alin. (2) lit. a) din Legea nr. 208/2015, care prevede pragul alternativ de 20% din voturile valabil exprimate în cel puțin 4 circumscripții electorale.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Suprimarea pragului electoral alternativ afectează pluralismul politic (art. 8 din Constituție) și reprezentarea parlamentară a comunităților cu concentrare regională, contrar recomandărilor Comisiei de la Veneția privind stabilitatea regulilor fundamentale ale sistemului electoral și protecția minorităților.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Orice modificare a formulei de transformare a voturilor în mandate necesită consens transpartinic larg și consultarea Comisiei de la Veneția, nu intervenții unilaterale asupra Legii nr. 208/2015.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Concluzii și Solicitări Oficiale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Solicit respingerea propunerii B573/2026 și menținerea formei actuale a art. 94 alin. (2) lit. a) din Legea nr. 208/2015, care prevede pragul alternativ de 20% din voturile valabil exprimate în cel puțin 4 circumscripții electorale.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Orice modificare a formulei de transformare a voturilor în mandate necesită consens transpartinic larg și consultarea Comisiei de la Veneția, nu intervenții unilaterale asupra Legii nr. 208/2015.</w:t>
      </w:r>
    </w:p>
    <w:p>
      <w:pPr>
        <w:spacing w:after="120" w:before="360"/>
      </w:pPr>
      <w:r>
        <w:rPr>
          <w:rFonts w:ascii="Calibri" w:cs="Calibri" w:eastAsia="Calibri" w:hAnsi="Calibri"/>
          <w:sz w:val="22"/>
          <w:szCs w:val="22"/>
        </w:rPr>
        <w:t xml:space="preserve">Cu deosebită considerație,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Nume și prenume: ……………………………………</w:t>
      </w:r>
    </w:p>
    <w:p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Generat prin platforma civică destrajă.ro • Referință proiect: B573/2026 (Cod Senat 28009)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2026-10-30T14:46:48.903Z</dcterms:created>
  <dcterms:modified xsi:type="dcterms:W3CDTF">2026-10-30T14:46:48.903Z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