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  <w:jc w:val="center"/>
      </w:pPr>
      <w:r>
        <w:rPr>
          <w:rFonts w:ascii="Calibri" w:cs="Calibri" w:eastAsia="Calibri" w:hAnsi="Calibri"/>
          <w:b/>
          <w:bCs/>
          <w:sz w:val="28"/>
          <w:szCs w:val="28"/>
        </w:rPr>
        <w:t xml:space="preserve">PUNCT DE VEDERE PRIVIND PROPUNEREA LEGISLATIVĂ B576/2026</w:t>
      </w:r>
    </w:p>
    <w:p>
      <w:pPr>
        <w:pBdr>
          <w:bottom w:val="single" w:color="999999" w:sz="6" w:space="8"/>
        </w:pBdr>
        <w:spacing w:after="300"/>
        <w:jc w:val="center"/>
      </w:pPr>
      <w:r>
        <w:rPr>
          <w:rFonts w:ascii="Calibri" w:cs="Calibri" w:eastAsia="Calibri" w:hAnsi="Calibri"/>
          <w:i/>
          <w:iCs/>
          <w:color w:val="444444"/>
          <w:sz w:val="20"/>
          <w:szCs w:val="20"/>
        </w:rPr>
        <w:t xml:space="preserve">Propunere legislativă pentru modificarea și completarea Legii nr.169/2026 privind Codul amenajării teritoriului, urbanismului și construcțiilor (Cod Senat: 28012 | Termen dezbatere publică: 18-11-2026)</w:t>
      </w:r>
    </w:p>
    <w:p>
      <w:pPr>
        <w:spacing w:after="200" w:before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Către: Biroul Permanent al Senatului României și Comisiile permanente sesizate în fond și pentru aviz</w:t>
      </w:r>
    </w:p>
    <w:p>
      <w:pPr>
        <w:spacing w:after="24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Subsemnatul(a) ……………………………………, în temeiul procedurii de consultare publică a Senatului României, formulez prezentul Punct de vedere referitor la Propunerea legislativă B576/2026 (Propunere legislativă pentru modificarea și completarea Legii nr.169/2026 privind Codul amenajării teritoriului, urbanismului și construcțiilor).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I. Sinteză Executivă (Scor Risc AI — Gemini + Claude + ChatGPT: 4.1/10)</w:t>
      </w:r>
    </w:p>
    <w:p>
      <w:pPr>
        <w:spacing w:after="160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Ce susțin inițiatorii: </w:t>
      </w:r>
      <w:r>
        <w:rPr>
          <w:rFonts w:ascii="Calibri" w:cs="Calibri" w:eastAsia="Calibri" w:hAnsi="Calibri"/>
          <w:sz w:val="22"/>
          <w:szCs w:val="22"/>
        </w:rPr>
        <w:t xml:space="preserve">Corectează erori materiale și blocaje administrative apărute după adoptarea Codului Urbanismului (Jalon PNRR 315).</w:t>
      </w:r>
    </w:p>
    <w:p>
      <w:pPr>
        <w:spacing w:after="240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Efectul real în practică: </w:t>
      </w:r>
      <w:r>
        <w:rPr>
          <w:rFonts w:ascii="Calibri" w:cs="Calibri" w:eastAsia="Calibri" w:hAnsi="Calibri"/>
          <w:sz w:val="22"/>
          <w:szCs w:val="22"/>
        </w:rPr>
        <w:t xml:space="preserve">Deși multe corecții sunt tehnice (drepturi reale de superficie/concesiune), art. I pct. 4 (modificarea art. 257 alin. 9 lit. e – supraetajare/construire fără PUZ/PUD dacă vecinii au aceeași înălțime) necesită avize stricte pentru a nu încuraja îndesirea urbană necontrolată.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1. Sinteza prevederilor analizate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Modifică în procedură de urgență peste 25 de articole din noul Cod al amenajării teritoriului, urbanismului și construcțiilor (Legea 169/2026), inclusiv permiterea construirii/supraetajării fără documentație de urbanism dacă parcelele adiacente au același regim de înălțime.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Deși multe corecții sunt tehnice (drepturi reale de superficie/concesiune), art. I pct. 4 (modificarea art. 257 alin. 9 lit. e – supraetajare/construire fără PUZ/PUD dacă vecinii au aceeași înălțime) necesită avize stricte pentru a nu încuraja îndesirea urbană necontrolată.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2. Recomandare și argumentare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Solicit reanalizarea în comisiile de specialitate a propunerii B576/2026 și efectuarea unei evaluări complete de impact înainte de adoptare.</w:t>
      </w:r>
    </w:p>
    <w:p>
      <w:pPr>
        <w:pStyle w:val="Heading2"/>
        <w:spacing w:after="120" w:before="28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Concluzii și Solicitări Oficiale</w:t>
      </w:r>
    </w:p>
    <w:p>
      <w:pPr>
        <w:pStyle w:val="ListParagraph"/>
        <w:numPr>
          <w:ilvl w:val="0"/>
          <w:numId w:val="1"/>
        </w:num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Solicit reanalizarea în comisiile de specialitate a propunerii B576/2026 și efectuarea unei evaluări complete de impact înainte de adoptare.</w:t>
      </w:r>
    </w:p>
    <w:p>
      <w:pPr>
        <w:spacing w:after="120" w:before="360"/>
      </w:pPr>
      <w:r>
        <w:rPr>
          <w:rFonts w:ascii="Calibri" w:cs="Calibri" w:eastAsia="Calibri" w:hAnsi="Calibri"/>
          <w:sz w:val="22"/>
          <w:szCs w:val="22"/>
        </w:rPr>
        <w:t xml:space="preserve">Cu deosebită considerație,</w:t>
      </w:r>
    </w:p>
    <w:p>
      <w:pPr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Nume și prenume: ……………………………………</w:t>
      </w:r>
    </w:p>
    <w:p>
      <w:r>
        <w:rPr>
          <w:rFonts w:ascii="Calibri" w:cs="Calibri" w:eastAsia="Calibri" w:hAnsi="Calibri"/>
          <w:i/>
          <w:iCs/>
          <w:color w:val="666666"/>
          <w:sz w:val="18"/>
          <w:szCs w:val="18"/>
        </w:rPr>
        <w:t xml:space="preserve">Generat prin platforma civică destrajă.ro • Referință proiect: B576/2026 (Cod Senat 28012)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2026-10-30T14:46:48.926Z</dcterms:created>
  <dcterms:modified xsi:type="dcterms:W3CDTF">2026-10-30T14:46:48.926Z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