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B589/2026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completarea Legii partidelor politice nr.14/2003, precum și pentru modificarea și completarea art.204 din Ordonanța de urgență a Guvernului nr.57/2019 privind Codul administrativ (Cod Senat: 28025 | Termen dezbatere publică: 25-11-2026)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B589/2026.</w:t>
      </w:r>
    </w:p>
    <w:p>
      <w:pPr>
        <w:pStyle w:val="Heading2"/>
        <w:spacing w:after="120" w:before="240"/>
      </w:pPr>
      <w:r>
        <w:rPr>
          <w:rFonts w:ascii="Calibri" w:cs="Calibri" w:eastAsia="Calibri" w:hAnsi="Calibri"/>
          <w:b/>
          <w:bCs/>
          <w:sz w:val="24"/>
          <w:szCs w:val="24"/>
        </w:rPr>
        <w:t xml:space="preserve">I. Sinteză Executivă (Scor Risc AI — Gemini + Claude + ChatGPT: 2.7/10)</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procesele privind excluderea consilierilor din partid durează uneori ani, lăsând consiliile locale și județene în incertitudine. Ei propun o procedură judiciară specială, rapidă și previzibilă, care să păstreze totuși accesul efectiv la instanță.</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Legea creează un proces special: 10 zile pentru contestare, judecată la tribunal plus apel, de urgență și fără taxă de timbru. Momentul pierderii mandatului depinde de rezultat: mandatul continuă cât se judecă și încetează la respingerea definitivă. Concret, partidele își pot înlocui mai repede consilierii excluși, iar instanța verifică doar procedura și statutul, nu și dacă excluderea a fost de fapt o pedeapsă pentru un vot în consiliu. Niciun articol nu fixează un termen maxim până la care procesul trebuie terminat.</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Evaluare Gemini (Gemini 4 Argon): Propunerea este binevenită și echilibrată pe fond: protejează aleșii locali împotriva revocării arbitrare din funcție prin excluderi abuzive din partid și scurtează procesele care în prezent durează ani de zile. Textul are însă câteva scăpări tehnico-procedurale (omiterea organizațiilor minorităților naționale și lipsa unui termen scurt de motivare a sentinței) care trebuie corectate în comisii. — Propunerea valorifică corect Decizia CCR nr. 530/2013 și garantează accesul efectiv la justiție (art. 21 din Constituție). Pentru respectarea exigențelor de claritate și previzibilitate a legii (art. 1 alin. (5) din Constituție) și a egalității în drepturi (art. 16), este necesară menținerea în art. 204 alin. (5) a organizațiilor minorităților naționale și protejarea expresă a mandatului și pe durata parcurgerii căilor interne de atac din statutul partidului. Nu are incidență asupra dreptului pieței unice a UE, Directivei (UE) 2018/958 privind testul de proporționalitate sau Directivei (UE) 2015/1535 (TRIS), reglementând exclusiv contenciosul intern privind statutul aleșilor locali și organizarea partidelor politice.</w:t>
      </w:r>
    </w:p>
    <w:p>
      <w:pPr>
        <w:spacing w:after="160"/>
        <w:jc w:val="both"/>
      </w:pPr>
      <w:r>
        <w:rPr>
          <w:rFonts w:ascii="Calibri" w:cs="Calibri" w:eastAsia="Calibri" w:hAnsi="Calibri"/>
          <w:sz w:val="22"/>
          <w:szCs w:val="22"/>
        </w:rPr>
        <w:t xml:space="preserve">Evaluare Claude (Claude Opus 5.5): Este o lege procedurală, în mare parte rezonabilă: consilierul exclus își păstrează mandatul cât timp se judecă, iar procesul devine rapid și scutit de taxă. Problemele țin de redactare, nu de fond: trimiteri probabil greșite, prefectul nu este informat de contestație, iar demisia și organizațiile minorităților rămân descoperite. — În fond, legea este compatibilă cu Constituția. Întărește art. 21 (accesul liber la justiție) și art. 24 (dreptul la apărare) și respectă autonomia partidelor (art. 8 și art. 40), pentru că exclude controlul de oportunitate. Interdicția mandatului imperativ (art. 69) privește parlamentarii; încetarea mandatului local la pierderea calității de membru există deja în lege și nu este creată de acest proiect. Riscurile țin de claritatea legii (art. 1 alin. 5): trimiteri eronate, lipsa unei reguli pentru demisie și pentru minorități, lipsa unui mecanism de informare a prefectului. Fiind lege organică (art. 73 alin. 3 lit. c și o), are nevoie de majoritatea membrilor fiecărei Camere. Legea nu are incidență relevantă în dreptul UE. Nu reglementează profesii, deci Directiva 2018/958 nu se aplică. Nu privește servicii ale societății informaționale, deci TRIS 2015/1535 nu se aplică. Nu afectează concurența, IMM-urile sau piața unică. Procedura respectă standardele generale de proces echitabil: instanță independentă, contradictorialitate, termene rezonabile și o cale de atac.</w:t>
      </w:r>
    </w:p>
    <w:p>
      <w:pPr>
        <w:spacing w:after="160"/>
        <w:jc w:val="both"/>
      </w:pPr>
      <w:r>
        <w:rPr>
          <w:rFonts w:ascii="Calibri" w:cs="Calibri" w:eastAsia="Calibri" w:hAnsi="Calibri"/>
          <w:sz w:val="22"/>
          <w:szCs w:val="22"/>
        </w:rPr>
        <w:t xml:space="preserve">Evaluare ChatGPT (GPT-6.1 Sol): Propunerea este în principal utilă: organizează judecarea rapidă a excluderilor care pot duce la pierderea mandatului. Are însă lacune procedurale de corectat și nu garantează că procesele se vor termina repede. — Soluția de principiu susține accesul la justiție și dreptul la apărare, potrivit art. 21 și 24, fiind compatibilă cu delimitarea controlului judecătoresc din [Decizia CCR nr. 530/2013](https://legislatie.just.ro/Public/DetaliiDocument/154466). Riscurile de claritate și previzibilitate, relevante pentru art. 1 alin. (5), privesc definitivarea prin neapelare, circuitul informărilor și corelarea normelor existente. Termenul de 10 zile nu este, prin el însuși, disproporționat dacă există comunicare efectivă și posibilitatea reală de pregătire a cererii. Art. 23 alin. (12), privind legalitatea pedepselor, nu este reperul direct pentru această procedură nepenală. Art. 69 reglementează mandatul parlamentar și nu se transferă automat consilierilor locali; [textul constituțional](https://www.cdep.ro/ords/pls/dic/site.page?den=act2_1&amp;par1=3) distinge aceste mandate. Nu rezultă o neconstituționalitate de principiu. Directiva (UE) 2018/958 nu este aplicabilă: proiectul nu restrânge accesul la profesii reglementate sau exercitarea lor, domeniul vizat de [directivă](https://eur-lex.europa.eu/legal-content/RO/TXT/?uri=CELEX:32018L0958). Nici notificarea TRIS nu este necesară pe baza acestui text: nu sunt introduse reglementări tehnice pentru produse sau norme privind serviciile societății informaționale în sensul [Directivei (UE) 2015/1535](https://eur-lex.europa.eu/legal-content/RO/TXT/?uri=CELEX:32015L1535). Nu sunt identificate monopoluri, bariere economice ori restricții asupra pieței unice; concurența politică nu trebuie confundată cu concurența economică.</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II pct. 1 și 3 – art. 204 Cod administrativ</w:t>
      </w:r>
    </w:p>
    <w:p>
      <w:pPr>
        <w:spacing w:after="160"/>
        <w:jc w:val="both"/>
      </w:pPr>
      <w:r>
        <w:rPr>
          <w:rFonts w:ascii="Calibri" w:cs="Calibri" w:eastAsia="Calibri" w:hAnsi="Calibri"/>
          <w:sz w:val="22"/>
          <w:szCs w:val="22"/>
        </w:rPr>
        <w:t xml:space="preserve">Conținut propunere: Tribunalul comunică prefectului și secretarului general UAT, în 48 de ore, înregistrarea contestației; prefectul emite ordinul în cazul alin. (5) doar după confirmarea scrisă a tribunalului că nu s-a înregistrat contestație. Trimiterile din art. 204 alin. (5) și (12) se aliniază expres la art. 16^1 din Legea 14/2003 și la alin. (5^2).</w:t>
      </w:r>
    </w:p>
    <w:p>
      <w:pPr>
        <w:spacing w:after="160"/>
        <w:jc w:val="both"/>
      </w:pPr>
      <w:r>
        <w:rPr>
          <w:rFonts w:ascii="Calibri" w:cs="Calibri" w:eastAsia="Calibri" w:hAnsi="Calibri"/>
          <w:sz w:val="22"/>
          <w:szCs w:val="22"/>
        </w:rPr>
        <w:t xml:space="preserve">Argumentare: Textul nu prevede cum află prefectul că s-a depus contestație. Termenul de 30 de zile din alin. (12) curge de la comunicarea excluderii, deci prefectul poate constata încetarea deși, prin contestație, mandatul continuă (art. 16^1 alin. 5). Rezultă ordine nelegale, litigii noi și tocmai incertitudinea pe care legea vrea s-o elimine (art. 1 alin. 5 Constituție).</w:t>
      </w:r>
    </w:p>
    <w:p>
      <w:pPr>
        <w:spacing w:after="160"/>
        <w:jc w:val="both"/>
      </w:pPr>
      <w:r>
        <w:rPr>
          <w:rFonts w:ascii="Calibri" w:cs="Calibri" w:eastAsia="Calibri" w:hAnsi="Calibri"/>
          <w:sz w:val="22"/>
          <w:szCs w:val="22"/>
        </w:rPr>
        <w:t xml:space="preserve">Observații suplimentare: Art. 204 alin. (2) lit. j) vizează și organizațiile minorităților naționale, dar art. 16^1 se aplică doar partidelor: pentru consilierii acestora termenul de contestare rămâne neclar. Similar pentru aleșii pe liste de alianță. Recomandăm și un termen maxim de soluționare (ex. 30 de zile pe fiecare grad), altfel «urgența» rămâne declarativă.</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Generat prin platforma civică destrajă.ro • Referință proiect: B589/2026 (Cod Senat 28025)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2026-10-30T14:46:49.156Z</dcterms:created>
  <dcterms:modified xsi:type="dcterms:W3CDTF">2026-10-30T14:46:49.156Z</dcterms:modified>
</cp:coreProperties>
</file>

<file path=docProps/custom.xml><?xml version="1.0" encoding="utf-8"?>
<Properties xmlns="http://schemas.openxmlformats.org/officeDocument/2006/custom-properties" xmlns:vt="http://schemas.openxmlformats.org/officeDocument/2006/docPropsVTypes"/>
</file>