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B590/2026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privind durata mandatului, limitarea numărului de mandate și condițiile de exercitare a funcțiilor de conducere ale unor autorități și instituții din cadrul sistemului național de apărare, ordine publică și securitate națională (Cod Senat: 28030 | Termen dezbatere publică: 26-11-2026)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B590/2026.</w:t>
      </w:r>
    </w:p>
    <w:p>
      <w:pPr>
        <w:pStyle w:val="Heading2"/>
        <w:spacing w:after="120" w:before="240"/>
      </w:pPr>
      <w:r>
        <w:rPr>
          <w:rFonts w:ascii="Calibri" w:cs="Calibri" w:eastAsia="Calibri" w:hAnsi="Calibri"/>
          <w:b/>
          <w:bCs/>
          <w:sz w:val="24"/>
          <w:szCs w:val="24"/>
        </w:rPr>
        <w:t xml:space="preserve">I. Sinteză Executivă (Scor Risc AI — Gemini + Claude + ChatGPT: 3.3/10)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Expunerea de motive invocă predictibilitatea, continuitatea și responsabilitatea conducerii. Propune mandate de 5 ani, corelate ca durată cu mandatul prezidențial, cel mult două mandate, înlocuitori clari la expirare, condiții comune de eligibilitate și mai multă transparență pentru DGIA.</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Legea modifică șase acte normative. Introduce un mandat de 5 ani cu limită de două mandate, reguli de interimat și, pentru SIE, revocarea de către Parlament la propunerea Președintelui sau a unei treimi din deputați ori senatori. Corelarea cu mandatul prezidențial e doar declarativă, iar eliberarea înainte de termen rămâne în general discreționară, fără motive enumerate, așa că cei 5 ani sunt un plafon, nu o garanție de stabilitate. Fără dispoziții tranzitorii, efectul asupra titularilor actuali e imprevizibil: dacă mandatul se socotește de la numirea inițială, cei cu peste 5 ani în funcție ar trece la interimat după 30 de zile; dacă se socotește de la intrarea în vigoare, ar putea rămâne încă 10 ani.</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O reformă democratică necesară și benefică, care pune capăt mandatelor pe perioadă nedeterminată la vârful serviciilor de informații și introduce raportarea publică anuală pentru DGIA. Textul suferă însă de două omisiuni tehnice importante: nu limitează durata interimatului și nu conține norme tranzitorii pentru directorii aflați deja în funcție. — Sub aspectul art. 1 alin. (5) din Constituție (calitatea și previzibilitatea legii) și al art. 15 alin. (2) (neretroactivitatea), absența normelor tranzitorii generează o incertitudine constituțională majoră: nu este clar dacă mandatele în curs la data intrării în vigoare încetează, se calculează de la numirea inițială sau încep să curgă pentru 5 ani de la intrarea în vigoare a legii. Totodată, reglementarea prin lege a componenței interne a unei comisii parlamentare (Art. 2 pct. 1) poate ridica discuții din perspectiva autonomiei regulamentare a Parlamentului (art. 64 și art. 65 din Constituție). Proiectul vizează exclusiv arhitectura instituțională de securitate națională, domeniu care, potrivit art. 4 alin. (2) din Tratatul privind Uniunea Europeană (TUE), rămâne în responsabilitatea exclusivă a fiecărui stat membru. Nu intră sub incidența Directivei (UE) 2018/958 privind testul de proporționalitate și nici a procedurii de notificare TRIS conform Directivei (UE) 2015/1535, neavând impact asupra pieței unice, concurenței sau IMM-urilor.</w:t>
      </w:r>
    </w:p>
    <w:p>
      <w:pPr>
        <w:spacing w:after="160"/>
        <w:jc w:val="both"/>
      </w:pPr>
      <w:r>
        <w:rPr>
          <w:rFonts w:ascii="Calibri" w:cs="Calibri" w:eastAsia="Calibri" w:hAnsi="Calibri"/>
          <w:sz w:val="22"/>
          <w:szCs w:val="22"/>
        </w:rPr>
        <w:t xml:space="preserve">Evaluare Claude (Claude Opus 5.5): Direcția e bună: șefii SRI, SIE, SPP, STS, DGPI și DGIA ar avea mandate de 5 ani, cel mult două, iar activitatea DGIA ar fi raportată anual Parlamentului. Textul are însă goluri serioase. Nu spune ce se întâmplă cu șefii aflați deja în funcție, lasă interimatele fără termen și fixează prin lege componența comisiei SRI. — Limitarea mandatelor e compatibilă cu Constituția. Art. 65 alin. (2) lit. h) dă Parlamentului numirea directorilor serviciilor de informații, la propunerea Președintelui, fără să fixeze durata mandatului. Cerințele de cetățenie și domiciliu din art. 8 reiau art. 16 alin. (3). Trei puncte sunt vulnerabile. Primul: art. 2 pct. 1 stabilește prin lege componența unei comisii parlamentare, deși organizarea Camerelor ține de regulamente (art. 64 alin. 1), iar comisiile se alcătuiesc după configurația politică (art. 64 alin. 5); restrângerea la membrii comisiilor de apărare poate dezechilibra această reprezentare. Al doilea: lipsa normelor tranzitorii afectează previzibilitatea (art. 1 alin. 5), iar aplicarea limitei la anii deja exercitați trebuie motivată în raport cu neretroactivitatea (art. 15 alin. 2). Al treilea: revocarea directorului SIE la inițiativa unei treimi din deputați sau senatori se poate sprijini pe rolul de control din art. 65 alin. (2) lit. h), dar se îndepărtează de simetria cu numirea, care se face doar la propunerea Președintelui. Propunerea nu intră sub incidența Directivei (UE) 2018/958, pentru că nu reglementează o profesie. Nu intră nici sub Directiva (UE) 2015/1535, pentru că nu conține reglementări tehnice și nu privește servicii ale societății informaționale. Securitatea națională rămâne responsabilitatea exclusivă a statelor membre (art. 4 alin. 2 TUE). Cerința cetățeniei române este acoperită de excepția pentru administrația publică din art. 45 alin. (4) TFUE. Nu are efecte asupra concurenței sau pieței unice.</w:t>
      </w:r>
    </w:p>
    <w:p>
      <w:pPr>
        <w:spacing w:after="160"/>
        <w:jc w:val="both"/>
      </w:pPr>
      <w:r>
        <w:rPr>
          <w:rFonts w:ascii="Calibri" w:cs="Calibri" w:eastAsia="Calibri" w:hAnsi="Calibri"/>
          <w:sz w:val="22"/>
          <w:szCs w:val="22"/>
        </w:rPr>
        <w:t xml:space="preserve">Evaluare ChatGPT (GPT-6.1 Sol): Limitarea mandatelor și transparența suplimentară pentru DGIA sunt măsuri utile. Riscul moderat vine din interimatele fără termen maxim, lipsa regulilor pentru titularii actuali și intervenția asupra componenței comisiei de control al SRI. — Limitarea mandatelor nu este, prin ea însăși, neconstituțională. Vulnerabilitatea principală privește claritatea și previzibilitatea cerute de art. 1 alin. (5), mai ales aplicarea în timp și interimatele; normele tranzitorii trebuie să respecte și art. 15 alin. (2). Art. 2 pct. 1 necesită examinare prin prisma autonomiei regulamentare și a configurației politice a comisiilor, potrivit art. 64 și art. 65 alin. (2). Interimatul prelungit la SRI/SIE trebuie evaluat în raport cu numirea parlamentară prevăzută de art. 65 alin. (2) lit. h). Art. 23 alin. (12) privește legalitatea pedepselor și nu este direct incident, deoarece proiectul nu instituie pedepse. Acestea sunt vulnerabilități de analizat, nu constatări definitive de neconstituționalitate. [Constituția României](https://legislatie.just.ro/Public/DetaliiDocument/47355). Nu rezultă restricții asupra concurenței comerciale, monopoluri economice sau bariere pentru IMM-uri. Testul din Directiva (UE) 2018/958 privește accesul la profesii reglementate din domeniul Directivei 2005/36/CE; condițiile pentru aceste funcții de conducere ale statului nu declanșează, prin ele însele, aplicarea directivei. [Art. 1–2 din Directiva 2018/958](https://eur-lex.europa.eu/eli/dir/2018/958/oj). Proiectul nu stabilește reglementări tehnice pentru produse sau reguli pentru servicii ale societății informaționale, deci nu rezultă obligația notificării TRIS. Denumirea STS și publicarea online a unei sinteze nu schimbă această concluzie. [Directiva 2015/1535](https://eur-lex.europa.eu/eli/dir/2015/1535/oj).</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8¹ nou – dispoziții comune și tranzitorii</w:t>
      </w:r>
    </w:p>
    <w:p>
      <w:pPr>
        <w:spacing w:after="160"/>
        <w:jc w:val="both"/>
      </w:pPr>
      <w:r>
        <w:rPr>
          <w:rFonts w:ascii="Calibri" w:cs="Calibri" w:eastAsia="Calibri" w:hAnsi="Calibri"/>
          <w:sz w:val="22"/>
          <w:szCs w:val="22"/>
        </w:rPr>
        <w:t xml:space="preserve">Conținut propunere: Art. 8¹: «(1) Pentru titularii în funcție la intrarea în vigoare a legii, fiecare perioadă de 5 ani exercitată anterior, ori fracțiune din aceasta, se socotește un mandat. (2) Mandatul lor încetează la 5 ani de la ultima numire, dar nu mai devreme de 6 luni de la intrarea în vigoare a legii. (3) Un mandat încetat înainte de termen intră în limita de două mandate.»</w:t>
      </w:r>
    </w:p>
    <w:p>
      <w:pPr>
        <w:spacing w:after="160"/>
        <w:jc w:val="both"/>
      </w:pPr>
      <w:r>
        <w:rPr>
          <w:rFonts w:ascii="Calibri" w:cs="Calibri" w:eastAsia="Calibri" w:hAnsi="Calibri"/>
          <w:sz w:val="22"/>
          <w:szCs w:val="22"/>
        </w:rPr>
        <w:t xml:space="preserve">Argumentare: Proiectul nu are dispoziții tranzitorii. Nu rezultă dacă timpul deja exercitat de titularii actuali intră în limita de două mandate și nici când le încetează mandatul: calculat de la numire, unii ar ieși imediat din funcție; calculat de la intrarea în vigoare, ar primi încă 10 ani. Incertitudinea afectează previzibilitatea cerută de art. 1 alin. (5) din Constituție.</w:t>
      </w:r>
    </w:p>
    <w:p>
      <w:pPr>
        <w:spacing w:after="160"/>
        <w:jc w:val="both"/>
      </w:pPr>
      <w:r>
        <w:rPr>
          <w:rFonts w:ascii="Calibri" w:cs="Calibri" w:eastAsia="Calibri" w:hAnsi="Calibri"/>
          <w:sz w:val="22"/>
          <w:szCs w:val="22"/>
        </w:rPr>
        <w:t xml:space="preserve">Observații suplimentare: Art. 2 pct. 1 stabilește prin lege componența comisiei SRI, deși aceasta ține de autonomia regulamentară (art. 64 Constituție) și de configurația politică; recomandăm eliminarea. Interimatele nu au termen: prevedeți un termen pentru propunerea noului titular înainte de expirare. Art. 8 alin. (2): precizați cine retrage certificatul titularului și calea de contestare.</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Generat prin platforma civică destrajă.ro • Referință proiect: B590/2026 (Cod Senat 28030)</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2026-10-30T14:46:49.187Z</dcterms:created>
  <dcterms:modified xsi:type="dcterms:W3CDTF">2026-10-30T14:46:49.187Z</dcterms:modified>
</cp:coreProperties>
</file>

<file path=docProps/custom.xml><?xml version="1.0" encoding="utf-8"?>
<Properties xmlns="http://schemas.openxmlformats.org/officeDocument/2006/custom-properties" xmlns:vt="http://schemas.openxmlformats.org/officeDocument/2006/docPropsVTypes"/>
</file>