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B601/2026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nr.69/2000 a educației fizice și sportului (Cod Senat: 28038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B601/2026.</w:t>
      </w:r>
    </w:p>
    <w:p>
      <w:pPr>
        <w:pStyle w:val="Heading2"/>
        <w:spacing w:after="120" w:before="240"/>
      </w:pPr>
      <w:r>
        <w:rPr>
          <w:rFonts w:ascii="Calibri" w:cs="Calibri" w:eastAsia="Calibri" w:hAnsi="Calibri"/>
          <w:b/>
          <w:bCs/>
          <w:sz w:val="24"/>
          <w:szCs w:val="24"/>
        </w:rPr>
        <w:t xml:space="preserve">I. Sinteză Executivă (Scor Risc AI — Gemini + Claude + ChatGPT: 4.3/10)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România nu are o infracțiune specifică pentru aranjarea meciurilor. Din acest motiv, procurorii lucrează cu încadrări indirecte (corupție, înșelăciune). Legislația ar trebui adaptată înainte de ratificarea Convenției de la Macolin, pe care, potrivit Expunerii, România a semnat-o în 2024.</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Articolul unic introduce art. 93¹ în Legea nr. 69/2000. Sportivii, antrenorii, arbitrii, conducătorii de cluburi, agenții, personalul organizatorilor și alte persoane care cer, primesc sau acceptă foloase ca să trucheze un rezultat sau un incident de joc riscă 2-8 ani de închisoare, la fel ca cei care le oferă mita. Mituitorul care denunță fapta la timp nu se pedepsește, iar bunurile se confiscă. În fond, textul reîmpachetează mita din sectorul privat (art. 289-290 raportat la art. 308 C.pen.) într-o normă specială, cu pedepse mai mari, mai ales pentru mituitor. Nu acoperă însă trucarea prin amenințări sau fără mită, nici pariurile și informațiile privilegiate invocate în Expunere. Expunerea vorbește de o infracțiune în Codul penal, dar textul modifică Legea sportului.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Obiectivul legii este legitim și necesar pentru combaterea blatului în sport (Convenția de la Macolin), însă redactarea tehnică este deficitară: califică greșit o lege penală drept lege ordinară, folosește termeni vagi neconstituționali și uită să incrimineze chiar cazul în care sportivul sau arbitrul pariază singur împotriva propriei echipe. — Risc ridicat de neconstituționalitate extrinsecă dacă este adoptată conform formulei propuse (art. 76 alin. 2 - lege ordinară), întrucât art. 73 alin. (3) lit. h) din Constituție impune lege organică pentru reglementarea infracțiunilor. Sub aspect intrinsec, sintagmele deschise „altor persoane care desfășoară activități împreună cu sportivii” și „altor persoane acreditate” (plus erorile gramaticale „arbitrii, membrii ai...”) contravin principiului legalității incriminării (lex certa) prevăzut de art. 1 alin. (5) și art. 23 alin. (12) din Constituție. Proiectul nu ridică probleme pe Directiva (UE) 2018/958 sau Directiva TRIS 2015/1535, ci urmărește transpunerea standardelor Convenției Consiliului Europei privind manipularea competițiilor sportive (Convenția de la Macolin, 2014). Totuși, transpunerea este incompletă față de art. 3 și art. 15 din Convenție, deoarece condiționează infracțiunea exclusiv de existența unui act de corupție (pretindere/primire/oferire de foloase).</w:t>
      </w:r>
    </w:p>
    <w:p>
      <w:pPr>
        <w:spacing w:after="160"/>
        <w:jc w:val="both"/>
      </w:pPr>
      <w:r>
        <w:rPr>
          <w:rFonts w:ascii="Calibri" w:cs="Calibri" w:eastAsia="Calibri" w:hAnsi="Calibri"/>
          <w:sz w:val="22"/>
          <w:szCs w:val="22"/>
        </w:rPr>
        <w:t xml:space="preserve">Evaluare Claude (Claude Opus 5.5): Lege utilă și legitimă: transformă aranjarea meciurilor prin mită într-o infracțiune clară, pedepsită cu 2-8 ani de închisoare. Problemele sunt de redactare, nu de fond: pedeapsa e formulată echivoc, tentativa e incriminată fără sens, iar formula de adoptare e greșită (lege ordinară în loc de organică). — Pe fond, incriminarea mitei în sport e o opțiune legitimă de politică penală și nu restrânge drepturi fundamentale. Riscurile țin de calitatea legii (art. 1 alin. (5)) și de legalitatea pedepsei (art. 23 alin. (12)): pedeapsa echivocă «...sau amendă», conjuncția «precum și» din descrierea scopului și categoria deschisă de la alin. (2) lit. b). Pedeapsa mai mare pentru mituitorul din sport decât pentru cel al unui funcționar public poate fi criticată ca disproporționată, deși CCR lasă legiuitorului o marjă largă în stabilirea pedepselor. Caracterul organic (art. 73 alin. (3) lit. h)) impune adoptarea conform art. 76 alin. (1), nu alin. (2), cum indică formula finală. Directiva (UE) 2018/958 nu se aplică, pentru că textul nu reglementează accesul la o profesie sau exercitarea ei. Nici Directiva (UE) 2015/1535 (TRIS) nu se aplică: nu există reguli tehnice sau reguli privind serviciile societății informaționale, iar operatorilor de pariuri nu li se impun obligații. Textul e compatibil cu Decizia-cadru 2003/568/JAI privind corupția în sectorul privat, pe care o extinde în zona sportului. Sportul profesionist e activitate economică (C-519/04 P, Meca-Medina), dar o normă penală anticorupție aplicată nediscriminatoriu nu restrânge libera circulație și nu afectează concurența.</w:t>
      </w:r>
    </w:p>
    <w:p>
      <w:pPr>
        <w:spacing w:after="160"/>
        <w:jc w:val="both"/>
      </w:pPr>
      <w:r>
        <w:rPr>
          <w:rFonts w:ascii="Calibri" w:cs="Calibri" w:eastAsia="Calibri" w:hAnsi="Calibri"/>
          <w:sz w:val="22"/>
          <w:szCs w:val="22"/>
        </w:rPr>
        <w:t xml:space="preserve">Evaluare ChatGPT (GPT-6.1 Sol): Protejarea sportului de meciuri aranjate este utilă, dar proiectul necesită corecturi înainte de adoptare. Principalele probleme sunt formula greșită pentru adoptarea unei legi penale și delimitarea insuficientă a persoanelor și faptelor sancționate. — Scopul protejării integrității sportului este legitim. Există însă riscuri de previzibilitate raportate la art. 1 alin. (5) și art. 23 alin. (12), mai ales privind extinderea subiecților activi și delimitarea conduitei incriminate. Problema procedurală principală este trimiterea la majoritatea pentru legi ordinare: norma penală necesită majoritatea membrilor fiecărei Camere, conform art. 73 alin. (3) lit. h) și art. 76 alin. (1). Neconstituționalitatea procedurală ar interveni dacă adoptarea efectivă nu respectă cerințele constituționale; mențiunea greșită din proiect este un defect remediabil. [Constituția României](https://legislatie.just.ro/Public/DetaliiDocument/47355?isFormaDeBaza=True). Directiva (UE) 2018/958 privește restricțiile asupra accesului la profesii reglementate și exercitării acestora în cadrul Directivei 2005/36/CE. Incriminarea coruperii participanților la competiții nu introduce condiții de calificare sau acces profesional; din text nu rezultă obligația unui test în temeiul acestei directive. [Directiva 2018/958, art. 2](https://eur-lex.europa.eu/legal-content/RO/TXT/?uri=CELEX:32018L0958). Nu sunt reglementate specific servicii digitale, AI sau cerințe tehnice pentru produse, astfel că nu se identifică un temei pentru notificare TRIS. Simpla posibilitate a pariurilor online nu schimbă această concluzie. [Directiva 2015/1535, art. 1](https://eur-lex.europa.eu/legal-content/RO/TXT/?uri=CELEX:32015L1535). Nu se observă discriminări după naționalitate sau avantaje exclusive pentru operatori; proporționalitatea sancțiunilor necesită totuși justificare.</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unic, art. 93¹ alin. (1), (2) lit. b), (4)</w:t>
      </w:r>
    </w:p>
    <w:p>
      <w:pPr>
        <w:spacing w:after="160"/>
        <w:jc w:val="both"/>
      </w:pPr>
      <w:r>
        <w:rPr>
          <w:rFonts w:ascii="Calibri" w:cs="Calibri" w:eastAsia="Calibri" w:hAnsi="Calibri"/>
          <w:sz w:val="22"/>
          <w:szCs w:val="22"/>
        </w:rPr>
        <w:t xml:space="preserve">Conținut propunere: Alin. (1): pedeapsa să fie «închisoarea de la 2 la 7 ani și interzicerea exercitării unor drepturi», fără «sau amendă»; «precum și de a influența» devine «ori de a influența». Alin. (2) lit. b): se elimină «altor persoane care desfășoară activități împreună cu sportivii». Alin. (4) se elimină. Corecturi: «arbitri», «membri», «fapta».</w:t>
      </w:r>
    </w:p>
    <w:p>
      <w:pPr>
        <w:spacing w:after="160"/>
        <w:jc w:val="both"/>
      </w:pPr>
      <w:r>
        <w:rPr>
          <w:rFonts w:ascii="Calibri" w:cs="Calibri" w:eastAsia="Calibri" w:hAnsi="Calibri"/>
          <w:sz w:val="22"/>
          <w:szCs w:val="22"/>
        </w:rPr>
        <w:t xml:space="preserve">Argumentare: Pedeapsa «2-8 ani și interzicerea... sau amendă» e echivocă, contrar art. 1 alin. (5) și art. 23 alin. (12) din Constituție; 2-7 ani o aliniază la darea de mită (art. 290 C.pen.). Mita se consumă la pretindere/ofertă, deci tentativa e inaplicabilă. «Precum și» sugerează scopuri cumulative, excluzând spot-fixing-ul. Formula «altor persoane care desfășoară activități» e vagă.</w:t>
      </w:r>
    </w:p>
    <w:p>
      <w:pPr>
        <w:spacing w:after="160"/>
        <w:jc w:val="both"/>
      </w:pPr>
      <w:r>
        <w:rPr>
          <w:rFonts w:ascii="Calibri" w:cs="Calibri" w:eastAsia="Calibri" w:hAnsi="Calibri"/>
          <w:sz w:val="22"/>
          <w:szCs w:val="22"/>
        </w:rPr>
        <w:t xml:space="preserve">Observații suplimentare: Normă penală = lege organică (art. 73 alin. (3) lit. h) din Constituție); formula finală trebuie să trimită la art. 76 alin. (1), nu la alin. (2), altfel legea e expusă neconstituționalității extrinseci. Textul acoperă doar varianta coruptă; art. 15 din Convenția de la Macolin vizează și practicile coercitive și frauduloase (amenințări, aranjare fără mită).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B601/2026 (Cod Senat 28038)</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2026-10-30T14:46:49.349Z</dcterms:created>
  <dcterms:modified xsi:type="dcterms:W3CDTF">2026-10-30T14:46:49.349Z</dcterms:modified>
</cp:coreProperties>
</file>

<file path=docProps/custom.xml><?xml version="1.0" encoding="utf-8"?>
<Properties xmlns="http://schemas.openxmlformats.org/officeDocument/2006/custom-properties" xmlns:vt="http://schemas.openxmlformats.org/officeDocument/2006/docPropsVTypes"/>
</file>