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PUNCT DE VEDERE AL SOCIETĂȚII CIVILE PRIVIND PROIECTUL B602/2026</w:t>
      </w:r>
    </w:p>
    <w:p>
      <w:pPr>
        <w:pBdr>
          <w:bottom w:val="single" w:color="999999" w:sz="6" w:space="8"/>
        </w:pBdr>
        <w:spacing w:after="300"/>
        <w:jc w:val="center"/>
      </w:pPr>
      <w:r>
        <w:rPr>
          <w:rFonts w:ascii="Calibri" w:cs="Calibri" w:eastAsia="Calibri" w:hAnsi="Calibri"/>
          <w:i/>
          <w:iCs/>
          <w:color w:val="444444"/>
          <w:sz w:val="20"/>
          <w:szCs w:val="20"/>
        </w:rPr>
        <w:t xml:space="preserve">Propunere legislativă privind înființarea, organizarea și funcționarea Școlii Naționale de Diplomație (Cod Senat: 28039 | Termen dezbatere publică: 27-11-2026)</w:t>
      </w:r>
    </w:p>
    <w:p>
      <w:pPr>
        <w:spacing w:after="200" w:before="200"/>
      </w:pPr>
      <w:r>
        <w:rPr>
          <w:rFonts w:ascii="Calibri" w:cs="Calibri" w:eastAsia="Calibri" w:hAnsi="Calibri"/>
          <w:b/>
          <w:bCs/>
          <w:sz w:val="22"/>
          <w:szCs w:val="22"/>
        </w:rPr>
        <w:t xml:space="preserve">Către: Biroul Permanent al Senatului României și Comisiile permanente sesizate în fond și pentru aviz</w:t>
      </w:r>
    </w:p>
    <w:p>
      <w:pPr>
        <w:spacing w:after="240"/>
        <w:jc w:val="both"/>
      </w:pPr>
      <w:r>
        <w:rPr>
          <w:rFonts w:ascii="Calibri" w:cs="Calibri" w:eastAsia="Calibri" w:hAnsi="Calibri"/>
          <w:sz w:val="22"/>
          <w:szCs w:val="22"/>
        </w:rPr>
        <w:t xml:space="preserve">În cadrul consultării publice organizate de Senatul României și în exercitarea dreptului de petiționare prevăzut de art. 51 din Constituția României, formulăm prezentul punct de vedere tehnic și juridic referitor la propunerea legislativă B602/2026.</w:t>
      </w:r>
    </w:p>
    <w:p>
      <w:pPr>
        <w:pStyle w:val="Heading2"/>
        <w:spacing w:after="120" w:before="240"/>
      </w:pPr>
      <w:r>
        <w:rPr>
          <w:rFonts w:ascii="Calibri" w:cs="Calibri" w:eastAsia="Calibri" w:hAnsi="Calibri"/>
          <w:b/>
          <w:bCs/>
          <w:sz w:val="24"/>
          <w:szCs w:val="24"/>
        </w:rPr>
        <w:t xml:space="preserve">I. Sinteză Executivă (Scor Risc AI — Gemini + Claude + ChatGPT: 4.0/10)</w:t>
      </w:r>
    </w:p>
    <w:p>
      <w:pPr>
        <w:spacing w:after="160"/>
        <w:jc w:val="both"/>
      </w:pPr>
      <w:r>
        <w:rPr>
          <w:rFonts w:ascii="Calibri" w:cs="Calibri" w:eastAsia="Calibri" w:hAnsi="Calibri"/>
          <w:b/>
          <w:bCs/>
          <w:sz w:val="22"/>
          <w:szCs w:val="22"/>
        </w:rPr>
        <w:t xml:space="preserve">Ce susțin inițiatorii: </w:t>
      </w:r>
      <w:r>
        <w:rPr>
          <w:rFonts w:ascii="Calibri" w:cs="Calibri" w:eastAsia="Calibri" w:hAnsi="Calibri"/>
          <w:sz w:val="22"/>
          <w:szCs w:val="22"/>
        </w:rPr>
        <w:t xml:space="preserve">Inițiatorii spun că România nu are o instituție dedicată formării integrate a diplomaților și că IDR nu poate, legal, organiza programe universitare și cercetare extinsă. SND ar uni formarea profesională, masteratul, doctoratul și cercetarea aplicată.</w:t>
      </w:r>
    </w:p>
    <w:p>
      <w:pPr>
        <w:spacing w:after="240"/>
        <w:jc w:val="both"/>
      </w:pPr>
      <w:r>
        <w:rPr>
          <w:rFonts w:ascii="Calibri" w:cs="Calibri" w:eastAsia="Calibri" w:hAnsi="Calibri"/>
          <w:b/>
          <w:bCs/>
          <w:sz w:val="22"/>
          <w:szCs w:val="22"/>
        </w:rPr>
        <w:t xml:space="preserve">Efectul real în practică: </w:t>
      </w:r>
      <w:r>
        <w:rPr>
          <w:rFonts w:ascii="Calibri" w:cs="Calibri" w:eastAsia="Calibri" w:hAnsi="Calibri"/>
          <w:sz w:val="22"/>
          <w:szCs w:val="22"/>
        </w:rPr>
        <w:t xml:space="preserve">Legea desființează de facto IDR, abrogând HG nr. 880/2005. Creează SND ca instituție publică în subordinea MEC, cu sediul fixat prin lege la Bd. Primăverii nr. 17 și folosință gratuită de la RA-APPS, cu misiunea de a obține autorizare și acreditare doar pentru masterat, doctorat și postuniversitar. Aproape totul e trimis la „condițiile legii”: cine conduce instituția, cine semnează bugetul, ce se întâmplă cu angajații IDR și ce se întâmplă dacă acreditarea eșuează rămân nestabilite. Partea bună: art. 3 alin. (4) și art. 8 alin. (5)-(8) exclud explicit ca SND să devină filieră privilegiată de intrare în MAE.</w:t>
      </w:r>
    </w:p>
    <w:p>
      <w:pPr>
        <w:pStyle w:val="Heading2"/>
        <w:spacing w:after="120" w:before="240"/>
      </w:pPr>
      <w:r>
        <w:rPr>
          <w:rFonts w:ascii="Calibri" w:cs="Calibri" w:eastAsia="Calibri" w:hAnsi="Calibri"/>
          <w:b/>
          <w:bCs/>
          <w:sz w:val="24"/>
          <w:szCs w:val="24"/>
        </w:rPr>
        <w:t xml:space="preserve">II. Analiza Tehnică, Constituțională și de Drept European</w:t>
      </w:r>
    </w:p>
    <w:p>
      <w:pPr>
        <w:spacing w:after="160"/>
        <w:jc w:val="both"/>
      </w:pPr>
      <w:r>
        <w:rPr>
          <w:rFonts w:ascii="Calibri" w:cs="Calibri" w:eastAsia="Calibri" w:hAnsi="Calibri"/>
          <w:sz w:val="22"/>
          <w:szCs w:val="22"/>
        </w:rPr>
        <w:t xml:space="preserve">Evaluare Gemini (Gemini 4 Argon): Sub pretextul modernizării pregătirii diplomaților, proiectul scoate Institutul Diplomatic Român din subordinea Ministerului Afacerilor Externe și îl mută la Ministerul Educației, lăsând MAE fără propriul centru de formare și cu un simplu rol consultativ. Legea conține erori serioase de tehnică legislativă și de arhitectură instituțională. — Proiectul ridică probleme de constituționalitate în raport cu Art. 1 alin. (4) (separația și echilibrul puterilor în stat) și Art. 1 alin. (5) (calitatea și previzibilitatea legii), întrucât Parlamentul abrogă direct un act administrativ al Guvernului (HG nr. 880/2005) și reglementează confuz statutul unei instituții publice care este simultan centru de formare continuă și universitate neacreditată încă. De asemenea, înființarea de noi structuri universitare finanțate de la bugetul de stat fără o fișă financiară riguroasă intră în tensiune cu Art. 138 alin. (5) din Constituție. Proiectul nu încalcă Directiva (UE) 2018/958 (testul de proporționalitate), deoarece Art. 3 alin. (4) și Art. 8 alin. (8) precizează expres că absolvirea SND nu condiționează și nu garantează accesul în profesia de diplomat, și nu intră sub incidența Directivei (UE) 2015/1535 (TRIS).</w:t>
      </w:r>
    </w:p>
    <w:p>
      <w:pPr>
        <w:spacing w:after="160"/>
        <w:jc w:val="both"/>
      </w:pPr>
      <w:r>
        <w:rPr>
          <w:rFonts w:ascii="Calibri" w:cs="Calibri" w:eastAsia="Calibri" w:hAnsi="Calibri"/>
          <w:sz w:val="22"/>
          <w:szCs w:val="22"/>
        </w:rPr>
        <w:t xml:space="preserve">Evaluare Claude (Claude Opus 5.5): Inițiativa este instituțională și nu afectează direct cetățenii sau firmele. Are garanții bune că diploma nu devine scurtătură spre cariera diplomatică. Problema reală e redactarea: lipsesc conducerea, ordonatorul de credite și o tranziție coerentă de la IDR la SND. — Art. 1 alin. (5) (claritate și previzibilitate): normele de trimitere generică („în condițiile legii”, „persoana desemnată potrivit legii”) și vidul de conducere din perioada tranzitorie sunt vulnerabile. Art. 32 alin. (6): subordonarea față de MEC intră în tensiune cu autonomia universitară pe care proiectul însuși o invocă. Art. 111 și art. 138 alin. (5): proiectul generează cheltuieli bugetare, deci sunt necesare fișa financiară, sursa de finanțare și punctul de vedere al Guvernului. CCR a sancționat constant lipsa acestora. Art. 16 alin. (3): accesul egal la funcțiile publice este protejat explicit prin art. 3 alin. (4) și art. 8 alin. (8). Directiva (UE) 2018/958 nu este aplicabilă: proiectul nu reglementează accesul la o profesie, iar art. 3 alin. (4) și art. 8 alin. (8) exclud orice condiție nouă de acces în Corpul diplomatic. Directiva (UE) 2015/1535 (TRIS) nu este incidentă, pentru că nu există reguli tehnice și nici servicii ale societății informaționale. Directiva 2005/36/CE nu este afectată. Un singur punct de atenție privește ajutorul de stat: cursurile executive cu taxă pentru persoane din mediul privat (art. 3 alin. 1, art. 5 alin. 1 lit. b) pot constitui activitate economică, potrivit Comunicării Comisiei 2016/C 262/01. De aceea sunt necesare tarife care acoperă costurile și contabilitate separată, ca bugetul de stat să nu subvenționeze concurența cu furnizorii privați de formare.</w:t>
      </w:r>
    </w:p>
    <w:p>
      <w:pPr>
        <w:spacing w:after="160"/>
        <w:jc w:val="both"/>
      </w:pPr>
      <w:r>
        <w:rPr>
          <w:rFonts w:ascii="Calibri" w:cs="Calibri" w:eastAsia="Calibri" w:hAnsi="Calibri"/>
          <w:sz w:val="22"/>
          <w:szCs w:val="22"/>
        </w:rPr>
        <w:t xml:space="preserve">Evaluare ChatGPT (GPT-6.1 Sol): Proiectul poate îmbunătăți pregătirea diplomatică și păstrează filtrele de acreditare și recrutare. Riscul moderat provine din tranziția instituțională insuficient reglementată și din costurile necuantificate în documentele furnizate. — Art. 1 alin. (5) este relevant pentru succesiunea condiționată și organizarea tranziției. Art. 23 alin. (12), privind legalitatea pedepselor, nu este incident: proiectul nu stabilește pedepse. Autonomia universitară, garantată de art. 32 alin. (6), trebuie respectată la constituirea conducerii; subordonarea ministerială nu dovedește singură încălcarea ei. Pentru impactul bugetar trebuie verificată solicitarea informării Guvernului conform art. 111 alin. (1) și fundamentarea finanțării conform art. 138 alin. (5); lipsa estimărilor din extrase nu demonstrează lipsa lor din dosar. Art. 1 alin. (3) necesită identificarea regimului juridic al imobilului și corelarea cu art. 136 alin. (4), dacă bunul aparține domeniului public. Acestea sunt vulnerabilități de verificat și remediat, nu neconstituționalități certe. [Constituția României](https://legislatie.just.ro/Public/DetaliiDocument/47355). Directiva (UE) 2018/958 privește restricțiile asupra accesului la profesii reglementate sau exercitării acestora. Proiectul nu introduce o calificare obligatorie ori activități profesionale rezervate absolvenților SND, deci nu rezultă obligația unui test de proporționalitate în baza acestei directive. [Art. 1-2](https://eur-lex.europa.eu/legal-content/en/TXT/?uri=CELEX%3A32018L0958). Directiva (UE) 2015/1535 nu impune notificare TRIS pentru simpla menționare a AI și digitalizării ca teme educaționale: lipsesc reglementările tehnice sau regulile destinate specific serviciilor societății informaționale. [Art. 1](https://eur-lex.europa.eu/legal-content/EN/TXT/PDF/?from=EN&amp;uri=CELEX%3A32015L1535). Concurența între furnizorii de formare rămâne posibilă; statutul de referință și finanțarea publică nu demonstrează, prin ele însele, un monopol sau o încălcare a dreptului UE.</w:t>
      </w:r>
    </w:p>
    <w:p>
      <w:pPr>
        <w:pStyle w:val="Heading2"/>
        <w:spacing w:after="120" w:before="240"/>
      </w:pPr>
      <w:r>
        <w:rPr>
          <w:rFonts w:ascii="Calibri" w:cs="Calibri" w:eastAsia="Calibri" w:hAnsi="Calibri"/>
          <w:b/>
          <w:bCs/>
          <w:sz w:val="24"/>
          <w:szCs w:val="24"/>
        </w:rPr>
        <w:t xml:space="preserve">III. Propunere de Amendare / Reglementare și Argumentare</w:t>
      </w:r>
    </w:p>
    <w:p>
      <w:pPr>
        <w:spacing w:after="160"/>
        <w:jc w:val="both"/>
      </w:pPr>
      <w:r>
        <w:rPr>
          <w:rFonts w:ascii="Calibri" w:cs="Calibri" w:eastAsia="Calibri" w:hAnsi="Calibri"/>
          <w:sz w:val="22"/>
          <w:szCs w:val="22"/>
        </w:rPr>
        <w:t xml:space="preserve">Articol vizat: Art. 1(1), art. 5(4), art. 9, art. 11</w:t>
      </w:r>
    </w:p>
    <w:p>
      <w:pPr>
        <w:spacing w:after="160"/>
        <w:jc w:val="both"/>
      </w:pPr>
      <w:r>
        <w:rPr>
          <w:rFonts w:ascii="Calibri" w:cs="Calibri" w:eastAsia="Calibri" w:hAnsi="Calibri"/>
          <w:sz w:val="22"/>
          <w:szCs w:val="22"/>
        </w:rPr>
        <w:t xml:space="preserve">Conținut propunere: Articol nou: până la constituirea structurilor de conducere, SND este condusă de un director interimar numit prin ordin al ministrului educației, cu avizul MAE, care are calitatea de ordonator terțiar de credite. HG nr. 880/2005 se abrogă la data semnării protocolului de predare-preluare, iar personalul IDR este preluat prin transfer, cu menținerea drepturilor.</w:t>
      </w:r>
    </w:p>
    <w:p>
      <w:pPr>
        <w:spacing w:after="160"/>
        <w:jc w:val="both"/>
      </w:pPr>
      <w:r>
        <w:rPr>
          <w:rFonts w:ascii="Calibri" w:cs="Calibri" w:eastAsia="Calibri" w:hAnsi="Calibri"/>
          <w:sz w:val="22"/>
          <w:szCs w:val="22"/>
        </w:rPr>
        <w:t xml:space="preserve">Argumentare: Art. 5 alin. (4) și art. 9 nu desemnează conducătorul și ordonatorul de credite, iar art. 5 invocă un rector inexistent până la acreditare. Abrogarea HG 880/2005 la intrarea în vigoare (art. 11) lasă IDR fără bază legală înaintea predării patrimoniului (90 de zile) și cursurile fără responsabil. Lipsa de previzibilitate contravine art. 1 alin. (5) din Constituție.</w:t>
      </w:r>
    </w:p>
    <w:p>
      <w:pPr>
        <w:spacing w:after="160"/>
        <w:jc w:val="both"/>
      </w:pPr>
      <w:r>
        <w:rPr>
          <w:rFonts w:ascii="Calibri" w:cs="Calibri" w:eastAsia="Calibri" w:hAnsi="Calibri"/>
          <w:sz w:val="22"/>
          <w:szCs w:val="22"/>
        </w:rPr>
        <w:t xml:space="preserve">Observații suplimentare: Art. 5 presupune cheltuieli noi și mutarea creditelor IDR de la MAE la MEC: sunt necesare fișa financiară, sursa de finanțare și punctul de vedere al Guvernului (art. 111 și 138 alin. (5) din Constituție). Trebuie justificată trecerea în subordinea MEC și demonstrat că o instituție doar cu masterat și doctorat poate fi acreditată (art. 2 alin. (3)).</w:t>
      </w:r>
    </w:p>
    <w:p>
      <w:pPr>
        <w:pStyle w:val="Heading2"/>
        <w:spacing w:after="120" w:before="280"/>
      </w:pPr>
      <w:r>
        <w:rPr>
          <w:rFonts w:ascii="Calibri" w:cs="Calibri" w:eastAsia="Calibri" w:hAnsi="Calibri"/>
          <w:b/>
          <w:bCs/>
          <w:sz w:val="24"/>
          <w:szCs w:val="24"/>
        </w:rPr>
        <w:t xml:space="preserve">Concluzii și Solicitări Oficiale</w:t>
      </w:r>
    </w:p>
    <w:p>
      <w:pPr>
        <w:pStyle w:val="ListParagraph"/>
        <w:numPr>
          <w:ilvl w:val="0"/>
          <w:numId w:val="1"/>
        </w:numPr>
        <w:spacing w:after="120"/>
      </w:pPr>
      <w:r>
        <w:rPr>
          <w:rFonts w:ascii="Calibri" w:cs="Calibri" w:eastAsia="Calibri" w:hAnsi="Calibri"/>
          <w:b/>
          <w:bCs/>
          <w:sz w:val="22"/>
          <w:szCs w:val="22"/>
        </w:rPr>
        <w:t xml:space="preserve">Având în vedere argumentele de mai sus, solicităm Comisiilor raportoare analizarea prezentelor observații și adoptarea amendamentelor tehnic-legislative propuse.</w:t>
      </w:r>
    </w:p>
    <w:p>
      <w:pPr>
        <w:spacing w:after="120" w:before="360"/>
      </w:pPr>
      <w:r>
        <w:rPr>
          <w:rFonts w:ascii="Calibri" w:cs="Calibri" w:eastAsia="Calibri" w:hAnsi="Calibri"/>
          <w:sz w:val="22"/>
          <w:szCs w:val="22"/>
        </w:rPr>
        <w:t xml:space="preserve">Cu deosebită considerație,</w:t>
      </w:r>
    </w:p>
    <w:p>
      <w:pPr>
        <w:spacing w:after="80"/>
      </w:pPr>
      <w:r>
        <w:rPr>
          <w:rFonts w:ascii="Calibri" w:cs="Calibri" w:eastAsia="Calibri" w:hAnsi="Calibri"/>
          <w:b/>
          <w:bCs/>
          <w:sz w:val="22"/>
          <w:szCs w:val="22"/>
        </w:rPr>
        <w:t xml:space="preserve">Nume și prenume: ……………………………………</w:t>
      </w:r>
    </w:p>
    <w:p>
      <w:r>
        <w:rPr>
          <w:rFonts w:ascii="Calibri" w:cs="Calibri" w:eastAsia="Calibri" w:hAnsi="Calibri"/>
          <w:i/>
          <w:iCs/>
          <w:color w:val="666666"/>
          <w:sz w:val="18"/>
          <w:szCs w:val="18"/>
        </w:rPr>
        <w:t xml:space="preserve">Generat prin platforma civică destrajă.ro • Referință proiect: B602/2026 (Cod Senat 28039)</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2026-10-30T14:46:49.375Z</dcterms:created>
  <dcterms:modified xsi:type="dcterms:W3CDTF">2026-10-30T14:46:49.375Z</dcterms:modified>
</cp:coreProperties>
</file>

<file path=docProps/custom.xml><?xml version="1.0" encoding="utf-8"?>
<Properties xmlns="http://schemas.openxmlformats.org/officeDocument/2006/custom-properties" xmlns:vt="http://schemas.openxmlformats.org/officeDocument/2006/docPropsVTypes"/>
</file>