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B596/2026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Legii nr.165/2018 privind acordarea biletelor de valoare (Cod Senat: 28032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B596/2026.</w:t>
      </w:r>
    </w:p>
    <w:p>
      <w:pPr>
        <w:pStyle w:val="Heading2"/>
        <w:spacing w:after="120" w:before="240"/>
      </w:pPr>
      <w:r>
        <w:rPr>
          <w:rFonts w:ascii="Calibri" w:cs="Calibri" w:eastAsia="Calibri" w:hAnsi="Calibri"/>
          <w:b/>
          <w:bCs/>
          <w:sz w:val="24"/>
          <w:szCs w:val="24"/>
        </w:rPr>
        <w:t xml:space="preserve">I. Sinteză Executivă (Scor Risc AI — Gemini + Claude + ChatGPT: 2.3/10)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inflația, majorarea TVA și scumpirea alimentelor au erodat tichetul de 45 lei. Susțin că un plafon de 50 lei ar proteja puterea de cumpărare a circa 3,2 milioane de angajați și ar aduce bugetului circa 1,46 mld lei.</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schimbă un singur număr: plafonul maxim din art. 14 urcă de la 45 la 50 lei. Angajatorii nu sunt obligați să acorde mai mult, deci niciun salariat nu primește automat ceva în plus. Câștigul bugetar promis presupune că toți angajatorii măresc tichetul și ignoră că firmele pot muta bani din salariu (cu CAS/CAM) în tichete (fără CAS/CAM). Afirmația că măsura nu afectează inflația contrazice chiar argumentul inițiatorilor despre stimularea consumului cu ~4 mld lei/an.</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Măsură benignă și opțională pentru mediul privat, care permite creșterea tichetului de masă la cel mult 50 lei/zi lucrată. Singura problemă reală este calendarul anacronic din Art. II, care prevede aplicarea din noiembrie 2026, deși legea este încă în consultare publică la finalul aceleiași luni. — Sub aspectul fondului, măsura este constituțională. Însă Art. II alin. (1), prin raportare la data parcurgerii procedurii parlamentare, încalcă art. 15 alin. (2) din Constituție (neretroactivitatea legii civile/fiscale) și art. 1 alin. (5) privind previzibilitatea normei, întrucât potrivit Legii nr. 165/2018 tichetele se transferă salariaților în ultima decadă a lunii anterioare sau în luna în curs, înainte ca această lege să poată intra în vigoare. Nu ridică probleme de compatibilitate cu dreptul Uniunii Europene. Nu restrânge libertatea de stabilire sau libera prestare a serviciilor (Directiva 2018/958 nu este incidentă) și nu introduce reglementări tehnice noi privind serviciile societății informaționale care să impună notificarea TRIS conform Directivei (UE) 2015/1535.</w:t>
      </w:r>
    </w:p>
    <w:p>
      <w:pPr>
        <w:spacing w:after="160"/>
        <w:jc w:val="both"/>
      </w:pPr>
      <w:r>
        <w:rPr>
          <w:rFonts w:ascii="Calibri" w:cs="Calibri" w:eastAsia="Calibri" w:hAnsi="Calibri"/>
          <w:sz w:val="22"/>
          <w:szCs w:val="22"/>
        </w:rPr>
        <w:t xml:space="preserve">Evaluare Claude (Claude Opus 5.5): Măsura e benignă și opțională: ridică doar plafonul, fără să oblige vreun angajator să plătească mai mult. Are două probleme: data de aplicare este retroactivă (noiembrie 2026), iar calculele bugetare din Expunere sunt umflate și se contrazic între ele. — Art. I este clar și previzibil (art. 1 alin. 5). Problema este art. II alin. (1): legea nu poate intra în vigoare înainte de acordarea drepturilor pe noiembrie 2026, deci aplicarea ar fi retroactivă, contrar art. 15 alin. (2) și art. 78 din Constituție. Ar crea și incertitudine privind impozitul și CASS pentru tichetele deja acordate. Propunerea afectează veniturile bugetare, deci informarea Guvernului este obligatorie (art. 111 alin. 1). Art. 138 alin. (5) este atins doar marginal, fiindcă măsura nu impune cheltuieli obligatorii. Cu data corectată, legea este constituțională. Directiva (UE) 2018/958 nu se aplică, pentru că propunerea nu reglementează accesul la o profesie sau exercitarea ei. Nici TRIS (2015/1535) nu este incidentă: se modifică un plafon fiscal, nu o regulă tehnică pentru servicii ale societății informaționale. Măsura este generală, fără selectivitate relevantă pentru ajutorul de stat. Contează însă cadrul fiscal UE: România se află în procedura de deficit excesiv, iar o cheltuială fiscală suplimentară (venit scutit de CAS/CAM) trebuie evaluată realist și compensată în traiectoria de ajustare.</w:t>
      </w:r>
    </w:p>
    <w:p>
      <w:pPr>
        <w:spacing w:after="160"/>
        <w:jc w:val="both"/>
      </w:pPr>
      <w:r>
        <w:rPr>
          <w:rFonts w:ascii="Calibri" w:cs="Calibri" w:eastAsia="Calibri" w:hAnsi="Calibri"/>
          <w:sz w:val="22"/>
          <w:szCs w:val="22"/>
        </w:rPr>
        <w:t xml:space="preserve">Evaluare ChatGPT (GPT-6.1 Sol): Măsură utilă, cu risc redus: permite angajatorilor să ofere tichete mai mari, fără obligații generale de majorare. Aplicarea în timp trebuie clarificată, iar veniturile bugetare promise sunt supraestimate ca certitudine. — Plafonul este clar în sensul art. 1 alin. (5); vulnerabilitatea principală privește tranziția temporală, care trebuie corelată cu neretroactivitatea din art. 15 alin. (2) și intrarea în vigoare potrivit art. 78. Art. 23 alin. (12), privind legalitatea pedepsei, nu ridică o problemă proprie aici: proiectul nu introduce pedepse. Dacă se identifică modificări ale prevederilor bugetare, trebuie respectat art. 111 alin. (1), iar eventualele cheltuieli bugetare noi trebuie examinate potrivit art. 138 alin. (5); majorarea facultativă a plafonului nu dovedește singură încălcarea acestor norme. [Constituția României](https://legislatie.just.ro/Public/DetaliiDocument/47355) Nu rezultă bariere noi la intrarea pe piață, exclusivități sau discriminări între emitenți; creșterea volumelor poate avantaja operatorii existenți, fără să instituie un monopol. Directiva (UE) 2018/958 privește accesul la profesii reglementate și exercitarea lor, astfel că nu impune aici testul său specific. Modificarea plafonului nu stabilește cerințe tehnice și nu reglementează în mod țintit servicii digitale sau AI; suportul electronic al tichetelor nu declanșează singur notificarea TRIS. Aceste concluzii privesc textul analizat. [Directiva 2018/958](https://eur-lex.europa.eu/eli/dir/2018/958/oj/eng), [Directiva 2015/1535](https://eur-lex.europa.eu/legal-content/EN/ALL/?uri=celex%3A32015L1535)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II alin. (1) și (2) – data de aplicare</w:t>
      </w:r>
    </w:p>
    <w:p>
      <w:pPr>
        <w:spacing w:after="160"/>
        <w:jc w:val="both"/>
      </w:pPr>
      <w:r>
        <w:rPr>
          <w:rFonts w:ascii="Calibri" w:cs="Calibri" w:eastAsia="Calibri" w:hAnsi="Calibri"/>
          <w:sz w:val="22"/>
          <w:szCs w:val="22"/>
        </w:rPr>
        <w:t xml:space="preserve">Conținut propunere: Art. II alin. (1) se modifică: „Prevederile art. I se aplică începând cu drepturile aferente lunii următoare celei în care prezenta lege intră în vigoare.” La alin. (2) se precizează explicit ce plafon se aplică începând cu octombrie 2027.</w:t>
      </w:r>
    </w:p>
    <w:p>
      <w:pPr>
        <w:spacing w:after="160"/>
        <w:jc w:val="both"/>
      </w:pPr>
      <w:r>
        <w:rPr>
          <w:rFonts w:ascii="Calibri" w:cs="Calibri" w:eastAsia="Calibri" w:hAnsi="Calibri"/>
          <w:sz w:val="22"/>
          <w:szCs w:val="22"/>
        </w:rPr>
        <w:t xml:space="preserve">Argumentare: Consultarea se încheie pe 27.11.2026; legea nu poate trece prin ambele Camere și promulgare înainte de acordarea drepturilor pe noiembrie. Aplicarea la drepturi deja acordate ar fi retroactivă (art. 15 alin. 2, art. 78 Constituție) și ar crea incertitudine fiscală (impozit, CASS) pentru angajatori. Data de aplicare trebuie legată de intrarea în vigoare.</w:t>
      </w:r>
    </w:p>
    <w:p>
      <w:pPr>
        <w:spacing w:after="160"/>
        <w:jc w:val="both"/>
      </w:pPr>
      <w:r>
        <w:rPr>
          <w:rFonts w:ascii="Calibri" w:cs="Calibri" w:eastAsia="Calibri" w:hAnsi="Calibri"/>
          <w:sz w:val="22"/>
          <w:szCs w:val="22"/>
        </w:rPr>
        <w:t xml:space="preserve">Observații suplimentare: Estimările din Expunere presupun că toți cei 3,2 mil. beneficiari primesc +5 lei/zi și ignoră înlocuirea salariului cu tichete (fără CAS/CAM), care scade contribuțiile la pensie. Cifrele sunt și contradictorii (TVA: 1,3 mld în text vs 564 mil. în tabel). Solicităm fișă financiară realistă și punctul de vedere al Guvernului (art. 111 Constituție).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B596/2026 (Cod Senat 28032)</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2026-10-29T13:43:16.406Z</dcterms:created>
  <dcterms:modified xsi:type="dcterms:W3CDTF">2026-10-29T13:43:16.406Z</dcterms:modified>
</cp:coreProperties>
</file>

<file path=docProps/custom.xml><?xml version="1.0" encoding="utf-8"?>
<Properties xmlns="http://schemas.openxmlformats.org/officeDocument/2006/custom-properties" xmlns:vt="http://schemas.openxmlformats.org/officeDocument/2006/docPropsVTypes"/>
</file>