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B600/2026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și completarea Ordonanței Guvernului nr.21/1992 privind protecția consumatorilor și a Ordonanței de urgență a Guvernului nr.111/2011 privind comunicațiile electronice, în vederea asigurării stabilității și predictibilității prețului contractual (Cod Senat: 28037 | Termen dezbatere publică: 27-11-2026)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B600/2026.</w:t>
      </w:r>
    </w:p>
    <w:p>
      <w:pPr>
        <w:pStyle w:val="Heading2"/>
        <w:spacing w:after="120" w:before="240"/>
      </w:pPr>
      <w:r>
        <w:rPr>
          <w:rFonts w:ascii="Calibri" w:cs="Calibri" w:eastAsia="Calibri" w:hAnsi="Calibri"/>
          <w:b/>
          <w:bCs/>
          <w:sz w:val="24"/>
          <w:szCs w:val="24"/>
        </w:rPr>
        <w:t xml:space="preserve">I. Sinteză Executivă (Scor Risc AI — Gemini + Claude + ChatGPT: 3.0/10)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Inițiatorul vrea ca, atunci când plătești în lei, să cunoști exact în lei prețul sau tariful unitar înainte să te obligi. Acesta nu ar mai putea crește automat odată cu cursul euro, iar în telecom orice scumpire ar necesita acordul tău expres.</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Noul art. 10^1 din OG 21/1992 obligă comerciantul să fixeze în lei prețul de bază înainte de semnare sau de plata unui avans nerestituibil. Dacă oferta era doar în valută, conversia se face o singură dată, la cursul BNR. Recalcularea după curs este interzisă sub orice denumire, iar scumpirile rămân posibile doar prin indice oficial convenit (de exemplu inflația), prin acord expres sau prin lege. Efectele secundare: riscul valutar va fi inclus de la început în preț, deci ofertele pot fi puțin mai scumpe, iar clauzele de indexare cu inflația se vor generaliza. Dezvoltatorii și dealerii pot ocoli legea cerând plata direct în euro (alin. 11 lit. d), iar în telecom alin. (5^1) nu spune ce se întâmplă dacă abonatul refuză scumpirea.</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O propunere legislativă pro-consumator neobișnuit de bine redactată tehnic, care elimină practica facturării în lei la „cursul băncii vânzătorului” și scumpirea unilaterală a abonamentelor telecom prin simpla tăcere a clientului. Deși utilă, legea poate determina comercianții să includă preventiv o marjă de risc în prețul inițial în lei sau să înlocuiască riscul valutar cu clauze de indexare automată cu inflația. — Textul respectă exigențele de calitate și previzibilitate a legii (Art. 1 alin. 5 din Constituție), fiind redactat îngrijit și corelat cu observațiile anterioare ale Consiliului Legislativ. Sub aspectul libertății economice (Art. 45), măsura este proporțională deoarece nu plafonează prețurile sau marjele comerciale, ci reglementează doar moneda de cont în raporturile B2C plătibile în moneda națională (Art. 137 alin. 2). Aplicarea asupra contractelor în curs doar de la prima prelungire sau reînnoire (Art. III alin. 2) respectă principiul neretroactivității legii (Art. 15 alin. 2). Nu încalcă Directiva (UE) 2018/958 (nu introduce restricții privind profesiile reglementate), însă necesită atenție pe două paliere: (1) Directiva (UE) 2018/1972 impune armonizare maximă în sectorul telecom, iar condiționarea oricărei majorări de preț de acordul expres opt-in (chiar și la contractele pe durată nedeterminată) poate fi atacată la CJUE de operatori; (2) Directiva (UE) 2015/1535 (TRIS) și Directiva 2000/31/CE pot fi incidente în cazul platformelor digitale din alte state membre care tarifează conținut digital în euro prin factura operatorilor telecom.</w:t>
      </w:r>
    </w:p>
    <w:p>
      <w:pPr>
        <w:spacing w:after="160"/>
        <w:jc w:val="both"/>
      </w:pPr>
      <w:r>
        <w:rPr>
          <w:rFonts w:ascii="Calibri" w:cs="Calibri" w:eastAsia="Calibri" w:hAnsi="Calibri"/>
          <w:sz w:val="22"/>
          <w:szCs w:val="22"/>
        </w:rPr>
        <w:t xml:space="preserve">Evaluare Claude (Claude Opus 5.5): Lege pro-consumator, bine scrisă tehnic. Oprește practica „preț în euro, plătibil în lei la cursul băncii” la abonamente, mașini sau locuințe. Riscurile sunt juridice, nu capcane pentru cetățeni: regula acordului expres din telecom poate intra în conflict cu armonizarea maximă din Codul european al comunicațiilor electronice, iar proiectul se suprapune cu PL-x 562/2026. — Proiectul este compatibil în ansamblu cu Constituția. Libertatea economică (art. 45) se exercită „în condițiile legii”, iar restrângerea urmărește un scop legitim, protecția consumatorilor. Măsura este proporțională: nu plafonează prețul și nu fixează marja, ci reglementează doar moneda și momentul în care obligația devine determinată. Claritatea și previzibilitatea (art. 1 alin. 5) sunt în general bune, cu două excepții: noțiunea de „componentă fixă” nu e definită, iar alin. (5^1) din OUG 111/2011 nu spune ce se întâmplă la refuzul consumatorului. Neretroactivitatea (art. 15 alin. 2) e respectată prin aplicarea la contracte noi și la prelungiri, în spiritul art. 102 din Legea nr. 71/2011. Restul art. III e trunchiat în textul disponibil. O eventuală aplicare forțată la contracte în derulare, fără reînnoire, ar trebui verificată atent în lumina jurisprudenței CCR privind intervenția legiuitorului în contracte în curs (de exemplu Decizia nr. 62/2017, privind conversia creditelor în franci elvețieni). Directiva 2018/958 (testul de proporționalitate) nu se aplică, deoarece nu sunt vizate profesii reglementate. Pentru regula generală din OG 21/1992 nu se întrevăd conflicte. Directiva 93/13 privind clauzele abuzive e de armonizare minimă și permite o protecție sporită. Contractele cu consumatori sunt exceptate de la principiul țării de origine din Directiva 2000/31 (anexă), iar comercianții străini care își direcționează activitatea spre România se supun legii române (Regulamentul Roma I, art. 6). Punctul sensibil e telecomul: OUG 111/2011 transpune Directiva (UE) 2018/1972, al cărei art. 101 interzice norme naționale mai stricte sau mai puțin stricte pentru art. 102-115. Art. 105 alin. (4) prevede dreptul de reziliere fără costuri la modificări, nu acordul expres, astfel că alin. (5^1) poate fi contestat. Indexarea după un indice clar convenit e în linie cu CJUE C-326/14 (A1 Telekom Austria). TRIS (Directiva 2015/1535): norma e generală și nu vizează specific serviciile societății informaționale, deci notificarea nu pare obligatorie. Totuși, o notificare de precauție pentru partea de conținut digital și microplăți (art. 50^11 alin. 2) ar elimina riscul de inopozabilitate (CJUE C-194/94 CIA Security). În privința PSD2, facturarea prin operator e deja exceptată (art. 3 lit. l din Directiva 2015/2366), iar proiectul exclude expres serviciul de plată ca atare.</w:t>
      </w:r>
    </w:p>
    <w:p>
      <w:pPr>
        <w:spacing w:after="160"/>
        <w:jc w:val="both"/>
      </w:pPr>
      <w:r>
        <w:rPr>
          <w:rFonts w:ascii="Calibri" w:cs="Calibri" w:eastAsia="Calibri" w:hAnsi="Calibri"/>
          <w:sz w:val="22"/>
          <w:szCs w:val="22"/>
        </w:rPr>
        <w:t xml:space="preserve">Evaluare ChatGPT (GPT-6.1 Sol): Propunerea protejează util consumatorii împotriva recalculărilor valutare și păstrează libertatea comercianților de a stabili prețul inițial. Necesită corelări privind sancțiunile, tarifele dependente de consum și compatibilitatea regulilor telecom cu dreptul UE. — Nu identific o neconstituționalitate evidentă a regulii de stabilire a prețului în lei. Protecția consumatorilor poate justifica limitarea libertății contractuale, cu respectarea libertății economice și a concurenței, potrivit art. 45 și 135. Art. 1 alin. (5) impune corelarea obligațiilor cu sancțiunile și clarificarea aplicării în timp; art. 15 alin. (2) interzice retroactivitatea, fără a exclude automat reguli pentru efectele viitoare ale contractelor existente. Art. 23 alin. (12) privește legalitatea pedepsei penale: proiectul instituie contravenții, pentru care reperul central aici este previzibilitatea cerută de art. 1 alin. (5). [Constituția României](https://legislatie.just.ro/Public/DetaliiDocument/47355) Directiva 2018/958 privește accesul la profesii reglementate și exercitarea lor; proiectul nu introduce asemenea condiții, deci testul său special nu este aplicabil. [Art. 2](https://eur-lex.europa.eu/legal-content/EN/ALL/?uri=CELEX%3A32018L0958) Problema UE principală este raportul dintre acordul expres cerut în telecom și armonizarea deplină din art. 101, coroborat cu mecanismul notificării și încetării din art. 105 alin. (4) al Directivei 2018/1972: este necesară o justificare juridică, nu prezumția că orice protecție suplimentară este permisă. [Codul european al comunicațiilor](https://eur-lex.europa.eu/legal-content/EN/TXT/?qid=1579606892488&amp;uri=CELEX%3A32018L1972) TRIS nu devine obligatoriu doar fiindcă sunt menționate servicii digitale. Trebuie analizate distinct dispozițiile care le vizează explicit, potrivit art. 1 alin. (1) lit. e), și excepția pentru materiile telecom acoperite de legislația UE, de la alin. (3); dacă există norme notificabile, se aplică art. 5–6. Extrasul nu dovedește lipsa notificării. Proiectul nu reglementează specific AI. [Directiva 2015/1535](https://eur-lex.europa.eu/legal-content/EN/ALL/?uri=celex%3A32015L1535)</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II pct. 3 – art. 59^11 alin. (5^1)</w:t>
      </w:r>
    </w:p>
    <w:p>
      <w:pPr>
        <w:spacing w:after="160"/>
        <w:jc w:val="both"/>
      </w:pPr>
      <w:r>
        <w:rPr>
          <w:rFonts w:ascii="Calibri" w:cs="Calibri" w:eastAsia="Calibri" w:hAnsi="Calibri"/>
          <w:sz w:val="22"/>
          <w:szCs w:val="22"/>
        </w:rPr>
        <w:t xml:space="preserve">Conținut propunere: Se completează alin. (5^1) cu o teză finală: „Dacă consumatorul nu își exprimă acordul, contractul continuă la prețul inițial până la expirarea perioadei minime; la contractele pe durată nedeterminată, furnizorul îl poate denunța cu un preaviz de 30 de zile, fără costuri pentru consumator.”</w:t>
      </w:r>
    </w:p>
    <w:p>
      <w:pPr>
        <w:spacing w:after="160"/>
        <w:jc w:val="both"/>
      </w:pPr>
      <w:r>
        <w:rPr>
          <w:rFonts w:ascii="Calibri" w:cs="Calibri" w:eastAsia="Calibri" w:hAnsi="Calibri"/>
          <w:sz w:val="22"/>
          <w:szCs w:val="22"/>
        </w:rPr>
        <w:t xml:space="preserve">Argumentare: Textul nu spune ce se întâmplă dacă abonatul refuză majorarea, ceea ce lasă loc de litigii și presiuni (suspendare, migrare forțată pe alt plan). O regulă clară protejează consumatorul și reduce riscul de conflict cu Directiva (UE) 2018/1972 (art. 101 și 105), care armonizează maximal drepturile utilizatorilor finali.</w:t>
      </w:r>
    </w:p>
    <w:p>
      <w:pPr>
        <w:spacing w:after="160"/>
        <w:jc w:val="both"/>
      </w:pPr>
      <w:r>
        <w:rPr>
          <w:rFonts w:ascii="Calibri" w:cs="Calibri" w:eastAsia="Calibri" w:hAnsi="Calibri"/>
          <w:sz w:val="22"/>
          <w:szCs w:val="22"/>
        </w:rPr>
        <w:t xml:space="preserve">Observații suplimentare: Art. 10^1 se aplică doar dacă operatorul cere plata în lei; excepția de la alin. (11) lit. d) permite ocolirea prin cererea plății în euro (auto, imobiliare), cu comisionul de schimb mutat la banca clientului. Trebuie corelat cu PL-x 562/2026, ca să nu existe două regimuri diferite pentru aceeași factură în valută.</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destrajă.ro • Referință proiect: B600/2026 (Cod Senat 28037)</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2026-10-29T13:43:16.481Z</dcterms:created>
  <dcterms:modified xsi:type="dcterms:W3CDTF">2026-10-29T13:43:16.481Z</dcterms:modified>
</cp:coreProperties>
</file>

<file path=docProps/custom.xml><?xml version="1.0" encoding="utf-8"?>
<Properties xmlns="http://schemas.openxmlformats.org/officeDocument/2006/custom-properties" xmlns:vt="http://schemas.openxmlformats.org/officeDocument/2006/docPropsVTypes"/>
</file>