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B543/2026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Codului amenajării teritoriului, urbanismului și construcțiilor (Legea nr.169/2026) (Cod Senat: 27983 | Termen dezbatere publică: 04-11-2026)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cadrul procedurii de consultare publică parlamentară, formulez prezentul Punct de vedere referitor la Propunerea legislativă B543/2026 (Propunere legislativă pentru modificarea și completarea Codului amenajării teritoriului, urbanismului și construcțiilor (Legea nr.169/2026)).</w:t>
      </w:r>
    </w:p>
    <w:p>
      <w:pPr>
        <w:pStyle w:val="Heading2"/>
        <w:spacing w:after="120" w:before="240"/>
      </w:pPr>
      <w:r>
        <w:rPr>
          <w:rFonts w:ascii="Calibri" w:cs="Calibri" w:eastAsia="Calibri" w:hAnsi="Calibri"/>
          <w:b/>
          <w:bCs/>
          <w:sz w:val="24"/>
          <w:szCs w:val="24"/>
        </w:rPr>
        <w:t xml:space="preserve">I. Sinteză Executivă (Scor Risc AI — Gemini + Claude + ChatGPT: 8.6/10)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susține că lăcașurile de cult mici din mediul rural ridicate pe „locuri deja sfințite de înalții ierarhi” au un impact redus și nu ar trebui împovărate administrativ cu avize și studii de mediu.</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Textul propus la Art. 294 alin. (2) lit. c) introduce o derogare explicită de la Art. 197 alin. (4): situarea în perimetrul unei arii naturale protejate nu mai poate fi motiv de respingere și scutește construcția de „evaluarea adecvată, evaluarea impactului asupra mediului ori întocmirea altor studii de mediu”. Aceasta încalcă frontal Directiva Habitate 92/43/CEE (Art. 6 alin. 3) și pune în pericol Jalonul 315 din PNRR.</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Modifică noul Cod al Urbanismului (Legea 169/2026) pentru a permite construirea de lăcașuri de cult (până la 130 mp) în extravilan și în interiorul ariilor naturale protejate, eliminând expres obligația evaluării adecvate și a studiilor de impact asupra mediului (EIA).</w:t>
      </w:r>
    </w:p>
    <w:p>
      <w:pPr>
        <w:spacing w:after="160"/>
        <w:jc w:val="both"/>
      </w:pPr>
      <w:r>
        <w:rPr>
          <w:rFonts w:ascii="Calibri" w:cs="Calibri" w:eastAsia="Calibri" w:hAnsi="Calibri"/>
          <w:sz w:val="22"/>
          <w:szCs w:val="22"/>
        </w:rPr>
        <w:t xml:space="preserve">Textul propus la Art. 294 alin. (2) lit. c) introduce o derogare explicită de la Art. 197 alin. (4): situarea în perimetrul unei arii naturale protejate nu mai poate fi motiv de respingere și scutește construcția de „evaluarea adecvată, evaluarea impactului asupra mediului ori întocmirea altor studii de mediu”. Aceasta încalcă frontal Directiva Habitate 92/43/CEE (Art. 6 alin. 3) și pune în pericol Jalonul 315 din PNRR.</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propunerii B543/2026 sau eliminarea derogării de la art. 197 alin. (4) care permite construirea în perimetrul ariilor naturale protejate și în extravilan fără evaluare adecvată, fără studiu de impact asupra mediului și fără avizul administratorului ariei protejate.</w:t>
      </w:r>
    </w:p>
    <w:p>
      <w:pPr>
        <w:spacing w:after="160"/>
        <w:jc w:val="both"/>
      </w:pPr>
      <w:r>
        <w:rPr>
          <w:rFonts w:ascii="Calibri" w:cs="Calibri" w:eastAsia="Calibri" w:hAnsi="Calibri"/>
          <w:sz w:val="22"/>
          <w:szCs w:val="22"/>
        </w:rPr>
        <w:t xml:space="preserve">Scutirea prin lege a oricărei categorii de construcții în ariile naturale protejate (Natura 2000) de obligația evaluării adecvate încalcă flagrant art. 6 alin. (3) din Directiva 92/43/CEE (Habitate), Directiva 2011/92/UE (EIA) și art. 35 din Constituția României (dreptul la un mediu sănătos), expunând România la infringement.</w:t>
      </w:r>
    </w:p>
    <w:p>
      <w:pPr>
        <w:spacing w:after="160"/>
        <w:jc w:val="both"/>
      </w:pPr>
      <w:r>
        <w:rPr>
          <w:rFonts w:ascii="Calibri" w:cs="Calibri" w:eastAsia="Calibri" w:hAnsi="Calibri"/>
          <w:sz w:val="22"/>
          <w:szCs w:val="22"/>
        </w:rPr>
        <w:t xml:space="preserve">De asemenea, condiționarea regimului urbanistic de un criteriu confesional neprevizibil în dreptul public („locuri deja sfințite de către înalții ierarhi”) încalcă art. 1 alin. (5) din Constituție și afectează reforma PNRR (Jalonul 315 – Codul Urbanismului).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propunerii B543/2026 sau eliminarea derogării de la art. 197 alin. (4) care permite construirea în perimetrul ariilor naturale protejate și în extravilan fără evaluare adecvată, fără studiu de impact asupra mediului și fără avizul administratorului ariei protejate.</w:t>
      </w:r>
    </w:p>
    <w:p>
      <w:pPr>
        <w:pStyle w:val="ListParagraph"/>
        <w:numPr>
          <w:ilvl w:val="0"/>
          <w:numId w:val="1"/>
        </w:numPr>
        <w:spacing w:after="120"/>
      </w:pPr>
      <w:r>
        <w:rPr>
          <w:rFonts w:ascii="Calibri" w:cs="Calibri" w:eastAsia="Calibri" w:hAnsi="Calibri"/>
          <w:b/>
          <w:bCs/>
          <w:sz w:val="22"/>
          <w:szCs w:val="22"/>
        </w:rPr>
        <w:t xml:space="preserve">De asemenea, condiționarea regimului urbanistic de un criteriu confesional neprevizibil în dreptul public („locuri deja sfințite de către înalții ierarhi”) încalcă art. 1 alin. (5) din Constituție și afectează reforma PNRR (Jalonul 315 – Codul Urbanismului).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B543/2026 (Cod Senat 27983)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2026-10-28T16:12:47.331Z</dcterms:created>
  <dcterms:modified xsi:type="dcterms:W3CDTF">2026-10-28T16:12:47.331Z</dcterms:modified>
</cp:coreProperties>
</file>

<file path=docProps/custom.xml><?xml version="1.0" encoding="utf-8"?>
<Properties xmlns="http://schemas.openxmlformats.org/officeDocument/2006/custom-properties" xmlns:vt="http://schemas.openxmlformats.org/officeDocument/2006/docPropsVTypes"/>
</file>