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B574/2026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nr.53/2003 - Codul muncii și a Ordonanței de urgență a Guvernului nr.57/2019 privind Codul administrativ (Cod Senat: 28010 | Termen dezbatere publică: 18-11-2026)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cadrul procedurii de consultare publică parlamentară, formulez prezentul Punct de vedere referitor la Propunerea legislativă B574/2026 (Propunere legislativă pentru completarea Legii nr.53/2003 - Codul muncii și a Ordonanței de urgență a Guvernului nr.57/2019 privind Codul administrativ).</w:t>
      </w:r>
    </w:p>
    <w:p>
      <w:pPr>
        <w:pStyle w:val="Heading2"/>
        <w:spacing w:after="120" w:before="240"/>
      </w:pPr>
      <w:r>
        <w:rPr>
          <w:rFonts w:ascii="Calibri" w:cs="Calibri" w:eastAsia="Calibri" w:hAnsi="Calibri"/>
          <w:b/>
          <w:bCs/>
          <w:sz w:val="24"/>
          <w:szCs w:val="24"/>
        </w:rPr>
        <w:t xml:space="preserve">I. Sinteză Executivă (Scor Risc AI — Gemini + Claude + ChatGPT: 6.5/10)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invocă evitarea dublării veniturilor salariatului pe perioada în care contractul său de muncă a fost suspendat.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Similar cu B565/2026, dar merge și mai departe în Codul Muncii (Art. 52 alin. 2^1): dacă un angajat din mediul privat este suspendat de angajator (ex. plângere penală făcută de angajator), se angajează în altă parte ca să supraviețuiască, iar apoi este declarat nevinovat, angajatorul abuziv este scutit de plata despăgubirii în limita salariilor câștigate de om prin propria muncă în altă parte.</w:t>
      </w:r>
    </w:p>
    <w:p>
      <w:pPr>
        <w:spacing w:after="160"/>
        <w:jc w:val="both"/>
      </w:pPr>
      <w:r>
        <w:rPr>
          <w:rFonts w:ascii="Calibri" w:cs="Calibri" w:eastAsia="Calibri" w:hAnsi="Calibri"/>
          <w:sz w:val="22"/>
          <w:szCs w:val="22"/>
        </w:rPr>
        <w:t xml:space="preserve">În raporturile de muncă private, dacă un angajator formulează o plângere penală nefondată pentru a-și suspenda angajatul (art. 52 alin. 1 lit. b Codul Muncii), iar salariatul este nevoit să muncească la alt angajator pentru a-și întreține familia, proiectul îl premiază pe angajatorul abuziv scăzându-i din despăgubire banii munciți de salariat în altă parte!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spacing w:after="160"/>
        <w:jc w:val="both"/>
      </w:pPr>
      <w:r>
        <w:rPr>
          <w:rFonts w:ascii="Calibri" w:cs="Calibri" w:eastAsia="Calibri" w:hAnsi="Calibri"/>
          <w:sz w:val="22"/>
          <w:szCs w:val="22"/>
        </w:rPr>
        <w:t xml:space="preserve">Prin Decizia CCR nr. 405/2016 și jurisprudența ÎCCJ, suspendarea CIM din inițiativa angajatorului urmată de constatarea nevinovăției angajează răspunderea patrimonială obiectivă a angajatorului. Venitul obținut de salariat la un terț are drept cauză munca efectiv prestată pentru acel terț, nu fapta angajatorului inițial.</w:t>
      </w:r>
    </w:p>
    <w:p>
      <w:pPr>
        <w:spacing w:after="160"/>
        <w:jc w:val="both"/>
      </w:pPr>
      <w:r>
        <w:rPr>
          <w:rFonts w:ascii="Calibri" w:cs="Calibri" w:eastAsia="Calibri" w:hAnsi="Calibri"/>
          <w:sz w:val="22"/>
          <w:szCs w:val="22"/>
        </w:rPr>
        <w:t xml:space="preserve">Proiectul s-a suprapus cu B565/2026, fiind necesară conexarea și respingerea plafonării despăgubirilor salariaților nevinovați.</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Art. I privind introducerea alin. (2^1) și (2^2) la art. 52 din Codul muncii, întrucât exonerează angajatorul de răspundere pe seama muncii prestate de salariat la un alt angajator pe durata suspendării.</w:t>
      </w:r>
    </w:p>
    <w:p>
      <w:pPr>
        <w:pStyle w:val="ListParagraph"/>
        <w:numPr>
          <w:ilvl w:val="0"/>
          <w:numId w:val="1"/>
        </w:numPr>
        <w:spacing w:after="120"/>
      </w:pPr>
      <w:r>
        <w:rPr>
          <w:rFonts w:ascii="Calibri" w:cs="Calibri" w:eastAsia="Calibri" w:hAnsi="Calibri"/>
          <w:b/>
          <w:bCs/>
          <w:sz w:val="22"/>
          <w:szCs w:val="22"/>
        </w:rPr>
        <w:t xml:space="preserve">Proiectul s-a suprapus cu B565/2026, fiind necesară conexarea și respingerea plafonării despăgubirilor salariaților nevinovați.</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B574/2026 (Cod Senat 28010)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2026-10-28T16:12:47.488Z</dcterms:created>
  <dcterms:modified xsi:type="dcterms:W3CDTF">2026-10-28T16:12:47.488Z</dcterms:modified>
</cp:coreProperties>
</file>

<file path=docProps/custom.xml><?xml version="1.0" encoding="utf-8"?>
<Properties xmlns="http://schemas.openxmlformats.org/officeDocument/2006/custom-properties" xmlns:vt="http://schemas.openxmlformats.org/officeDocument/2006/docPropsVTypes"/>
</file>