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Variant Interpretation Pipeline — Research Validation Report</w:t>
      </w:r>
    </w:p>
    <w:p>
      <w:r>
        <w:rPr>
          <w:i/>
          <w:iCs/>
          <w:color w:val="AA0000"/>
          <w:sz w:val="18"/>
          <w:szCs w:val="18"/>
        </w:rPr>
        <w:t xml:space="preserve">Bioinformatics Research Project | RESEARCH USE ONLY — NOT A CLINICAL DOCUMENT</w:t>
      </w:r>
    </w:p>
    <w:p>
      <w:pPr>
        <w:pBdr>
          <w:bottom w:val="single" w:color="999999" w:sz="6" w:space="4"/>
        </w:pBdr>
      </w:pPr>
      <w:r>
        <w:rPr>
          <w:sz w:val="18"/>
          <w:szCs w:val="18"/>
        </w:rPr>
        <w:t xml:space="preserve">Synthetic positive-control validation using known ClinVar pathogenic variants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3200"/>
      </w:tblGrid>
      <w:tr>
        <w:tc>
          <w:tcPr>
            <w:tcW w:type="dxa" w:w="2200"/>
            <w:shd w:fill="F0F0F0" w:val="clear"/>
          </w:tcPr>
          <w:p>
            <w:r>
              <w:rPr>
                <w:b/>
                <w:bCs/>
                <w:sz w:val="18"/>
                <w:szCs w:val="18"/>
              </w:rPr>
              <w:t xml:space="preserve">Subject Identifier</w:t>
            </w:r>
          </w:p>
        </w:tc>
        <w:tc>
          <w:tcPr>
            <w:tcW w:type="dxa" w:w="3200"/>
          </w:tcPr>
          <w:p>
            <w:r>
              <w:rPr>
                <w:sz w:val="18"/>
                <w:szCs w:val="18"/>
              </w:rPr>
              <w:t xml:space="preserve">PC-CSS-001</w:t>
            </w:r>
          </w:p>
        </w:tc>
        <w:tc>
          <w:tcPr>
            <w:tcW w:type="dxa" w:w="2200"/>
            <w:shd w:fill="F0F0F0" w:val="clear"/>
          </w:tcPr>
          <w:p>
            <w:r>
              <w:rPr>
                <w:b/>
                <w:bCs/>
                <w:sz w:val="18"/>
                <w:szCs w:val="18"/>
              </w:rPr>
              <w:t xml:space="preserve">Data Source</w:t>
            </w:r>
          </w:p>
        </w:tc>
        <w:tc>
          <w:tcPr>
            <w:tcW w:type="dxa" w:w="3200"/>
          </w:tcPr>
          <w:p>
            <w:r>
              <w:rPr>
                <w:sz w:val="18"/>
                <w:szCs w:val="18"/>
              </w:rPr>
              <w:t xml:space="preserve">Local ClinVar (clinvar_20240917)</w:t>
            </w:r>
          </w:p>
        </w:tc>
      </w:tr>
      <w:tr>
        <w:tc>
          <w:tcPr>
            <w:tcW w:type="dxa" w:w="2200"/>
            <w:shd w:fill="F0F0F0" w:val="clear"/>
          </w:tcPr>
          <w:p>
            <w:r>
              <w:rPr>
                <w:b/>
                <w:bCs/>
                <w:sz w:val="18"/>
                <w:szCs w:val="18"/>
              </w:rPr>
              <w:t xml:space="preserve">Sample Type</w:t>
            </w:r>
          </w:p>
        </w:tc>
        <w:tc>
          <w:tcPr>
            <w:tcW w:type="dxa" w:w="3200"/>
          </w:tcPr>
          <w:p>
            <w:r>
              <w:rPr>
                <w:sz w:val="18"/>
                <w:szCs w:val="18"/>
              </w:rPr>
              <w:t xml:space="preserve">Synthetic / in-silico positive control</w:t>
            </w:r>
          </w:p>
        </w:tc>
        <w:tc>
          <w:tcPr>
            <w:tcW w:type="dxa" w:w="2200"/>
            <w:shd w:fill="F0F0F0" w:val="clear"/>
          </w:tcPr>
          <w:p>
            <w:r>
              <w:rPr>
                <w:b/>
                <w:bCs/>
                <w:sz w:val="18"/>
                <w:szCs w:val="18"/>
              </w:rPr>
              <w:t xml:space="preserve">Reference Build</w:t>
            </w:r>
          </w:p>
        </w:tc>
        <w:tc>
          <w:tcPr>
            <w:tcW w:type="dxa" w:w="3200"/>
          </w:tcPr>
          <w:p>
            <w:r>
              <w:rPr>
                <w:sz w:val="18"/>
                <w:szCs w:val="18"/>
              </w:rPr>
              <w:t xml:space="preserve">GRCh38</w:t>
            </w:r>
          </w:p>
        </w:tc>
      </w:tr>
      <w:tr>
        <w:tc>
          <w:tcPr>
            <w:tcW w:type="dxa" w:w="2200"/>
            <w:shd w:fill="F0F0F0" w:val="clear"/>
          </w:tcPr>
          <w:p>
            <w:r>
              <w:rPr>
                <w:b/>
                <w:bCs/>
                <w:sz w:val="18"/>
                <w:szCs w:val="18"/>
              </w:rPr>
              <w:t xml:space="preserve">Genes Analyzed</w:t>
            </w:r>
          </w:p>
        </w:tc>
        <w:tc>
          <w:tcPr>
            <w:tcW w:type="dxa" w:w="3200"/>
          </w:tcPr>
          <w:p>
            <w:r>
              <w:rPr>
                <w:sz w:val="18"/>
                <w:szCs w:val="18"/>
              </w:rPr>
              <w:t xml:space="preserve">ARID1B</w:t>
            </w:r>
          </w:p>
        </w:tc>
        <w:tc>
          <w:tcPr>
            <w:tcW w:type="dxa" w:w="2200"/>
            <w:shd w:fill="F0F0F0" w:val="clear"/>
          </w:tcPr>
          <w:p>
            <w:r>
              <w:rPr>
                <w:b/>
                <w:bCs/>
                <w:sz w:val="18"/>
                <w:szCs w:val="18"/>
              </w:rPr>
              <w:t xml:space="preserve">Report Date</w:t>
            </w:r>
          </w:p>
        </w:tc>
        <w:tc>
          <w:tcPr>
            <w:tcW w:type="dxa" w:w="3200"/>
          </w:tcPr>
          <w:p>
            <w:r>
              <w:rPr>
                <w:sz w:val="18"/>
                <w:szCs w:val="18"/>
              </w:rPr>
              <w:t xml:space="preserve">2026-07-20</w:t>
            </w:r>
          </w:p>
        </w:tc>
      </w:tr>
      <w:tr>
        <w:tc>
          <w:tcPr>
            <w:tcW w:type="dxa" w:w="2200"/>
            <w:shd w:fill="F0F0F0" w:val="clear"/>
          </w:tcPr>
          <w:p>
            <w:r>
              <w:rPr>
                <w:b/>
                <w:bCs/>
                <w:sz w:val="18"/>
                <w:szCs w:val="18"/>
              </w:rPr>
              <w:t xml:space="preserve">Pipeline Version</w:t>
            </w:r>
          </w:p>
        </w:tc>
        <w:tc>
          <w:tcPr>
            <w:tcW w:type="dxa" w:w="3200"/>
          </w:tcPr>
          <w:p>
            <w:r>
              <w:rPr>
                <w:sz w:val="18"/>
                <w:szCs w:val="18"/>
              </w:rPr>
              <w:t xml:space="preserve">VariantInterpretationPipeline v1 (steps 00–09)</w:t>
            </w:r>
          </w:p>
        </w:tc>
        <w:tc>
          <w:tcPr>
            <w:tcW w:type="dxa" w:w="2200"/>
            <w:shd w:fill="F0F0F0" w:val="clear"/>
          </w:tcPr>
          <w:p>
            <w:r>
              <w:rPr>
                <w:b/>
                <w:bCs/>
                <w:sz w:val="18"/>
                <w:szCs w:val="18"/>
              </w:rPr>
              <w:t xml:space="preserve">Classification Method</w:t>
            </w:r>
          </w:p>
        </w:tc>
        <w:tc>
          <w:tcPr>
            <w:tcW w:type="dxa" w:w="3200"/>
          </w:tcPr>
          <w:p>
            <w:r>
              <w:rPr>
                <w:sz w:val="18"/>
                <w:szCs w:val="18"/>
              </w:rPr>
              <w:t xml:space="preserve">ACMG/AMP via InterVar 2.2.2</w:t>
            </w:r>
          </w:p>
        </w:tc>
      </w:tr>
    </w:tbl>
    <w:p/>
    <w:p>
      <w:pPr>
        <w:pStyle w:val="Heading1"/>
        <w:spacing w:after="120" w:before="300"/>
      </w:pPr>
      <w:r>
        <w:rPr>
          <w:b/>
          <w:bCs/>
          <w:color w:val="1F3864"/>
          <w:sz w:val="22"/>
          <w:szCs w:val="22"/>
        </w:rPr>
        <w:t xml:space="preserve">TEST RESULT SUMMARY</w:t>
      </w:r>
    </w:p>
    <w:p>
      <w:pPr>
        <w:spacing w:after="160"/>
      </w:pPr>
      <w:r>
        <w:rPr>
          <w:sz w:val="20"/>
          <w:szCs w:val="20"/>
        </w:rPr>
        <w:t xml:space="preserve">One known ClinVar-pathogenic variant associated with Coffin-Siris syndrome was introduced as a positive control: a heterozygous variant in ARID1B (chr6:156,779,240 C&gt;G). This variant is catalogued in ClinVar as Pathogenic and associated with Coffin-Siris syndrome 1. The pipeline's automated ACMG/AMP evaluation (InterVar 2.2.2) independently classified this variant as Pathogenic, concordant with its ClinVar designation.</w:t>
      </w:r>
    </w:p>
    <w:p>
      <w:pPr>
        <w:pStyle w:val="Heading1"/>
        <w:spacing w:after="120" w:before="300"/>
      </w:pPr>
      <w:r>
        <w:rPr>
          <w:b/>
          <w:bCs/>
          <w:color w:val="1F3864"/>
          <w:sz w:val="22"/>
          <w:szCs w:val="22"/>
        </w:rPr>
        <w:t xml:space="preserve">PRIMARY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000"/>
        <w:gridCol w:w="2600"/>
        <w:gridCol w:w="1600"/>
        <w:gridCol w:w="1900"/>
        <w:gridCol w:w="1200"/>
      </w:tblGrid>
      <w:tr>
        <w:trPr>
          <w:tblHeader/>
        </w:trPr>
        <w:tc>
          <w:tcPr>
            <w:tcW w:type="dxa" w:w="1200"/>
            <w:shd w:fill="1F3864" w:val="clear"/>
          </w:tcPr>
          <w:p>
            <w:r>
              <w:rPr>
                <w:b/>
                <w:bCs/>
                <w:color w:val="FFFFFF"/>
                <w:sz w:val="16"/>
                <w:szCs w:val="16"/>
              </w:rPr>
              <w:t xml:space="preserve">Gene</w:t>
            </w:r>
          </w:p>
        </w:tc>
        <w:tc>
          <w:tcPr>
            <w:tcW w:type="dxa" w:w="1500"/>
            <w:shd w:fill="1F3864" w:val="clear"/>
          </w:tcPr>
          <w:p>
            <w:r>
              <w:rPr>
                <w:b/>
                <w:bCs/>
                <w:color w:val="FFFFFF"/>
                <w:sz w:val="16"/>
                <w:szCs w:val="16"/>
              </w:rPr>
              <w:t xml:space="preserve">Chr:Position</w:t>
            </w:r>
          </w:p>
        </w:tc>
        <w:tc>
          <w:tcPr>
            <w:tcW w:type="dxa" w:w="1000"/>
            <w:shd w:fill="1F3864" w:val="clear"/>
          </w:tcPr>
          <w:p>
            <w:r>
              <w:rPr>
                <w:b/>
                <w:bCs/>
                <w:color w:val="FFFFFF"/>
                <w:sz w:val="16"/>
                <w:szCs w:val="16"/>
              </w:rPr>
              <w:t xml:space="preserve">Ref&gt;Alt</w:t>
            </w:r>
          </w:p>
        </w:tc>
        <w:tc>
          <w:tcPr>
            <w:tcW w:type="dxa" w:w="2600"/>
            <w:shd w:fill="1F3864" w:val="clear"/>
          </w:tcPr>
          <w:p>
            <w:r>
              <w:rPr>
                <w:b/>
                <w:bCs/>
                <w:color w:val="FFFFFF"/>
                <w:sz w:val="16"/>
                <w:szCs w:val="16"/>
              </w:rPr>
              <w:t xml:space="preserve">ClinVar Disease</w:t>
            </w:r>
          </w:p>
        </w:tc>
        <w:tc>
          <w:tcPr>
            <w:tcW w:type="dxa" w:w="1600"/>
            <w:shd w:fill="1F3864" w:val="clear"/>
          </w:tcPr>
          <w:p>
            <w:r>
              <w:rPr>
                <w:b/>
                <w:bCs/>
                <w:color w:val="FFFFFF"/>
                <w:sz w:val="16"/>
                <w:szCs w:val="16"/>
              </w:rPr>
              <w:t xml:space="preserve">ClinVar Sig.</w:t>
            </w:r>
          </w:p>
        </w:tc>
        <w:tc>
          <w:tcPr>
            <w:tcW w:type="dxa" w:w="1900"/>
            <w:shd w:fill="1F3864" w:val="clear"/>
          </w:tcPr>
          <w:p>
            <w:r>
              <w:rPr>
                <w:b/>
                <w:bCs/>
                <w:color w:val="FFFFFF"/>
                <w:sz w:val="16"/>
                <w:szCs w:val="16"/>
              </w:rPr>
              <w:t xml:space="preserve">InterVar Classification</w:t>
            </w:r>
          </w:p>
        </w:tc>
        <w:tc>
          <w:tcPr>
            <w:tcW w:type="dxa" w:w="1200"/>
            <w:shd w:fill="1F3864" w:val="clear"/>
          </w:tcPr>
          <w:p>
            <w:r>
              <w:rPr>
                <w:b/>
                <w:bCs/>
                <w:color w:val="FFFFFF"/>
                <w:sz w:val="16"/>
                <w:szCs w:val="16"/>
              </w:rPr>
              <w:t xml:space="preserve">Evidence Count</w:t>
            </w:r>
          </w:p>
        </w:tc>
      </w:tr>
      <w:tr>
        <w:tc>
          <w:tcPr>
            <w:tcW w:type="dxa" w:w="1200"/>
            <w:shd w:fill="E2EFDA" w:val="clear"/>
          </w:tcPr>
          <w:p>
            <w:r>
              <w:rPr>
                <w:sz w:val="16"/>
                <w:szCs w:val="16"/>
              </w:rPr>
              <w:t xml:space="preserve">ARID1B</w:t>
            </w:r>
          </w:p>
        </w:tc>
        <w:tc>
          <w:tcPr>
            <w:tcW w:type="dxa" w:w="1500"/>
            <w:shd w:fill="E2EFDA" w:val="clear"/>
          </w:tcPr>
          <w:p>
            <w:r>
              <w:rPr>
                <w:sz w:val="16"/>
                <w:szCs w:val="16"/>
              </w:rPr>
              <w:t xml:space="preserve">chr6:156,779,240</w:t>
            </w:r>
          </w:p>
        </w:tc>
        <w:tc>
          <w:tcPr>
            <w:tcW w:type="dxa" w:w="1000"/>
            <w:shd w:fill="E2EFDA" w:val="clear"/>
          </w:tcPr>
          <w:p>
            <w:r>
              <w:rPr>
                <w:sz w:val="16"/>
                <w:szCs w:val="16"/>
              </w:rPr>
              <w:t xml:space="preserve">C&gt;G</w:t>
            </w:r>
          </w:p>
        </w:tc>
        <w:tc>
          <w:tcPr>
            <w:tcW w:type="dxa" w:w="2600"/>
            <w:shd w:fill="E2EFDA" w:val="clear"/>
          </w:tcPr>
          <w:p>
            <w:r>
              <w:rPr>
                <w:sz w:val="16"/>
                <w:szCs w:val="16"/>
              </w:rPr>
              <w:t xml:space="preserve">Coffin-Siris syndrome 1</w:t>
            </w:r>
          </w:p>
        </w:tc>
        <w:tc>
          <w:tcPr>
            <w:tcW w:type="dxa" w:w="1600"/>
            <w:shd w:fill="E2EFDA" w:val="clear"/>
          </w:tcPr>
          <w:p>
            <w:r>
              <w:rPr>
                <w:sz w:val="16"/>
                <w:szCs w:val="16"/>
              </w:rPr>
              <w:t xml:space="preserve">Pathogenic</w:t>
            </w:r>
          </w:p>
        </w:tc>
        <w:tc>
          <w:tcPr>
            <w:tcW w:type="dxa" w:w="1900"/>
            <w:shd w:fill="E2EFDA" w:val="clear"/>
          </w:tcPr>
          <w:p>
            <w:r>
              <w:rPr>
                <w:sz w:val="16"/>
                <w:szCs w:val="16"/>
              </w:rPr>
              <w:t xml:space="preserve">Pathogenic</w:t>
            </w:r>
          </w:p>
        </w:tc>
        <w:tc>
          <w:tcPr>
            <w:tcW w:type="dxa" w:w="1200"/>
            <w:shd w:fill="E2EFDA" w:val="clear"/>
          </w:tcPr>
          <w:p>
            <w:r>
              <w:rPr>
                <w:sz w:val="16"/>
                <w:szCs w:val="16"/>
              </w:rPr>
              <w:t xml:space="preserve">13</w:t>
            </w:r>
          </w:p>
        </w:tc>
      </w:tr>
    </w:tbl>
    <w:p>
      <w:pPr>
        <w:pStyle w:val="Heading1"/>
        <w:spacing w:after="120" w:before="300"/>
      </w:pPr>
      <w:r>
        <w:rPr>
          <w:b/>
          <w:bCs/>
          <w:color w:val="1F3864"/>
          <w:sz w:val="22"/>
          <w:szCs w:val="22"/>
        </w:rPr>
        <w:t xml:space="preserve">INTERPRETATION</w:t>
      </w:r>
    </w:p>
    <w:p>
      <w:pPr>
        <w:spacing w:after="160"/>
      </w:pPr>
      <w:r>
        <w:rPr>
          <w:sz w:val="20"/>
          <w:szCs w:val="20"/>
        </w:rPr>
        <w:t xml:space="preserve">ARID1B (chr6:156,779,240 C&gt;G): This variant is catalogued in ClinVar as Pathogenic and associated with Coffin-Siris syndrome 1. ARID1B encodes a subunit of the BAF (SWI/SNF) chromatin-remodeling complex, which regulates gene expression during neurodevelopment. ARID1B is the most commonly implicated gene in Coffin-Siris syndrome, with disease typically caused by de novo loss-of-function or damaging variants leading to haploinsufficiency of the BAF complex. The pipeline's independent ACMG/AMP evaluation classified this variant as Pathogenic with 13 supporting evidence codes, in concordance with the ClinVar designation.</w:t>
      </w:r>
    </w:p>
    <w:p>
      <w:pPr>
        <w:pStyle w:val="Heading1"/>
        <w:spacing w:after="120" w:before="300"/>
      </w:pPr>
      <w:r>
        <w:rPr>
          <w:b/>
          <w:bCs/>
          <w:color w:val="1F3864"/>
          <w:sz w:val="22"/>
          <w:szCs w:val="22"/>
        </w:rPr>
        <w:t xml:space="preserve">GENE INFORMATION</w:t>
      </w:r>
    </w:p>
    <w:p>
      <w:pPr>
        <w:spacing w:after="160"/>
      </w:pPr>
      <w:r>
        <w:rPr>
          <w:sz w:val="20"/>
          <w:szCs w:val="20"/>
        </w:rPr>
        <w:t xml:space="preserve">ARID1B is a core scaffolding subunit of the BAF chromatin-remodeling complex, essential for regulating chromatin accessibility during neural development. Pathogenic ARID1B variants are the leading identified cause of Coffin-Siris syndrome, a disorder characterized by intellectual disability, coarse facial features, hypoplasia or absence of the fifth finger/toenail, and variable structural anomalies. Most pathogenic variants are de novo loss-of-function events (nonsense, frameshift, or splice-site), consistent with a haploinsufficiency disease mechanism; missense variants are comparatively less commonly pathogenic in this gene.</w:t>
      </w:r>
    </w:p>
    <w:p>
      <w:pPr>
        <w:pStyle w:val="Heading1"/>
        <w:spacing w:after="120" w:before="300"/>
      </w:pPr>
      <w:r>
        <w:rPr>
          <w:b/>
          <w:bCs/>
          <w:color w:val="1F3864"/>
          <w:sz w:val="22"/>
          <w:szCs w:val="22"/>
        </w:rPr>
        <w:t xml:space="preserve">VALIDATION NOTES</w:t>
      </w:r>
    </w:p>
    <w:p>
      <w:pPr>
        <w:pStyle w:val="ListParagraph"/>
        <w:numPr>
          <w:ilvl w:val="0"/>
          <w:numId w:val="1"/>
        </w:numPr>
        <w:spacing w:after="60"/>
      </w:pPr>
      <w:r>
        <w:rPr>
          <w:sz w:val="18"/>
          <w:szCs w:val="18"/>
        </w:rPr>
        <w:t xml:space="preserve">The variant was correctly retained through all 9 pipeline stages with no data loss.</w:t>
      </w:r>
    </w:p>
    <w:p>
      <w:pPr>
        <w:pStyle w:val="ListParagraph"/>
        <w:numPr>
          <w:ilvl w:val="0"/>
          <w:numId w:val="1"/>
        </w:numPr>
        <w:spacing w:after="60"/>
      </w:pPr>
      <w:r>
        <w:rPr>
          <w:sz w:val="18"/>
          <w:szCs w:val="18"/>
        </w:rPr>
        <w:t xml:space="preserve">This result demonstrates correct Pathogenic classification when strong, concordant ACMG evidence is available, extending validation coverage to a chromatin-remodeling disease mechanism distinct from the ion-channel (LQTS) and sarcomere (HCM) mechanisms validated separately.</w:t>
      </w:r>
    </w:p>
    <w:p>
      <w:pPr>
        <w:pStyle w:val="Heading1"/>
        <w:spacing w:after="120" w:before="300"/>
      </w:pPr>
      <w:r>
        <w:rPr>
          <w:b/>
          <w:bCs/>
          <w:color w:val="1F3864"/>
          <w:sz w:val="22"/>
          <w:szCs w:val="22"/>
        </w:rPr>
        <w:t xml:space="preserve">METHODOLOGY</w:t>
      </w:r>
    </w:p>
    <w:p>
      <w:pPr>
        <w:spacing w:after="160"/>
      </w:pPr>
      <w:r>
        <w:rPr>
          <w:sz w:val="20"/>
          <w:szCs w:val="20"/>
        </w:rPr>
        <w:t xml:space="preserve">Synthetic variant records were constructed directly from genomic coordinates and clinical significance annotations present in a locally hosted ClinVar database (release 20240917). Variants were processed through a custom variant interpretation pipeline consisting of: contig header normalization, VCF structural validation, bcftools-based variant normalization against GRCh38, SnpEff (GRCh38.99) functional consequence annotation, ANNOVAR-based ClinVar/gnomAD/dbNSFP annotation, RepeatMasker repeat-region overlap annotation, and InterVar 2.2.2 automated ACMG/AMP classification. Final classifications were filtered and compiled into a summary report.</w:t>
      </w:r>
    </w:p>
    <w:p>
      <w:pPr>
        <w:pStyle w:val="Heading1"/>
        <w:spacing w:after="120" w:before="300"/>
      </w:pPr>
      <w:r>
        <w:rPr>
          <w:b/>
          <w:bCs/>
          <w:color w:val="1F3864"/>
          <w:sz w:val="22"/>
          <w:szCs w:val="22"/>
        </w:rPr>
        <w:t xml:space="preserve">LIMITATIONS</w:t>
      </w:r>
    </w:p>
    <w:p>
      <w:pPr>
        <w:spacing w:after="160"/>
      </w:pPr>
      <w:r>
        <w:rPr>
          <w:sz w:val="20"/>
          <w:szCs w:val="20"/>
        </w:rPr>
        <w:t xml:space="preserve">This is a synthetic, single-variant positive control exercise using a known, previously curated ClinVar entry — it is designed to validate pipeline mechanics and does not represent a real patient's genome, a real clinical test, or a comprehensive diagnostic evaluation. A single-variant test does not assess the pipeline's handling of the large truncating/frameshift indels that account for the majority of real ARID1B pathogenic variants; that class of variant was noted as a distinct area for follow-up testing during earlier pipeline debugging (see TNNT2 intronic-indel discussion, unrelated gene).</w:t>
      </w:r>
    </w:p>
    <w:p>
      <w:pPr>
        <w:pBdr>
          <w:top w:val="single" w:color="999999" w:sz="6" w:space="8"/>
        </w:pBdr>
        <w:spacing w:before="300"/>
      </w:pPr>
      <w:r>
        <w:rPr>
          <w:i/>
          <w:iCs/>
          <w:color w:val="AA0000"/>
          <w:sz w:val="15"/>
          <w:szCs w:val="15"/>
        </w:rPr>
        <w:t xml:space="preserve">This document was generated for bioinformatics pipeline validation purposes only. It uses publicly available, curated ClinVar pathogenic variants as positive controls and does not represent the genome of any real individual. It is not a clinical report, has not been reviewed by a licensed clinical laboratory, and must not be used for diagnostic, treatment, insurance, or any other real-world clinical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2026-07-20T09:58:36.347Z</dcterms:created>
  <dcterms:modified xsi:type="dcterms:W3CDTF">2026-07-20T09:58:36.362Z</dcterms:modified>
</cp:coreProperties>
</file>

<file path=docProps/custom.xml><?xml version="1.0" encoding="utf-8"?>
<Properties xmlns="http://schemas.openxmlformats.org/officeDocument/2006/custom-properties" xmlns:vt="http://schemas.openxmlformats.org/officeDocument/2006/docPropsVTypes"/>
</file>