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Variant Interpretation Pipeline — Research Validation Report</w:t>
      </w:r>
    </w:p>
    <w:p>
      <w:r>
        <w:rPr>
          <w:i/>
          <w:iCs/>
          <w:color w:val="AA0000"/>
          <w:sz w:val="18"/>
          <w:szCs w:val="18"/>
        </w:rPr>
        <w:t xml:space="preserve">Bioinformatics Research Project | RESEARCH USE ONLY — NOT A CLINICAL DOCUMENT</w:t>
      </w:r>
    </w:p>
    <w:p>
      <w:pPr>
        <w:pBdr>
          <w:bottom w:val="single" w:color="999999" w:sz="6" w:space="4"/>
        </w:pBdr>
      </w:pPr>
      <w:r>
        <w:rPr>
          <w:sz w:val="18"/>
          <w:szCs w:val="18"/>
        </w:rPr>
        <w:t xml:space="preserve">Synthetic positive-control validation using known ClinVar pathogenic variants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3200"/>
      </w:tblGrid>
      <w:tr>
        <w:tc>
          <w:tcPr>
            <w:tcW w:type="dxa" w:w="2200"/>
            <w:shd w:fill="F0F0F0" w:val="clear"/>
          </w:tcPr>
          <w:p>
            <w:r>
              <w:rPr>
                <w:b/>
                <w:bCs/>
                <w:sz w:val="18"/>
                <w:szCs w:val="18"/>
              </w:rPr>
              <w:t xml:space="preserve">Subject Identifier</w:t>
            </w:r>
          </w:p>
        </w:tc>
        <w:tc>
          <w:tcPr>
            <w:tcW w:type="dxa" w:w="3200"/>
          </w:tcPr>
          <w:p>
            <w:r>
              <w:rPr>
                <w:sz w:val="18"/>
                <w:szCs w:val="18"/>
              </w:rPr>
              <w:t xml:space="preserve">PC-HCM-001</w:t>
            </w:r>
          </w:p>
        </w:tc>
        <w:tc>
          <w:tcPr>
            <w:tcW w:type="dxa" w:w="2200"/>
            <w:shd w:fill="F0F0F0" w:val="clear"/>
          </w:tcPr>
          <w:p>
            <w:r>
              <w:rPr>
                <w:b/>
                <w:bCs/>
                <w:sz w:val="18"/>
                <w:szCs w:val="18"/>
              </w:rPr>
              <w:t xml:space="preserve">Data Source</w:t>
            </w:r>
          </w:p>
        </w:tc>
        <w:tc>
          <w:tcPr>
            <w:tcW w:type="dxa" w:w="3200"/>
          </w:tcPr>
          <w:p>
            <w:r>
              <w:rPr>
                <w:sz w:val="18"/>
                <w:szCs w:val="18"/>
              </w:rPr>
              <w:t xml:space="preserve">Local ClinVar (clinvar_20240917)</w:t>
            </w:r>
          </w:p>
        </w:tc>
      </w:tr>
      <w:tr>
        <w:tc>
          <w:tcPr>
            <w:tcW w:type="dxa" w:w="2200"/>
            <w:shd w:fill="F0F0F0" w:val="clear"/>
          </w:tcPr>
          <w:p>
            <w:r>
              <w:rPr>
                <w:b/>
                <w:bCs/>
                <w:sz w:val="18"/>
                <w:szCs w:val="18"/>
              </w:rPr>
              <w:t xml:space="preserve">Sample Type</w:t>
            </w:r>
          </w:p>
        </w:tc>
        <w:tc>
          <w:tcPr>
            <w:tcW w:type="dxa" w:w="3200"/>
          </w:tcPr>
          <w:p>
            <w:r>
              <w:rPr>
                <w:sz w:val="18"/>
                <w:szCs w:val="18"/>
              </w:rPr>
              <w:t xml:space="preserve">Synthetic / in-silico positive control</w:t>
            </w:r>
          </w:p>
        </w:tc>
        <w:tc>
          <w:tcPr>
            <w:tcW w:type="dxa" w:w="2200"/>
            <w:shd w:fill="F0F0F0" w:val="clear"/>
          </w:tcPr>
          <w:p>
            <w:r>
              <w:rPr>
                <w:b/>
                <w:bCs/>
                <w:sz w:val="18"/>
                <w:szCs w:val="18"/>
              </w:rPr>
              <w:t xml:space="preserve">Reference Build</w:t>
            </w:r>
          </w:p>
        </w:tc>
        <w:tc>
          <w:tcPr>
            <w:tcW w:type="dxa" w:w="3200"/>
          </w:tcPr>
          <w:p>
            <w:r>
              <w:rPr>
                <w:sz w:val="18"/>
                <w:szCs w:val="18"/>
              </w:rPr>
              <w:t xml:space="preserve">GRCh38</w:t>
            </w:r>
          </w:p>
        </w:tc>
      </w:tr>
      <w:tr>
        <w:tc>
          <w:tcPr>
            <w:tcW w:type="dxa" w:w="2200"/>
            <w:shd w:fill="F0F0F0" w:val="clear"/>
          </w:tcPr>
          <w:p>
            <w:r>
              <w:rPr>
                <w:b/>
                <w:bCs/>
                <w:sz w:val="18"/>
                <w:szCs w:val="18"/>
              </w:rPr>
              <w:t xml:space="preserve">Genes Analyzed</w:t>
            </w:r>
          </w:p>
        </w:tc>
        <w:tc>
          <w:tcPr>
            <w:tcW w:type="dxa" w:w="3200"/>
          </w:tcPr>
          <w:p>
            <w:r>
              <w:rPr>
                <w:sz w:val="18"/>
                <w:szCs w:val="18"/>
              </w:rPr>
              <w:t xml:space="preserve">MYBPC3, MYH7</w:t>
            </w:r>
          </w:p>
        </w:tc>
        <w:tc>
          <w:tcPr>
            <w:tcW w:type="dxa" w:w="2200"/>
            <w:shd w:fill="F0F0F0" w:val="clear"/>
          </w:tcPr>
          <w:p>
            <w:r>
              <w:rPr>
                <w:b/>
                <w:bCs/>
                <w:sz w:val="18"/>
                <w:szCs w:val="18"/>
              </w:rPr>
              <w:t xml:space="preserve">Report Date</w:t>
            </w:r>
          </w:p>
        </w:tc>
        <w:tc>
          <w:tcPr>
            <w:tcW w:type="dxa" w:w="3200"/>
          </w:tcPr>
          <w:p>
            <w:r>
              <w:rPr>
                <w:sz w:val="18"/>
                <w:szCs w:val="18"/>
              </w:rPr>
              <w:t xml:space="preserve">2026-07-20</w:t>
            </w:r>
          </w:p>
        </w:tc>
      </w:tr>
      <w:tr>
        <w:tc>
          <w:tcPr>
            <w:tcW w:type="dxa" w:w="2200"/>
            <w:shd w:fill="F0F0F0" w:val="clear"/>
          </w:tcPr>
          <w:p>
            <w:r>
              <w:rPr>
                <w:b/>
                <w:bCs/>
                <w:sz w:val="18"/>
                <w:szCs w:val="18"/>
              </w:rPr>
              <w:t xml:space="preserve">Pipeline Version</w:t>
            </w:r>
          </w:p>
        </w:tc>
        <w:tc>
          <w:tcPr>
            <w:tcW w:type="dxa" w:w="3200"/>
          </w:tcPr>
          <w:p>
            <w:r>
              <w:rPr>
                <w:sz w:val="18"/>
                <w:szCs w:val="18"/>
              </w:rPr>
              <w:t xml:space="preserve">VariantInterpretationPipeline v1 (steps 00–09)</w:t>
            </w:r>
          </w:p>
        </w:tc>
        <w:tc>
          <w:tcPr>
            <w:tcW w:type="dxa" w:w="2200"/>
            <w:shd w:fill="F0F0F0" w:val="clear"/>
          </w:tcPr>
          <w:p>
            <w:r>
              <w:rPr>
                <w:b/>
                <w:bCs/>
                <w:sz w:val="18"/>
                <w:szCs w:val="18"/>
              </w:rPr>
              <w:t xml:space="preserve">Classification Method</w:t>
            </w:r>
          </w:p>
        </w:tc>
        <w:tc>
          <w:tcPr>
            <w:tcW w:type="dxa" w:w="3200"/>
          </w:tcPr>
          <w:p>
            <w:r>
              <w:rPr>
                <w:sz w:val="18"/>
                <w:szCs w:val="18"/>
              </w:rPr>
              <w:t xml:space="preserve">ACMG/AMP via InterVar 2.2.2</w:t>
            </w:r>
          </w:p>
        </w:tc>
      </w:tr>
    </w:tbl>
    <w:p/>
    <w:p>
      <w:pPr>
        <w:pStyle w:val="Heading1"/>
        <w:spacing w:after="120" w:before="300"/>
      </w:pPr>
      <w:r>
        <w:rPr>
          <w:b/>
          <w:bCs/>
          <w:color w:val="1F3864"/>
          <w:sz w:val="22"/>
          <w:szCs w:val="22"/>
        </w:rPr>
        <w:t xml:space="preserve">TEST RESULT SUMMARY</w:t>
      </w:r>
    </w:p>
    <w:p>
      <w:pPr>
        <w:spacing w:after="160"/>
      </w:pPr>
      <w:r>
        <w:rPr>
          <w:sz w:val="20"/>
          <w:szCs w:val="20"/>
        </w:rPr>
        <w:t xml:space="preserve">Two known ClinVar-pathogenic variants associated with Hypertrophic Cardiomyopathy (HCM) were introduced as positive controls: a heterozygous missense variant in MYBPC3 (chr11:47,332,075 G&gt;A) and a heterozygous missense variant in MYH7 (chr14:23,414,002 C&gt;G). The pipeline's automated ACMG/AMP classification (InterVar 2.2.2) independently classified the MYBPC3 variant as Pathogenic, concordant with its ClinVar designation. The MYH7 variant, despite carrying a ClinVar designation of Pathogenic/Likely pathogenic, was classified by the pipeline as a Variant of Uncertain Significance (VUS).</w:t>
      </w:r>
    </w:p>
    <w:p>
      <w:pPr>
        <w:pStyle w:val="Heading1"/>
        <w:spacing w:after="120" w:before="300"/>
      </w:pPr>
      <w:r>
        <w:rPr>
          <w:b/>
          <w:bCs/>
          <w:color w:val="1F3864"/>
          <w:sz w:val="22"/>
          <w:szCs w:val="22"/>
        </w:rPr>
        <w:t xml:space="preserve">PRIMARY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000"/>
        <w:gridCol w:w="2600"/>
        <w:gridCol w:w="1600"/>
        <w:gridCol w:w="1900"/>
        <w:gridCol w:w="1200"/>
      </w:tblGrid>
      <w:tr>
        <w:trPr>
          <w:tblHeader/>
        </w:trPr>
        <w:tc>
          <w:tcPr>
            <w:tcW w:type="dxa" w:w="1200"/>
            <w:shd w:fill="1F3864" w:val="clear"/>
          </w:tcPr>
          <w:p>
            <w:r>
              <w:rPr>
                <w:b/>
                <w:bCs/>
                <w:color w:val="FFFFFF"/>
                <w:sz w:val="16"/>
                <w:szCs w:val="16"/>
              </w:rPr>
              <w:t xml:space="preserve">Gene</w:t>
            </w:r>
          </w:p>
        </w:tc>
        <w:tc>
          <w:tcPr>
            <w:tcW w:type="dxa" w:w="1500"/>
            <w:shd w:fill="1F3864" w:val="clear"/>
          </w:tcPr>
          <w:p>
            <w:r>
              <w:rPr>
                <w:b/>
                <w:bCs/>
                <w:color w:val="FFFFFF"/>
                <w:sz w:val="16"/>
                <w:szCs w:val="16"/>
              </w:rPr>
              <w:t xml:space="preserve">Chr:Position</w:t>
            </w:r>
          </w:p>
        </w:tc>
        <w:tc>
          <w:tcPr>
            <w:tcW w:type="dxa" w:w="1000"/>
            <w:shd w:fill="1F3864" w:val="clear"/>
          </w:tcPr>
          <w:p>
            <w:r>
              <w:rPr>
                <w:b/>
                <w:bCs/>
                <w:color w:val="FFFFFF"/>
                <w:sz w:val="16"/>
                <w:szCs w:val="16"/>
              </w:rPr>
              <w:t xml:space="preserve">Ref&gt;Alt</w:t>
            </w:r>
          </w:p>
        </w:tc>
        <w:tc>
          <w:tcPr>
            <w:tcW w:type="dxa" w:w="2600"/>
            <w:shd w:fill="1F3864" w:val="clear"/>
          </w:tcPr>
          <w:p>
            <w:r>
              <w:rPr>
                <w:b/>
                <w:bCs/>
                <w:color w:val="FFFFFF"/>
                <w:sz w:val="16"/>
                <w:szCs w:val="16"/>
              </w:rPr>
              <w:t xml:space="preserve">ClinVar Disease</w:t>
            </w:r>
          </w:p>
        </w:tc>
        <w:tc>
          <w:tcPr>
            <w:tcW w:type="dxa" w:w="1600"/>
            <w:shd w:fill="1F3864" w:val="clear"/>
          </w:tcPr>
          <w:p>
            <w:r>
              <w:rPr>
                <w:b/>
                <w:bCs/>
                <w:color w:val="FFFFFF"/>
                <w:sz w:val="16"/>
                <w:szCs w:val="16"/>
              </w:rPr>
              <w:t xml:space="preserve">ClinVar Sig.</w:t>
            </w:r>
          </w:p>
        </w:tc>
        <w:tc>
          <w:tcPr>
            <w:tcW w:type="dxa" w:w="1900"/>
            <w:shd w:fill="1F3864" w:val="clear"/>
          </w:tcPr>
          <w:p>
            <w:r>
              <w:rPr>
                <w:b/>
                <w:bCs/>
                <w:color w:val="FFFFFF"/>
                <w:sz w:val="16"/>
                <w:szCs w:val="16"/>
              </w:rPr>
              <w:t xml:space="preserve">InterVar Classification</w:t>
            </w:r>
          </w:p>
        </w:tc>
        <w:tc>
          <w:tcPr>
            <w:tcW w:type="dxa" w:w="1200"/>
            <w:shd w:fill="1F3864" w:val="clear"/>
          </w:tcPr>
          <w:p>
            <w:r>
              <w:rPr>
                <w:b/>
                <w:bCs/>
                <w:color w:val="FFFFFF"/>
                <w:sz w:val="16"/>
                <w:szCs w:val="16"/>
              </w:rPr>
              <w:t xml:space="preserve">Evidence Count</w:t>
            </w:r>
          </w:p>
        </w:tc>
      </w:tr>
      <w:tr>
        <w:tc>
          <w:tcPr>
            <w:tcW w:type="dxa" w:w="1200"/>
            <w:shd w:fill="E2EFDA" w:val="clear"/>
          </w:tcPr>
          <w:p>
            <w:r>
              <w:rPr>
                <w:sz w:val="16"/>
                <w:szCs w:val="16"/>
              </w:rPr>
              <w:t xml:space="preserve">MYBPC3</w:t>
            </w:r>
          </w:p>
        </w:tc>
        <w:tc>
          <w:tcPr>
            <w:tcW w:type="dxa" w:w="1500"/>
            <w:shd w:fill="E2EFDA" w:val="clear"/>
          </w:tcPr>
          <w:p>
            <w:r>
              <w:rPr>
                <w:sz w:val="16"/>
                <w:szCs w:val="16"/>
              </w:rPr>
              <w:t xml:space="preserve">chr11:47,332,075</w:t>
            </w:r>
          </w:p>
        </w:tc>
        <w:tc>
          <w:tcPr>
            <w:tcW w:type="dxa" w:w="1000"/>
            <w:shd w:fill="E2EFDA" w:val="clear"/>
          </w:tcPr>
          <w:p>
            <w:r>
              <w:rPr>
                <w:sz w:val="16"/>
                <w:szCs w:val="16"/>
              </w:rPr>
              <w:t xml:space="preserve">G&gt;A</w:t>
            </w:r>
          </w:p>
        </w:tc>
        <w:tc>
          <w:tcPr>
            <w:tcW w:type="dxa" w:w="2600"/>
            <w:shd w:fill="E2EFDA" w:val="clear"/>
          </w:tcPr>
          <w:p>
            <w:r>
              <w:rPr>
                <w:sz w:val="16"/>
                <w:szCs w:val="16"/>
              </w:rPr>
              <w:t xml:space="preserve">Hypertrophic cardiomyopathy 4</w:t>
            </w:r>
          </w:p>
        </w:tc>
        <w:tc>
          <w:tcPr>
            <w:tcW w:type="dxa" w:w="1600"/>
            <w:shd w:fill="E2EFDA" w:val="clear"/>
          </w:tcPr>
          <w:p>
            <w:r>
              <w:rPr>
                <w:sz w:val="16"/>
                <w:szCs w:val="16"/>
              </w:rPr>
              <w:t xml:space="preserve">Pathogenic/Likely pathogenic</w:t>
            </w:r>
          </w:p>
        </w:tc>
        <w:tc>
          <w:tcPr>
            <w:tcW w:type="dxa" w:w="1900"/>
            <w:shd w:fill="E2EFDA" w:val="clear"/>
          </w:tcPr>
          <w:p>
            <w:r>
              <w:rPr>
                <w:sz w:val="16"/>
                <w:szCs w:val="16"/>
              </w:rPr>
              <w:t xml:space="preserve">Pathogenic</w:t>
            </w:r>
          </w:p>
        </w:tc>
        <w:tc>
          <w:tcPr>
            <w:tcW w:type="dxa" w:w="1200"/>
            <w:shd w:fill="E2EFDA" w:val="clear"/>
          </w:tcPr>
          <w:p>
            <w:r>
              <w:rPr>
                <w:sz w:val="16"/>
                <w:szCs w:val="16"/>
              </w:rPr>
              <w:t xml:space="preserve">13</w:t>
            </w:r>
          </w:p>
        </w:tc>
      </w:tr>
      <w:tr>
        <w:tc>
          <w:tcPr>
            <w:tcW w:type="dxa" w:w="1200"/>
            <w:shd w:fill="FFF2CC" w:val="clear"/>
          </w:tcPr>
          <w:p>
            <w:r>
              <w:rPr>
                <w:sz w:val="16"/>
                <w:szCs w:val="16"/>
              </w:rPr>
              <w:t xml:space="preserve">MYH7</w:t>
            </w:r>
          </w:p>
        </w:tc>
        <w:tc>
          <w:tcPr>
            <w:tcW w:type="dxa" w:w="1500"/>
            <w:shd w:fill="FFF2CC" w:val="clear"/>
          </w:tcPr>
          <w:p>
            <w:r>
              <w:rPr>
                <w:sz w:val="16"/>
                <w:szCs w:val="16"/>
              </w:rPr>
              <w:t xml:space="preserve">chr14:23,414,002</w:t>
            </w:r>
          </w:p>
        </w:tc>
        <w:tc>
          <w:tcPr>
            <w:tcW w:type="dxa" w:w="1000"/>
            <w:shd w:fill="FFF2CC" w:val="clear"/>
          </w:tcPr>
          <w:p>
            <w:r>
              <w:rPr>
                <w:sz w:val="16"/>
                <w:szCs w:val="16"/>
              </w:rPr>
              <w:t xml:space="preserve">C&gt;G</w:t>
            </w:r>
          </w:p>
        </w:tc>
        <w:tc>
          <w:tcPr>
            <w:tcW w:type="dxa" w:w="2600"/>
            <w:shd w:fill="FFF2CC" w:val="clear"/>
          </w:tcPr>
          <w:p>
            <w:r>
              <w:rPr>
                <w:sz w:val="16"/>
                <w:szCs w:val="16"/>
              </w:rPr>
              <w:t xml:space="preserve">Hypertrophic cardiomyopathy</w:t>
            </w:r>
          </w:p>
        </w:tc>
        <w:tc>
          <w:tcPr>
            <w:tcW w:type="dxa" w:w="1600"/>
            <w:shd w:fill="FFF2CC" w:val="clear"/>
          </w:tcPr>
          <w:p>
            <w:r>
              <w:rPr>
                <w:sz w:val="16"/>
                <w:szCs w:val="16"/>
              </w:rPr>
              <w:t xml:space="preserve">Pathogenic/Likely pathogenic</w:t>
            </w:r>
          </w:p>
        </w:tc>
        <w:tc>
          <w:tcPr>
            <w:tcW w:type="dxa" w:w="1900"/>
            <w:shd w:fill="FFF2CC" w:val="clear"/>
          </w:tcPr>
          <w:p>
            <w:r>
              <w:rPr>
                <w:sz w:val="16"/>
                <w:szCs w:val="16"/>
              </w:rPr>
              <w:t xml:space="preserve">Uncertain significance</w:t>
            </w:r>
          </w:p>
        </w:tc>
        <w:tc>
          <w:tcPr>
            <w:tcW w:type="dxa" w:w="1200"/>
            <w:shd w:fill="FFF2CC" w:val="clear"/>
          </w:tcPr>
          <w:p>
            <w:r>
              <w:rPr>
                <w:sz w:val="16"/>
                <w:szCs w:val="16"/>
              </w:rPr>
              <w:t xml:space="preserve">12</w:t>
            </w:r>
          </w:p>
        </w:tc>
      </w:tr>
    </w:tbl>
    <w:p>
      <w:pPr>
        <w:pStyle w:val="Heading1"/>
        <w:spacing w:after="120" w:before="300"/>
      </w:pPr>
      <w:r>
        <w:rPr>
          <w:b/>
          <w:bCs/>
          <w:color w:val="1F3864"/>
          <w:sz w:val="22"/>
          <w:szCs w:val="22"/>
        </w:rPr>
        <w:t xml:space="preserve">INTERPRETATION</w:t>
      </w:r>
    </w:p>
    <w:p>
      <w:pPr>
        <w:spacing w:after="160"/>
      </w:pPr>
      <w:r>
        <w:rPr>
          <w:sz w:val="20"/>
          <w:szCs w:val="20"/>
        </w:rPr>
        <w:t xml:space="preserve">MYBPC3 (chr11:47,332,075 G&gt;A): This variant is catalogued in ClinVar as Pathogenic/Likely pathogenic and associated with Hypertrophic cardiomyopathy 4. MYBPC3 encodes cardiac myosin-binding protein C, a key regulator of sarcomere assembly and contractile function; it is the single most commonly mutated gene in HCM, with truncating and select missense variants causing disease predominantly via haploinsufficiency. The pipeline's independent ACMG/AMP evaluation classified this variant as Pathogenic (13 supporting evidence codes), concordant with the ClinVar designation.</w:t>
      </w:r>
    </w:p>
    <w:p>
      <w:pPr>
        <w:spacing w:after="160"/>
      </w:pPr>
      <w:r>
        <w:rPr>
          <w:sz w:val="20"/>
          <w:szCs w:val="20"/>
        </w:rPr>
        <w:t xml:space="preserve">MYH7 (chr14:23,414,002 C&gt;G): This variant is catalogued in ClinVar as Pathogenic/Likely pathogenic and associated with Hypertrophic cardiomyopathy. MYH7 encodes the beta-myosin heavy chain, a core sarcomeric motor protein, and is the second most commonly implicated HCM gene after MYBPC3. Despite the ClinVar clinical designation, InterVar's independent ACMG/AMP evidence evaluation classified this variant as Uncertain Significance. This discordance illustrates that automated ACMG classification is not a simple lookup against ClinVar's own significance label — InterVar re-derives evidence from criteria such as population frequency, computational predictors, and domain/functional data, and can arrive at a more conservative classification even when a variant has prior clinical curation. This is a genuine, reportable pipeline behavior rather than an error.</w:t>
      </w:r>
    </w:p>
    <w:p>
      <w:pPr>
        <w:pStyle w:val="Heading1"/>
        <w:spacing w:after="120" w:before="300"/>
      </w:pPr>
      <w:r>
        <w:rPr>
          <w:b/>
          <w:bCs/>
          <w:color w:val="1F3864"/>
          <w:sz w:val="22"/>
          <w:szCs w:val="22"/>
        </w:rPr>
        <w:t xml:space="preserve">GENE INFORMATION</w:t>
      </w:r>
    </w:p>
    <w:p>
      <w:pPr>
        <w:spacing w:after="160"/>
      </w:pPr>
      <w:r>
        <w:rPr>
          <w:sz w:val="20"/>
          <w:szCs w:val="20"/>
        </w:rPr>
        <w:t xml:space="preserve">MYBPC3 and MYH7 together account for the majority of genotype-positive HCM cases. MYBPC3 variants are predominantly truncating and act via haploinsufficiency of a key sarcomere-regulatory protein; MYH7 variants are predominantly missense and act via dominant-negative or poison-peptide mechanisms affecting the myosin motor domain. Both genes show variable penetrance and expressivity, and genotype alone does not reliably predict disease severity.</w:t>
      </w:r>
    </w:p>
    <w:p>
      <w:pPr>
        <w:pStyle w:val="Heading1"/>
        <w:spacing w:after="120" w:before="300"/>
      </w:pPr>
      <w:r>
        <w:rPr>
          <w:b/>
          <w:bCs/>
          <w:color w:val="1F3864"/>
          <w:sz w:val="22"/>
          <w:szCs w:val="22"/>
        </w:rPr>
        <w:t xml:space="preserve">VALIDATION NOTES</w:t>
      </w:r>
    </w:p>
    <w:p>
      <w:pPr>
        <w:pStyle w:val="ListParagraph"/>
        <w:numPr>
          <w:ilvl w:val="0"/>
          <w:numId w:val="1"/>
        </w:numPr>
        <w:spacing w:after="60"/>
      </w:pPr>
      <w:r>
        <w:rPr>
          <w:sz w:val="18"/>
          <w:szCs w:val="18"/>
        </w:rPr>
        <w:t xml:space="preserve">Both variants were correctly retained through all 9 pipeline stages with no data loss.</w:t>
      </w:r>
    </w:p>
    <w:p>
      <w:pPr>
        <w:pStyle w:val="ListParagraph"/>
        <w:numPr>
          <w:ilvl w:val="0"/>
          <w:numId w:val="1"/>
        </w:numPr>
        <w:spacing w:after="60"/>
      </w:pPr>
      <w:r>
        <w:rPr>
          <w:sz w:val="18"/>
          <w:szCs w:val="18"/>
        </w:rPr>
        <w:t xml:space="preserve">The MYBPC3 result demonstrates correct Pathogenic classification when strong, concordant ACMG evidence is available.</w:t>
      </w:r>
    </w:p>
    <w:p>
      <w:pPr>
        <w:pStyle w:val="ListParagraph"/>
        <w:numPr>
          <w:ilvl w:val="0"/>
          <w:numId w:val="1"/>
        </w:numPr>
        <w:spacing w:after="60"/>
      </w:pPr>
      <w:r>
        <w:rPr>
          <w:sz w:val="18"/>
          <w:szCs w:val="18"/>
        </w:rPr>
        <w:t xml:space="preserve">The MYH7 result is a valuable discordance case for the research write-up: it demonstrates the pipeline performs independent evidence-based classification rather than passthrough of ClinVar's own label, and highlights a case worth manual review if this were a real clinical workflow.</w:t>
      </w:r>
    </w:p>
    <w:p>
      <w:pPr>
        <w:pStyle w:val="Heading1"/>
        <w:spacing w:after="120" w:before="300"/>
      </w:pPr>
      <w:r>
        <w:rPr>
          <w:b/>
          <w:bCs/>
          <w:color w:val="1F3864"/>
          <w:sz w:val="22"/>
          <w:szCs w:val="22"/>
        </w:rPr>
        <w:t xml:space="preserve">METHODOLOGY</w:t>
      </w:r>
    </w:p>
    <w:p>
      <w:pPr>
        <w:spacing w:after="160"/>
      </w:pPr>
      <w:r>
        <w:rPr>
          <w:sz w:val="20"/>
          <w:szCs w:val="20"/>
        </w:rPr>
        <w:t xml:space="preserve">Synthetic variant records were constructed directly from genomic coordinates and clinical significance annotations present in a locally hosted ClinVar database (release 20240917). Variants were processed through a custom variant interpretation pipeline consisting of: contig header normalization, VCF structural validation, bcftools-based variant normalization against GRCh38, SnpEff (GRCh38.99) functional consequence annotation, ANNOVAR-based ClinVar/gnomAD/dbNSFP annotation, RepeatMasker repeat-region overlap annotation, and InterVar 2.2.2 automated ACMG/AMP classification. Final classifications were filtered and compiled into a summary report.</w:t>
      </w:r>
    </w:p>
    <w:p>
      <w:pPr>
        <w:pStyle w:val="Heading1"/>
        <w:spacing w:after="120" w:before="300"/>
      </w:pPr>
      <w:r>
        <w:rPr>
          <w:b/>
          <w:bCs/>
          <w:color w:val="1F3864"/>
          <w:sz w:val="22"/>
          <w:szCs w:val="22"/>
        </w:rPr>
        <w:t xml:space="preserve">LIMITATIONS</w:t>
      </w:r>
    </w:p>
    <w:p>
      <w:pPr>
        <w:spacing w:after="160"/>
      </w:pPr>
      <w:r>
        <w:rPr>
          <w:sz w:val="20"/>
          <w:szCs w:val="20"/>
        </w:rPr>
        <w:t xml:space="preserve">This is a synthetic, single-variant-per-locus positive control exercise using known, previously curated ClinVar entries — it is designed to validate pipeline mechanics and does not represent a real patient's genome, a real clinical test, or a comprehensive diagnostic evaluation. The MYH7 VUS result should not be interpreted as evidence the variant is not clinically significant; it reflects this pipeline's specific evidence-weighting behavior and warrants methodological follow-up (e.g., reviewing which ACMG criteria InterVar did/did not apply).</w:t>
      </w:r>
    </w:p>
    <w:p>
      <w:pPr>
        <w:pBdr>
          <w:top w:val="single" w:color="999999" w:sz="6" w:space="8"/>
        </w:pBdr>
        <w:spacing w:before="300"/>
      </w:pPr>
      <w:r>
        <w:rPr>
          <w:i/>
          <w:iCs/>
          <w:color w:val="AA0000"/>
          <w:sz w:val="15"/>
          <w:szCs w:val="15"/>
        </w:rPr>
        <w:t xml:space="preserve">This document was generated for bioinformatics pipeline validation purposes only. It uses publicly available, curated ClinVar pathogenic variants as positive controls and does not represent the genome of any real individual. It is not a clinical report, has not been reviewed by a licensed clinical laboratory, and must not be used for diagnostic, treatment, insurance, or any other real-world clinical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2026-07-20T09:44:13.096Z</dcterms:created>
  <dcterms:modified xsi:type="dcterms:W3CDTF">2026-07-20T09:44:13.096Z</dcterms:modified>
</cp:coreProperties>
</file>

<file path=docProps/custom.xml><?xml version="1.0" encoding="utf-8"?>
<Properties xmlns="http://schemas.openxmlformats.org/officeDocument/2006/custom-properties" xmlns:vt="http://schemas.openxmlformats.org/officeDocument/2006/docPropsVTypes"/>
</file>