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Variant Interpretation Pipeline — Research Validation Report</w:t>
      </w:r>
    </w:p>
    <w:p>
      <w:r>
        <w:rPr>
          <w:i/>
          <w:iCs/>
          <w:color w:val="AA0000"/>
          <w:sz w:val="18"/>
          <w:szCs w:val="18"/>
        </w:rPr>
        <w:t xml:space="preserve">Bioinformatics Research Project | RESEARCH USE ONLY — NOT A CLINICAL DOCUMENT</w:t>
      </w:r>
    </w:p>
    <w:p>
      <w:pPr>
        <w:pBdr>
          <w:bottom w:val="single" w:color="999999" w:sz="6" w:space="4"/>
        </w:pBdr>
      </w:pPr>
      <w:r>
        <w:rPr>
          <w:sz w:val="18"/>
          <w:szCs w:val="18"/>
        </w:rPr>
        <w:t xml:space="preserve">Synthetic positive-control validation using known ClinVar pathogenic variants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3200"/>
      </w:tblGrid>
      <w:tr>
        <w:tc>
          <w:tcPr>
            <w:tcW w:type="dxa" w:w="2200"/>
            <w:shd w:fill="F0F0F0" w:val="clear"/>
          </w:tcPr>
          <w:p>
            <w:r>
              <w:rPr>
                <w:b/>
                <w:bCs/>
                <w:sz w:val="18"/>
                <w:szCs w:val="18"/>
              </w:rPr>
              <w:t xml:space="preserve">Subject Identifier</w:t>
            </w:r>
          </w:p>
        </w:tc>
        <w:tc>
          <w:tcPr>
            <w:tcW w:type="dxa" w:w="3200"/>
          </w:tcPr>
          <w:p>
            <w:r>
              <w:rPr>
                <w:sz w:val="18"/>
                <w:szCs w:val="18"/>
              </w:rPr>
              <w:t xml:space="preserve">PC-LQTS-001</w:t>
            </w:r>
          </w:p>
        </w:tc>
        <w:tc>
          <w:tcPr>
            <w:tcW w:type="dxa" w:w="2200"/>
            <w:shd w:fill="F0F0F0" w:val="clear"/>
          </w:tcPr>
          <w:p>
            <w:r>
              <w:rPr>
                <w:b/>
                <w:bCs/>
                <w:sz w:val="18"/>
                <w:szCs w:val="18"/>
              </w:rPr>
              <w:t xml:space="preserve">Data Source</w:t>
            </w:r>
          </w:p>
        </w:tc>
        <w:tc>
          <w:tcPr>
            <w:tcW w:type="dxa" w:w="3200"/>
          </w:tcPr>
          <w:p>
            <w:r>
              <w:rPr>
                <w:sz w:val="18"/>
                <w:szCs w:val="18"/>
              </w:rPr>
              <w:t xml:space="preserve">Local ClinVar (clinvar_20240917)</w:t>
            </w:r>
          </w:p>
        </w:tc>
      </w:tr>
      <w:tr>
        <w:tc>
          <w:tcPr>
            <w:tcW w:type="dxa" w:w="2200"/>
            <w:shd w:fill="F0F0F0" w:val="clear"/>
          </w:tcPr>
          <w:p>
            <w:r>
              <w:rPr>
                <w:b/>
                <w:bCs/>
                <w:sz w:val="18"/>
                <w:szCs w:val="18"/>
              </w:rPr>
              <w:t xml:space="preserve">Sample Type</w:t>
            </w:r>
          </w:p>
        </w:tc>
        <w:tc>
          <w:tcPr>
            <w:tcW w:type="dxa" w:w="3200"/>
          </w:tcPr>
          <w:p>
            <w:r>
              <w:rPr>
                <w:sz w:val="18"/>
                <w:szCs w:val="18"/>
              </w:rPr>
              <w:t xml:space="preserve">Synthetic / in-silico positive control</w:t>
            </w:r>
          </w:p>
        </w:tc>
        <w:tc>
          <w:tcPr>
            <w:tcW w:type="dxa" w:w="2200"/>
            <w:shd w:fill="F0F0F0" w:val="clear"/>
          </w:tcPr>
          <w:p>
            <w:r>
              <w:rPr>
                <w:b/>
                <w:bCs/>
                <w:sz w:val="18"/>
                <w:szCs w:val="18"/>
              </w:rPr>
              <w:t xml:space="preserve">Reference Build</w:t>
            </w:r>
          </w:p>
        </w:tc>
        <w:tc>
          <w:tcPr>
            <w:tcW w:type="dxa" w:w="3200"/>
          </w:tcPr>
          <w:p>
            <w:r>
              <w:rPr>
                <w:sz w:val="18"/>
                <w:szCs w:val="18"/>
              </w:rPr>
              <w:t xml:space="preserve">GRCh38</w:t>
            </w:r>
          </w:p>
        </w:tc>
      </w:tr>
      <w:tr>
        <w:tc>
          <w:tcPr>
            <w:tcW w:type="dxa" w:w="2200"/>
            <w:shd w:fill="F0F0F0" w:val="clear"/>
          </w:tcPr>
          <w:p>
            <w:r>
              <w:rPr>
                <w:b/>
                <w:bCs/>
                <w:sz w:val="18"/>
                <w:szCs w:val="18"/>
              </w:rPr>
              <w:t xml:space="preserve">Genes Analyzed</w:t>
            </w:r>
          </w:p>
        </w:tc>
        <w:tc>
          <w:tcPr>
            <w:tcW w:type="dxa" w:w="3200"/>
          </w:tcPr>
          <w:p>
            <w:r>
              <w:rPr>
                <w:sz w:val="18"/>
                <w:szCs w:val="18"/>
              </w:rPr>
              <w:t xml:space="preserve">KCNH2, KCNQ1</w:t>
            </w:r>
          </w:p>
        </w:tc>
        <w:tc>
          <w:tcPr>
            <w:tcW w:type="dxa" w:w="2200"/>
            <w:shd w:fill="F0F0F0" w:val="clear"/>
          </w:tcPr>
          <w:p>
            <w:r>
              <w:rPr>
                <w:b/>
                <w:bCs/>
                <w:sz w:val="18"/>
                <w:szCs w:val="18"/>
              </w:rPr>
              <w:t xml:space="preserve">Report Date</w:t>
            </w:r>
          </w:p>
        </w:tc>
        <w:tc>
          <w:tcPr>
            <w:tcW w:type="dxa" w:w="3200"/>
          </w:tcPr>
          <w:p>
            <w:r>
              <w:rPr>
                <w:sz w:val="18"/>
                <w:szCs w:val="18"/>
              </w:rPr>
              <w:t xml:space="preserve">2026-07-20</w:t>
            </w:r>
          </w:p>
        </w:tc>
      </w:tr>
      <w:tr>
        <w:tc>
          <w:tcPr>
            <w:tcW w:type="dxa" w:w="2200"/>
            <w:shd w:fill="F0F0F0" w:val="clear"/>
          </w:tcPr>
          <w:p>
            <w:r>
              <w:rPr>
                <w:b/>
                <w:bCs/>
                <w:sz w:val="18"/>
                <w:szCs w:val="18"/>
              </w:rPr>
              <w:t xml:space="preserve">Pipeline Version</w:t>
            </w:r>
          </w:p>
        </w:tc>
        <w:tc>
          <w:tcPr>
            <w:tcW w:type="dxa" w:w="3200"/>
          </w:tcPr>
          <w:p>
            <w:r>
              <w:rPr>
                <w:sz w:val="18"/>
                <w:szCs w:val="18"/>
              </w:rPr>
              <w:t xml:space="preserve">VariantInterpretationPipeline v1 (steps 00–09)</w:t>
            </w:r>
          </w:p>
        </w:tc>
        <w:tc>
          <w:tcPr>
            <w:tcW w:type="dxa" w:w="2200"/>
            <w:shd w:fill="F0F0F0" w:val="clear"/>
          </w:tcPr>
          <w:p>
            <w:r>
              <w:rPr>
                <w:b/>
                <w:bCs/>
                <w:sz w:val="18"/>
                <w:szCs w:val="18"/>
              </w:rPr>
              <w:t xml:space="preserve">Classification Method</w:t>
            </w:r>
          </w:p>
        </w:tc>
        <w:tc>
          <w:tcPr>
            <w:tcW w:type="dxa" w:w="3200"/>
          </w:tcPr>
          <w:p>
            <w:r>
              <w:rPr>
                <w:sz w:val="18"/>
                <w:szCs w:val="18"/>
              </w:rPr>
              <w:t xml:space="preserve">ACMG/AMP via InterVar 2.2.2</w:t>
            </w:r>
          </w:p>
        </w:tc>
      </w:tr>
    </w:tbl>
    <w:p/>
    <w:p>
      <w:pPr>
        <w:pStyle w:val="Heading1"/>
        <w:spacing w:after="120" w:before="300"/>
      </w:pPr>
      <w:r>
        <w:rPr>
          <w:b/>
          <w:bCs/>
          <w:color w:val="1F3864"/>
          <w:sz w:val="22"/>
          <w:szCs w:val="22"/>
        </w:rPr>
        <w:t xml:space="preserve">TEST RESULT SUMMARY</w:t>
      </w:r>
    </w:p>
    <w:p>
      <w:pPr>
        <w:spacing w:after="160"/>
      </w:pPr>
      <w:r>
        <w:rPr>
          <w:sz w:val="20"/>
          <w:szCs w:val="20"/>
        </w:rPr>
        <w:t xml:space="preserve">Two known pathogenic variants associated with Long QT Syndrome (LQTS) were introduced as positive controls: a heterozygous missense variant in KCNH2 (c./p. not annotated by this pipeline; genomic position chr7:150,945,490 C&gt;A) and a heterozygous missense variant in KCNQ1 (chr11:2,445,149 G&gt;A). Both variants are catalogued as Pathogenic in ClinVar and are associated with Long QT Syndrome type 2 (KCNH2) and Long QT Syndrome type 1 (KCNQ1), respectively. Both variants were independently classified as Pathogenic by the pipeline's automated ACMG/AMP evaluation (InterVar 2.2.2), confirming correct end-to-end detection and classification.</w:t>
      </w:r>
    </w:p>
    <w:p>
      <w:pPr>
        <w:pStyle w:val="Heading1"/>
        <w:spacing w:after="120" w:before="300"/>
      </w:pPr>
      <w:r>
        <w:rPr>
          <w:b/>
          <w:bCs/>
          <w:color w:val="1F3864"/>
          <w:sz w:val="22"/>
          <w:szCs w:val="22"/>
        </w:rPr>
        <w:t xml:space="preserve">PRIMARY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2600"/>
        <w:gridCol w:w="1600"/>
        <w:gridCol w:w="1900"/>
        <w:gridCol w:w="1200"/>
      </w:tblGrid>
      <w:tr>
        <w:trPr>
          <w:tblHeader/>
        </w:trPr>
        <w:tc>
          <w:tcPr>
            <w:tcW w:type="dxa" w:w="1200"/>
            <w:shd w:fill="1F3864" w:val="clear"/>
          </w:tcPr>
          <w:p>
            <w:r>
              <w:rPr>
                <w:b/>
                <w:bCs/>
                <w:color w:val="FFFFFF"/>
                <w:sz w:val="16"/>
                <w:szCs w:val="16"/>
              </w:rPr>
              <w:t xml:space="preserve">Gene</w:t>
            </w:r>
          </w:p>
        </w:tc>
        <w:tc>
          <w:tcPr>
            <w:tcW w:type="dxa" w:w="1500"/>
            <w:shd w:fill="1F3864" w:val="clear"/>
          </w:tcPr>
          <w:p>
            <w:r>
              <w:rPr>
                <w:b/>
                <w:bCs/>
                <w:color w:val="FFFFFF"/>
                <w:sz w:val="16"/>
                <w:szCs w:val="16"/>
              </w:rPr>
              <w:t xml:space="preserve">Chr:Position</w:t>
            </w:r>
          </w:p>
        </w:tc>
        <w:tc>
          <w:tcPr>
            <w:tcW w:type="dxa" w:w="1000"/>
            <w:shd w:fill="1F3864" w:val="clear"/>
          </w:tcPr>
          <w:p>
            <w:r>
              <w:rPr>
                <w:b/>
                <w:bCs/>
                <w:color w:val="FFFFFF"/>
                <w:sz w:val="16"/>
                <w:szCs w:val="16"/>
              </w:rPr>
              <w:t xml:space="preserve">Ref&gt;Alt</w:t>
            </w:r>
          </w:p>
        </w:tc>
        <w:tc>
          <w:tcPr>
            <w:tcW w:type="dxa" w:w="2600"/>
            <w:shd w:fill="1F3864" w:val="clear"/>
          </w:tcPr>
          <w:p>
            <w:r>
              <w:rPr>
                <w:b/>
                <w:bCs/>
                <w:color w:val="FFFFFF"/>
                <w:sz w:val="16"/>
                <w:szCs w:val="16"/>
              </w:rPr>
              <w:t xml:space="preserve">ClinVar Disease</w:t>
            </w:r>
          </w:p>
        </w:tc>
        <w:tc>
          <w:tcPr>
            <w:tcW w:type="dxa" w:w="1600"/>
            <w:shd w:fill="1F3864" w:val="clear"/>
          </w:tcPr>
          <w:p>
            <w:r>
              <w:rPr>
                <w:b/>
                <w:bCs/>
                <w:color w:val="FFFFFF"/>
                <w:sz w:val="16"/>
                <w:szCs w:val="16"/>
              </w:rPr>
              <w:t xml:space="preserve">ClinVar Sig.</w:t>
            </w:r>
          </w:p>
        </w:tc>
        <w:tc>
          <w:tcPr>
            <w:tcW w:type="dxa" w:w="1900"/>
            <w:shd w:fill="1F3864" w:val="clear"/>
          </w:tcPr>
          <w:p>
            <w:r>
              <w:rPr>
                <w:b/>
                <w:bCs/>
                <w:color w:val="FFFFFF"/>
                <w:sz w:val="16"/>
                <w:szCs w:val="16"/>
              </w:rPr>
              <w:t xml:space="preserve">InterVar Classification</w:t>
            </w:r>
          </w:p>
        </w:tc>
        <w:tc>
          <w:tcPr>
            <w:tcW w:type="dxa" w:w="1200"/>
            <w:shd w:fill="1F3864" w:val="clear"/>
          </w:tcPr>
          <w:p>
            <w:r>
              <w:rPr>
                <w:b/>
                <w:bCs/>
                <w:color w:val="FFFFFF"/>
                <w:sz w:val="16"/>
                <w:szCs w:val="16"/>
              </w:rPr>
              <w:t xml:space="preserve">Evidence Count</w:t>
            </w:r>
          </w:p>
        </w:tc>
      </w:tr>
      <w:tr>
        <w:tc>
          <w:tcPr>
            <w:tcW w:type="dxa" w:w="1200"/>
            <w:shd w:fill="E2EFDA" w:val="clear"/>
          </w:tcPr>
          <w:p>
            <w:r>
              <w:rPr>
                <w:sz w:val="16"/>
                <w:szCs w:val="16"/>
              </w:rPr>
              <w:t xml:space="preserve">KCNH2</w:t>
            </w:r>
          </w:p>
        </w:tc>
        <w:tc>
          <w:tcPr>
            <w:tcW w:type="dxa" w:w="1500"/>
            <w:shd w:fill="E2EFDA" w:val="clear"/>
          </w:tcPr>
          <w:p>
            <w:r>
              <w:rPr>
                <w:sz w:val="16"/>
                <w:szCs w:val="16"/>
              </w:rPr>
              <w:t xml:space="preserve">chr7:150,945,490</w:t>
            </w:r>
          </w:p>
        </w:tc>
        <w:tc>
          <w:tcPr>
            <w:tcW w:type="dxa" w:w="1000"/>
            <w:shd w:fill="E2EFDA" w:val="clear"/>
          </w:tcPr>
          <w:p>
            <w:r>
              <w:rPr>
                <w:sz w:val="16"/>
                <w:szCs w:val="16"/>
              </w:rPr>
              <w:t xml:space="preserve">C&gt;A</w:t>
            </w:r>
          </w:p>
        </w:tc>
        <w:tc>
          <w:tcPr>
            <w:tcW w:type="dxa" w:w="2600"/>
            <w:shd w:fill="E2EFDA" w:val="clear"/>
          </w:tcPr>
          <w:p>
            <w:r>
              <w:rPr>
                <w:sz w:val="16"/>
                <w:szCs w:val="16"/>
              </w:rPr>
              <w:t xml:space="preserve">Long QT syndrome 2</w:t>
            </w:r>
          </w:p>
        </w:tc>
        <w:tc>
          <w:tcPr>
            <w:tcW w:type="dxa" w:w="1600"/>
            <w:shd w:fill="E2EFDA" w:val="clear"/>
          </w:tcPr>
          <w:p>
            <w:r>
              <w:rPr>
                <w:sz w:val="16"/>
                <w:szCs w:val="16"/>
              </w:rPr>
              <w:t xml:space="preserve">Pathogenic</w:t>
            </w:r>
          </w:p>
        </w:tc>
        <w:tc>
          <w:tcPr>
            <w:tcW w:type="dxa" w:w="1900"/>
            <w:shd w:fill="E2EFDA" w:val="clear"/>
          </w:tcPr>
          <w:p>
            <w:r>
              <w:rPr>
                <w:sz w:val="16"/>
                <w:szCs w:val="16"/>
              </w:rPr>
              <w:t xml:space="preserve">Pathogenic</w:t>
            </w:r>
          </w:p>
        </w:tc>
        <w:tc>
          <w:tcPr>
            <w:tcW w:type="dxa" w:w="1200"/>
            <w:shd w:fill="E2EFDA" w:val="clear"/>
          </w:tcPr>
          <w:p>
            <w:r>
              <w:rPr>
                <w:sz w:val="16"/>
                <w:szCs w:val="16"/>
              </w:rPr>
              <w:t xml:space="preserve">13</w:t>
            </w:r>
          </w:p>
        </w:tc>
      </w:tr>
      <w:tr>
        <w:tc>
          <w:tcPr>
            <w:tcW w:type="dxa" w:w="1200"/>
            <w:shd w:fill="E2EFDA" w:val="clear"/>
          </w:tcPr>
          <w:p>
            <w:r>
              <w:rPr>
                <w:sz w:val="16"/>
                <w:szCs w:val="16"/>
              </w:rPr>
              <w:t xml:space="preserve">KCNQ1</w:t>
            </w:r>
          </w:p>
        </w:tc>
        <w:tc>
          <w:tcPr>
            <w:tcW w:type="dxa" w:w="1500"/>
            <w:shd w:fill="E2EFDA" w:val="clear"/>
          </w:tcPr>
          <w:p>
            <w:r>
              <w:rPr>
                <w:sz w:val="16"/>
                <w:szCs w:val="16"/>
              </w:rPr>
              <w:t xml:space="preserve">chr11:2,445,149</w:t>
            </w:r>
          </w:p>
        </w:tc>
        <w:tc>
          <w:tcPr>
            <w:tcW w:type="dxa" w:w="1000"/>
            <w:shd w:fill="E2EFDA" w:val="clear"/>
          </w:tcPr>
          <w:p>
            <w:r>
              <w:rPr>
                <w:sz w:val="16"/>
                <w:szCs w:val="16"/>
              </w:rPr>
              <w:t xml:space="preserve">G&gt;A</w:t>
            </w:r>
          </w:p>
        </w:tc>
        <w:tc>
          <w:tcPr>
            <w:tcW w:type="dxa" w:w="2600"/>
            <w:shd w:fill="E2EFDA" w:val="clear"/>
          </w:tcPr>
          <w:p>
            <w:r>
              <w:rPr>
                <w:sz w:val="16"/>
                <w:szCs w:val="16"/>
              </w:rPr>
              <w:t xml:space="preserve">Long QT syndrome</w:t>
            </w:r>
          </w:p>
        </w:tc>
        <w:tc>
          <w:tcPr>
            <w:tcW w:type="dxa" w:w="1600"/>
            <w:shd w:fill="E2EFDA" w:val="clear"/>
          </w:tcPr>
          <w:p>
            <w:r>
              <w:rPr>
                <w:sz w:val="16"/>
                <w:szCs w:val="16"/>
              </w:rPr>
              <w:t xml:space="preserve">Pathogenic</w:t>
            </w:r>
          </w:p>
        </w:tc>
        <w:tc>
          <w:tcPr>
            <w:tcW w:type="dxa" w:w="1900"/>
            <w:shd w:fill="E2EFDA" w:val="clear"/>
          </w:tcPr>
          <w:p>
            <w:r>
              <w:rPr>
                <w:sz w:val="16"/>
                <w:szCs w:val="16"/>
              </w:rPr>
              <w:t xml:space="preserve">Pathogenic</w:t>
            </w:r>
          </w:p>
        </w:tc>
        <w:tc>
          <w:tcPr>
            <w:tcW w:type="dxa" w:w="1200"/>
            <w:shd w:fill="E2EFDA" w:val="clear"/>
          </w:tcPr>
          <w:p>
            <w:r>
              <w:rPr>
                <w:sz w:val="16"/>
                <w:szCs w:val="16"/>
              </w:rPr>
              <w:t xml:space="preserve">10</w:t>
            </w:r>
          </w:p>
        </w:tc>
      </w:tr>
    </w:tbl>
    <w:p>
      <w:pPr>
        <w:pStyle w:val="Heading1"/>
        <w:spacing w:after="120" w:before="300"/>
      </w:pPr>
      <w:r>
        <w:rPr>
          <w:b/>
          <w:bCs/>
          <w:color w:val="1F3864"/>
          <w:sz w:val="22"/>
          <w:szCs w:val="22"/>
        </w:rPr>
        <w:t xml:space="preserve">INTERPRETATION</w:t>
      </w:r>
    </w:p>
    <w:p>
      <w:pPr>
        <w:spacing w:after="160"/>
      </w:pPr>
      <w:r>
        <w:rPr>
          <w:sz w:val="20"/>
          <w:szCs w:val="20"/>
        </w:rPr>
        <w:t xml:space="preserve">KCNH2 (chr7:150,945,490 C&gt;A): This variant is catalogued in ClinVar as Pathogenic and associated with Long QT syndrome 2 (LQT2). KCNH2 encodes the alpha subunit of the rapidly activating delayed rectifier potassium channel (IKr, Kv11.1) that governs cardiac action potential repolarization. Loss-of-function and dominant-negative missense variants in KCNH2 are a well-established cause of LQT2, characterized by prolonged QT interval and increased risk of torsades de pointes and sudden cardiac death. The pipeline's InterVar-based ACMG/AMP evaluation independently classified this variant as Pathogenic with 13 supporting evidence codes, in concordance with the ClinVar designation.</w:t>
      </w:r>
    </w:p>
    <w:p>
      <w:pPr>
        <w:spacing w:after="160"/>
      </w:pPr>
      <w:r>
        <w:rPr>
          <w:sz w:val="20"/>
          <w:szCs w:val="20"/>
        </w:rPr>
        <w:t xml:space="preserve">KCNQ1 (chr11:2,445,149 G&gt;A): This variant is catalogued in ClinVar as Pathogenic and associated with Long QT syndrome. KCNQ1 encodes the alpha subunit of the slow delayed rectifier potassium channel (IKs) and is the most commonly implicated gene in LQTS (LQT1). Pathogenic KCNQ1 variants disrupt channel repolarization current and are classically associated with QT prolongation triggered by exercise, particularly swimming. The pipeline classified this variant as Pathogenic with 10 supporting evidence codes, concordant with ClinVar.</w:t>
      </w:r>
    </w:p>
    <w:p>
      <w:pPr>
        <w:pStyle w:val="Heading1"/>
        <w:spacing w:after="120" w:before="300"/>
      </w:pPr>
      <w:r>
        <w:rPr>
          <w:b/>
          <w:bCs/>
          <w:color w:val="1F3864"/>
          <w:sz w:val="22"/>
          <w:szCs w:val="22"/>
        </w:rPr>
        <w:t xml:space="preserve">GENE INFORMATION</w:t>
      </w:r>
    </w:p>
    <w:p>
      <w:pPr>
        <w:spacing w:after="160"/>
      </w:pPr>
      <w:r>
        <w:rPr>
          <w:sz w:val="20"/>
          <w:szCs w:val="20"/>
        </w:rPr>
        <w:t xml:space="preserve">KCNH2 and KCNQ1 both encode voltage-gated potassium channel subunits central to phase 3 repolarization of the cardiac action potential. Pathogenic variation in either gene reduces net repolarizing current, prolonging the QT interval and predisposing to life-threatening ventricular arrhythmias. Together, KCNQ1 (LQT1) and KCNH2 (LQT2) account for the substantial majority of genotyped Long QT Syndrome cases, with SCN5A (LQT3) accounting for most of the remainder.</w:t>
      </w:r>
    </w:p>
    <w:p>
      <w:pPr>
        <w:pStyle w:val="Heading1"/>
        <w:spacing w:after="120" w:before="300"/>
      </w:pPr>
      <w:r>
        <w:rPr>
          <w:b/>
          <w:bCs/>
          <w:color w:val="1F3864"/>
          <w:sz w:val="22"/>
          <w:szCs w:val="22"/>
        </w:rPr>
        <w:t xml:space="preserve">VALIDATION NOTES</w:t>
      </w:r>
    </w:p>
    <w:p>
      <w:pPr>
        <w:pStyle w:val="ListParagraph"/>
        <w:numPr>
          <w:ilvl w:val="0"/>
          <w:numId w:val="1"/>
        </w:numPr>
        <w:spacing w:after="60"/>
      </w:pPr>
      <w:r>
        <w:rPr>
          <w:sz w:val="18"/>
          <w:szCs w:val="18"/>
        </w:rPr>
        <w:t xml:space="preserve">Both variants were correctly retained through all 9 pipeline stages (contig annotation, VCF validation, normalization, SnpEff consequence annotation, ClinVar annotation, gnomAD frequency lookup, RepeatMasker overlap, InterVar ACMG classification, and final filtering/reporting).</w:t>
      </w:r>
    </w:p>
    <w:p>
      <w:pPr>
        <w:pStyle w:val="ListParagraph"/>
        <w:numPr>
          <w:ilvl w:val="0"/>
          <w:numId w:val="1"/>
        </w:numPr>
        <w:spacing w:after="60"/>
      </w:pPr>
      <w:r>
        <w:rPr>
          <w:sz w:val="18"/>
          <w:szCs w:val="18"/>
        </w:rPr>
        <w:t xml:space="preserve">Both variants resolved to Pathogenic with double-digit evidence-code counts, demonstrating the pipeline correctly leverages ClinVar concordance (PS1/PP5-type evidence) when classifying variants with prior clinical curation.</w:t>
      </w:r>
    </w:p>
    <w:p>
      <w:pPr>
        <w:pStyle w:val="ListParagraph"/>
        <w:numPr>
          <w:ilvl w:val="0"/>
          <w:numId w:val="1"/>
        </w:numPr>
        <w:spacing w:after="60"/>
      </w:pPr>
      <w:r>
        <w:rPr>
          <w:sz w:val="18"/>
          <w:szCs w:val="18"/>
        </w:rPr>
        <w:t xml:space="preserve">This result supports pipeline validity for LQTS-relevant variant classification and can be reported as a positive-control confirmation in methods validation.</w:t>
      </w:r>
    </w:p>
    <w:p>
      <w:pPr>
        <w:pStyle w:val="Heading1"/>
        <w:spacing w:after="120" w:before="300"/>
      </w:pPr>
      <w:r>
        <w:rPr>
          <w:b/>
          <w:bCs/>
          <w:color w:val="1F3864"/>
          <w:sz w:val="22"/>
          <w:szCs w:val="22"/>
        </w:rPr>
        <w:t xml:space="preserve">METHODOLOGY</w:t>
      </w:r>
    </w:p>
    <w:p>
      <w:pPr>
        <w:spacing w:after="160"/>
      </w:pPr>
      <w:r>
        <w:rPr>
          <w:sz w:val="20"/>
          <w:szCs w:val="20"/>
        </w:rPr>
        <w:t xml:space="preserve">Synthetic variant records were constructed directly from genomic coordinates and clinical significance annotations present in a locally hosted ClinVar database (release 20240917). Variants were processed through a custom variant interpretation pipeline consisting of: contig header normalization, VCF structural validation, bcftools-based variant normalization against GRCh38, SnpEff (GRCh38.99) functional consequence annotation, ANNOVAR-based ClinVar/gnomAD/dbNSFP annotation, RepeatMasker repeat-region overlap annotation, and InterVar 2.2.2 automated ACMG/AMP classification. Final classifications were filtered and compiled into a summary report.</w:t>
      </w:r>
    </w:p>
    <w:p>
      <w:pPr>
        <w:pStyle w:val="Heading1"/>
        <w:spacing w:after="120" w:before="300"/>
      </w:pPr>
      <w:r>
        <w:rPr>
          <w:b/>
          <w:bCs/>
          <w:color w:val="1F3864"/>
          <w:sz w:val="22"/>
          <w:szCs w:val="22"/>
        </w:rPr>
        <w:t xml:space="preserve">LIMITATIONS</w:t>
      </w:r>
    </w:p>
    <w:p>
      <w:pPr>
        <w:spacing w:after="160"/>
      </w:pPr>
      <w:r>
        <w:rPr>
          <w:sz w:val="20"/>
          <w:szCs w:val="20"/>
        </w:rPr>
        <w:t xml:space="preserve">This is a synthetic, single-variant-per-locus positive control exercise using known, previously curated ClinVar entries — it is designed to validate pipeline mechanics (i.e., that a real pathogenic variant is not lost or misclassified) and does not represent a real patient's genome, a real clinical test, or a comprehensive diagnostic evaluation. Zygosity, depth, and quality fields in the source VCF are placeholder values, not derived from real sequencing data.</w:t>
      </w:r>
    </w:p>
    <w:p>
      <w:pPr>
        <w:pBdr>
          <w:top w:val="single" w:color="999999" w:sz="6" w:space="8"/>
        </w:pBdr>
        <w:spacing w:before="300"/>
      </w:pPr>
      <w:r>
        <w:rPr>
          <w:i/>
          <w:iCs/>
          <w:color w:val="AA0000"/>
          <w:sz w:val="15"/>
          <w:szCs w:val="15"/>
        </w:rPr>
        <w:t xml:space="preserve">This document was generated for bioinformatics pipeline validation purposes only. It uses publicly available, curated ClinVar pathogenic variants as positive controls and does not represent the genome of any real individual. It is not a clinical report, has not been reviewed by a licensed clinical laboratory, and must not be used for diagnostic, treatment, insurance, or any other real-world clinical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2026-07-20T09:44:13.064Z</dcterms:created>
  <dcterms:modified xsi:type="dcterms:W3CDTF">2026-07-20T09:44:13.079Z</dcterms:modified>
</cp:coreProperties>
</file>

<file path=docProps/custom.xml><?xml version="1.0" encoding="utf-8"?>
<Properties xmlns="http://schemas.openxmlformats.org/officeDocument/2006/custom-properties" xmlns:vt="http://schemas.openxmlformats.org/officeDocument/2006/docPropsVTypes"/>
</file>