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Variant Interpretation Pipeline — Research Validation Report</w:t>
      </w:r>
    </w:p>
    <w:p>
      <w:r>
        <w:rPr>
          <w:i/>
          <w:iCs/>
          <w:color w:val="AA0000"/>
          <w:sz w:val="18"/>
          <w:szCs w:val="18"/>
        </w:rPr>
        <w:t xml:space="preserve">Bioinformatics Research Project | RESEARCH USE ONLY — NOT A CLINICAL DOCUMENT</w:t>
      </w:r>
    </w:p>
    <w:p>
      <w:pPr>
        <w:pBdr>
          <w:bottom w:val="single" w:color="999999" w:sz="6" w:space="4"/>
        </w:pBdr>
      </w:pPr>
      <w:r>
        <w:rPr>
          <w:sz w:val="18"/>
          <w:szCs w:val="18"/>
        </w:rPr>
        <w:t xml:space="preserve">Synthetic positive-control validation using known ClinVar pathogenic variants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3200"/>
      </w:tblGrid>
      <w:tr>
        <w:tc>
          <w:tcPr>
            <w:tcW w:type="dxa" w:w="2200"/>
            <w:shd w:fill="F0F0F0" w:val="clear"/>
          </w:tcPr>
          <w:p>
            <w:r>
              <w:rPr>
                <w:b/>
                <w:bCs/>
                <w:sz w:val="18"/>
                <w:szCs w:val="18"/>
              </w:rPr>
              <w:t xml:space="preserve">Subject Identifier</w:t>
            </w:r>
          </w:p>
        </w:tc>
        <w:tc>
          <w:tcPr>
            <w:tcW w:type="dxa" w:w="3200"/>
          </w:tcPr>
          <w:p>
            <w:r>
              <w:rPr>
                <w:sz w:val="18"/>
                <w:szCs w:val="18"/>
              </w:rPr>
              <w:t xml:space="preserve">PC-NF1-001</w:t>
            </w:r>
          </w:p>
        </w:tc>
        <w:tc>
          <w:tcPr>
            <w:tcW w:type="dxa" w:w="2200"/>
            <w:shd w:fill="F0F0F0" w:val="clear"/>
          </w:tcPr>
          <w:p>
            <w:r>
              <w:rPr>
                <w:b/>
                <w:bCs/>
                <w:sz w:val="18"/>
                <w:szCs w:val="18"/>
              </w:rPr>
              <w:t xml:space="preserve">Data Source</w:t>
            </w:r>
          </w:p>
        </w:tc>
        <w:tc>
          <w:tcPr>
            <w:tcW w:type="dxa" w:w="3200"/>
          </w:tcPr>
          <w:p>
            <w:r>
              <w:rPr>
                <w:sz w:val="18"/>
                <w:szCs w:val="18"/>
              </w:rPr>
              <w:t xml:space="preserve">Local ClinVar (clinvar_20240917)</w:t>
            </w:r>
          </w:p>
        </w:tc>
      </w:tr>
      <w:tr>
        <w:tc>
          <w:tcPr>
            <w:tcW w:type="dxa" w:w="2200"/>
            <w:shd w:fill="F0F0F0" w:val="clear"/>
          </w:tcPr>
          <w:p>
            <w:r>
              <w:rPr>
                <w:b/>
                <w:bCs/>
                <w:sz w:val="18"/>
                <w:szCs w:val="18"/>
              </w:rPr>
              <w:t xml:space="preserve">Sample Type</w:t>
            </w:r>
          </w:p>
        </w:tc>
        <w:tc>
          <w:tcPr>
            <w:tcW w:type="dxa" w:w="3200"/>
          </w:tcPr>
          <w:p>
            <w:r>
              <w:rPr>
                <w:sz w:val="18"/>
                <w:szCs w:val="18"/>
              </w:rPr>
              <w:t xml:space="preserve">Synthetic / in-silico positive control</w:t>
            </w:r>
          </w:p>
        </w:tc>
        <w:tc>
          <w:tcPr>
            <w:tcW w:type="dxa" w:w="2200"/>
            <w:shd w:fill="F0F0F0" w:val="clear"/>
          </w:tcPr>
          <w:p>
            <w:r>
              <w:rPr>
                <w:b/>
                <w:bCs/>
                <w:sz w:val="18"/>
                <w:szCs w:val="18"/>
              </w:rPr>
              <w:t xml:space="preserve">Reference Build</w:t>
            </w:r>
          </w:p>
        </w:tc>
        <w:tc>
          <w:tcPr>
            <w:tcW w:type="dxa" w:w="3200"/>
          </w:tcPr>
          <w:p>
            <w:r>
              <w:rPr>
                <w:sz w:val="18"/>
                <w:szCs w:val="18"/>
              </w:rPr>
              <w:t xml:space="preserve">GRCh38</w:t>
            </w:r>
          </w:p>
        </w:tc>
      </w:tr>
      <w:tr>
        <w:tc>
          <w:tcPr>
            <w:tcW w:type="dxa" w:w="2200"/>
            <w:shd w:fill="F0F0F0" w:val="clear"/>
          </w:tcPr>
          <w:p>
            <w:r>
              <w:rPr>
                <w:b/>
                <w:bCs/>
                <w:sz w:val="18"/>
                <w:szCs w:val="18"/>
              </w:rPr>
              <w:t xml:space="preserve">Genes Analyzed</w:t>
            </w:r>
          </w:p>
        </w:tc>
        <w:tc>
          <w:tcPr>
            <w:tcW w:type="dxa" w:w="3200"/>
          </w:tcPr>
          <w:p>
            <w:r>
              <w:rPr>
                <w:sz w:val="18"/>
                <w:szCs w:val="18"/>
              </w:rPr>
              <w:t xml:space="preserve">NF1</w:t>
            </w:r>
          </w:p>
        </w:tc>
        <w:tc>
          <w:tcPr>
            <w:tcW w:type="dxa" w:w="2200"/>
            <w:shd w:fill="F0F0F0" w:val="clear"/>
          </w:tcPr>
          <w:p>
            <w:r>
              <w:rPr>
                <w:b/>
                <w:bCs/>
                <w:sz w:val="18"/>
                <w:szCs w:val="18"/>
              </w:rPr>
              <w:t xml:space="preserve">Report Date</w:t>
            </w:r>
          </w:p>
        </w:tc>
        <w:tc>
          <w:tcPr>
            <w:tcW w:type="dxa" w:w="3200"/>
          </w:tcPr>
          <w:p>
            <w:r>
              <w:rPr>
                <w:sz w:val="18"/>
                <w:szCs w:val="18"/>
              </w:rPr>
              <w:t xml:space="preserve">2026-07-20</w:t>
            </w:r>
          </w:p>
        </w:tc>
      </w:tr>
      <w:tr>
        <w:tc>
          <w:tcPr>
            <w:tcW w:type="dxa" w:w="2200"/>
            <w:shd w:fill="F0F0F0" w:val="clear"/>
          </w:tcPr>
          <w:p>
            <w:r>
              <w:rPr>
                <w:b/>
                <w:bCs/>
                <w:sz w:val="18"/>
                <w:szCs w:val="18"/>
              </w:rPr>
              <w:t xml:space="preserve">Pipeline Version</w:t>
            </w:r>
          </w:p>
        </w:tc>
        <w:tc>
          <w:tcPr>
            <w:tcW w:type="dxa" w:w="3200"/>
          </w:tcPr>
          <w:p>
            <w:r>
              <w:rPr>
                <w:sz w:val="18"/>
                <w:szCs w:val="18"/>
              </w:rPr>
              <w:t xml:space="preserve">VariantInterpretationPipeline v1 (steps 00–09)</w:t>
            </w:r>
          </w:p>
        </w:tc>
        <w:tc>
          <w:tcPr>
            <w:tcW w:type="dxa" w:w="2200"/>
            <w:shd w:fill="F0F0F0" w:val="clear"/>
          </w:tcPr>
          <w:p>
            <w:r>
              <w:rPr>
                <w:b/>
                <w:bCs/>
                <w:sz w:val="18"/>
                <w:szCs w:val="18"/>
              </w:rPr>
              <w:t xml:space="preserve">Classification Method</w:t>
            </w:r>
          </w:p>
        </w:tc>
        <w:tc>
          <w:tcPr>
            <w:tcW w:type="dxa" w:w="3200"/>
          </w:tcPr>
          <w:p>
            <w:r>
              <w:rPr>
                <w:sz w:val="18"/>
                <w:szCs w:val="18"/>
              </w:rPr>
              <w:t xml:space="preserve">ACMG/AMP via InterVar 2.2.2</w:t>
            </w:r>
          </w:p>
        </w:tc>
      </w:tr>
    </w:tbl>
    <w:p/>
    <w:p>
      <w:pPr>
        <w:pStyle w:val="Heading1"/>
        <w:spacing w:after="120" w:before="300"/>
      </w:pPr>
      <w:r>
        <w:rPr>
          <w:b/>
          <w:bCs/>
          <w:color w:val="1F3864"/>
          <w:sz w:val="22"/>
          <w:szCs w:val="22"/>
        </w:rPr>
        <w:t xml:space="preserve">TEST RESULT SUMMARY</w:t>
      </w:r>
    </w:p>
    <w:p>
      <w:pPr>
        <w:spacing w:after="160"/>
      </w:pPr>
      <w:r>
        <w:rPr>
          <w:sz w:val="20"/>
          <w:szCs w:val="20"/>
        </w:rPr>
        <w:t xml:space="preserve">One known ClinVar-pathogenic variant associated with Neurofibromatosis type 1 (NF1) was introduced as a positive control: a heterozygous missense variant in NF1 (chr17:31,095,037 A&gt;G). This variant is catalogued in ClinVar as Pathogenic and associated with Neurofibromatosis type 1. Despite this clinical designation, the pipeline's automated ACMG/AMP evaluation (InterVar 2.2.2) classified this variant as a Variant of Uncertain Significance (VUS), with 9 supporting evidence codes.</w:t>
      </w:r>
    </w:p>
    <w:p>
      <w:pPr>
        <w:pStyle w:val="Heading1"/>
        <w:spacing w:after="120" w:before="300"/>
      </w:pPr>
      <w:r>
        <w:rPr>
          <w:b/>
          <w:bCs/>
          <w:color w:val="1F3864"/>
          <w:sz w:val="22"/>
          <w:szCs w:val="22"/>
        </w:rPr>
        <w:t xml:space="preserve">PRIMARY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000"/>
        <w:gridCol w:w="2600"/>
        <w:gridCol w:w="1600"/>
        <w:gridCol w:w="1900"/>
        <w:gridCol w:w="1200"/>
      </w:tblGrid>
      <w:tr>
        <w:trPr>
          <w:tblHeader/>
        </w:trPr>
        <w:tc>
          <w:tcPr>
            <w:tcW w:type="dxa" w:w="1200"/>
            <w:shd w:fill="1F3864" w:val="clear"/>
          </w:tcPr>
          <w:p>
            <w:r>
              <w:rPr>
                <w:b/>
                <w:bCs/>
                <w:color w:val="FFFFFF"/>
                <w:sz w:val="16"/>
                <w:szCs w:val="16"/>
              </w:rPr>
              <w:t xml:space="preserve">Gene</w:t>
            </w:r>
          </w:p>
        </w:tc>
        <w:tc>
          <w:tcPr>
            <w:tcW w:type="dxa" w:w="1500"/>
            <w:shd w:fill="1F3864" w:val="clear"/>
          </w:tcPr>
          <w:p>
            <w:r>
              <w:rPr>
                <w:b/>
                <w:bCs/>
                <w:color w:val="FFFFFF"/>
                <w:sz w:val="16"/>
                <w:szCs w:val="16"/>
              </w:rPr>
              <w:t xml:space="preserve">Chr:Position</w:t>
            </w:r>
          </w:p>
        </w:tc>
        <w:tc>
          <w:tcPr>
            <w:tcW w:type="dxa" w:w="1000"/>
            <w:shd w:fill="1F3864" w:val="clear"/>
          </w:tcPr>
          <w:p>
            <w:r>
              <w:rPr>
                <w:b/>
                <w:bCs/>
                <w:color w:val="FFFFFF"/>
                <w:sz w:val="16"/>
                <w:szCs w:val="16"/>
              </w:rPr>
              <w:t xml:space="preserve">Ref&gt;Alt</w:t>
            </w:r>
          </w:p>
        </w:tc>
        <w:tc>
          <w:tcPr>
            <w:tcW w:type="dxa" w:w="2600"/>
            <w:shd w:fill="1F3864" w:val="clear"/>
          </w:tcPr>
          <w:p>
            <w:r>
              <w:rPr>
                <w:b/>
                <w:bCs/>
                <w:color w:val="FFFFFF"/>
                <w:sz w:val="16"/>
                <w:szCs w:val="16"/>
              </w:rPr>
              <w:t xml:space="preserve">ClinVar Disease</w:t>
            </w:r>
          </w:p>
        </w:tc>
        <w:tc>
          <w:tcPr>
            <w:tcW w:type="dxa" w:w="1600"/>
            <w:shd w:fill="1F3864" w:val="clear"/>
          </w:tcPr>
          <w:p>
            <w:r>
              <w:rPr>
                <w:b/>
                <w:bCs/>
                <w:color w:val="FFFFFF"/>
                <w:sz w:val="16"/>
                <w:szCs w:val="16"/>
              </w:rPr>
              <w:t xml:space="preserve">ClinVar Sig.</w:t>
            </w:r>
          </w:p>
        </w:tc>
        <w:tc>
          <w:tcPr>
            <w:tcW w:type="dxa" w:w="1900"/>
            <w:shd w:fill="1F3864" w:val="clear"/>
          </w:tcPr>
          <w:p>
            <w:r>
              <w:rPr>
                <w:b/>
                <w:bCs/>
                <w:color w:val="FFFFFF"/>
                <w:sz w:val="16"/>
                <w:szCs w:val="16"/>
              </w:rPr>
              <w:t xml:space="preserve">InterVar Classification</w:t>
            </w:r>
          </w:p>
        </w:tc>
        <w:tc>
          <w:tcPr>
            <w:tcW w:type="dxa" w:w="1200"/>
            <w:shd w:fill="1F3864" w:val="clear"/>
          </w:tcPr>
          <w:p>
            <w:r>
              <w:rPr>
                <w:b/>
                <w:bCs/>
                <w:color w:val="FFFFFF"/>
                <w:sz w:val="16"/>
                <w:szCs w:val="16"/>
              </w:rPr>
              <w:t xml:space="preserve">Evidence Count</w:t>
            </w:r>
          </w:p>
        </w:tc>
      </w:tr>
      <w:tr>
        <w:tc>
          <w:tcPr>
            <w:tcW w:type="dxa" w:w="1200"/>
            <w:shd w:fill="FFF2CC" w:val="clear"/>
          </w:tcPr>
          <w:p>
            <w:r>
              <w:rPr>
                <w:sz w:val="16"/>
                <w:szCs w:val="16"/>
              </w:rPr>
              <w:t xml:space="preserve">NF1</w:t>
            </w:r>
          </w:p>
        </w:tc>
        <w:tc>
          <w:tcPr>
            <w:tcW w:type="dxa" w:w="1500"/>
            <w:shd w:fill="FFF2CC" w:val="clear"/>
          </w:tcPr>
          <w:p>
            <w:r>
              <w:rPr>
                <w:sz w:val="16"/>
                <w:szCs w:val="16"/>
              </w:rPr>
              <w:t xml:space="preserve">chr17:31,095,037</w:t>
            </w:r>
          </w:p>
        </w:tc>
        <w:tc>
          <w:tcPr>
            <w:tcW w:type="dxa" w:w="1000"/>
            <w:shd w:fill="FFF2CC" w:val="clear"/>
          </w:tcPr>
          <w:p>
            <w:r>
              <w:rPr>
                <w:sz w:val="16"/>
                <w:szCs w:val="16"/>
              </w:rPr>
              <w:t xml:space="preserve">A&gt;G</w:t>
            </w:r>
          </w:p>
        </w:tc>
        <w:tc>
          <w:tcPr>
            <w:tcW w:type="dxa" w:w="2600"/>
            <w:shd w:fill="FFF2CC" w:val="clear"/>
          </w:tcPr>
          <w:p>
            <w:r>
              <w:rPr>
                <w:sz w:val="16"/>
                <w:szCs w:val="16"/>
              </w:rPr>
              <w:t xml:space="preserve">Neurofibromatosis type 1</w:t>
            </w:r>
          </w:p>
        </w:tc>
        <w:tc>
          <w:tcPr>
            <w:tcW w:type="dxa" w:w="1600"/>
            <w:shd w:fill="FFF2CC" w:val="clear"/>
          </w:tcPr>
          <w:p>
            <w:r>
              <w:rPr>
                <w:sz w:val="16"/>
                <w:szCs w:val="16"/>
              </w:rPr>
              <w:t xml:space="preserve">Pathogenic</w:t>
            </w:r>
          </w:p>
        </w:tc>
        <w:tc>
          <w:tcPr>
            <w:tcW w:type="dxa" w:w="1900"/>
            <w:shd w:fill="FFF2CC" w:val="clear"/>
          </w:tcPr>
          <w:p>
            <w:r>
              <w:rPr>
                <w:sz w:val="16"/>
                <w:szCs w:val="16"/>
              </w:rPr>
              <w:t xml:space="preserve">Uncertain significance</w:t>
            </w:r>
          </w:p>
        </w:tc>
        <w:tc>
          <w:tcPr>
            <w:tcW w:type="dxa" w:w="1200"/>
            <w:shd w:fill="FFF2CC" w:val="clear"/>
          </w:tcPr>
          <w:p>
            <w:r>
              <w:rPr>
                <w:sz w:val="16"/>
                <w:szCs w:val="16"/>
              </w:rPr>
              <w:t xml:space="preserve">9</w:t>
            </w:r>
          </w:p>
        </w:tc>
      </w:tr>
    </w:tbl>
    <w:p>
      <w:pPr>
        <w:pStyle w:val="Heading1"/>
        <w:spacing w:after="120" w:before="300"/>
      </w:pPr>
      <w:r>
        <w:rPr>
          <w:b/>
          <w:bCs/>
          <w:color w:val="1F3864"/>
          <w:sz w:val="22"/>
          <w:szCs w:val="22"/>
        </w:rPr>
        <w:t xml:space="preserve">INTERPRETATION</w:t>
      </w:r>
    </w:p>
    <w:p>
      <w:pPr>
        <w:spacing w:after="160"/>
      </w:pPr>
      <w:r>
        <w:rPr>
          <w:sz w:val="20"/>
          <w:szCs w:val="20"/>
        </w:rPr>
        <w:t xml:space="preserve">NF1 (chr17:31,095,037 A&gt;G): This variant is catalogued in ClinVar as Pathogenic and associated with Neurofibromatosis type 1. NF1 encodes neurofibromin, a large GTPase-activating protein that negatively regulates RAS signaling; loss-of-function variants across this large gene are the near-universal cause of NF1, a tumor-predisposition disorder characterized by café-au-lait macules, neurofibromas, Lisch nodules, and elevated risk of specific malignancies. Despite the ClinVar Pathogenic designation, InterVar's independent evidence evaluation classified this variant as Uncertain Significance. As with the MYH7 result observed in the HCM positive-control panel, this reflects InterVar re-deriving ACMG/AMP evidence directly (population frequency, computational predictors, domain and functional data) rather than adopting ClinVar's clinical significance label outright, and can under-weight evidence for a variant relative to its real-world clinical curation.</w:t>
      </w:r>
    </w:p>
    <w:p>
      <w:pPr>
        <w:pStyle w:val="Heading1"/>
        <w:spacing w:after="120" w:before="300"/>
      </w:pPr>
      <w:r>
        <w:rPr>
          <w:b/>
          <w:bCs/>
          <w:color w:val="1F3864"/>
          <w:sz w:val="22"/>
          <w:szCs w:val="22"/>
        </w:rPr>
        <w:t xml:space="preserve">GENE INFORMATION</w:t>
      </w:r>
    </w:p>
    <w:p>
      <w:pPr>
        <w:spacing w:after="160"/>
      </w:pPr>
      <w:r>
        <w:rPr>
          <w:sz w:val="20"/>
          <w:szCs w:val="20"/>
        </w:rPr>
        <w:t xml:space="preserve">NF1 is one of the largest genes in the genome and functions as a tumor suppressor by accelerating GTP hydrolysis on RAS, thereby restraining RAS/MAPK pathway signaling. Because NF1 has an unusually high de novo mutation rate and pathogenic variants are distributed across nearly the entire coding sequence with no strong mutational hotspots, ACMG evidence for any single missense variant is often comparatively sparse relative to more tightly clustered disease genes, which can make automated missense classification more conservative even for variants with established clinical pathogenicity.</w:t>
      </w:r>
    </w:p>
    <w:p>
      <w:pPr>
        <w:pStyle w:val="Heading1"/>
        <w:spacing w:after="120" w:before="300"/>
      </w:pPr>
      <w:r>
        <w:rPr>
          <w:b/>
          <w:bCs/>
          <w:color w:val="1F3864"/>
          <w:sz w:val="22"/>
          <w:szCs w:val="22"/>
        </w:rPr>
        <w:t xml:space="preserve">VALIDATION NOTES</w:t>
      </w:r>
    </w:p>
    <w:p>
      <w:pPr>
        <w:pStyle w:val="ListParagraph"/>
        <w:numPr>
          <w:ilvl w:val="0"/>
          <w:numId w:val="1"/>
        </w:numPr>
        <w:spacing w:after="60"/>
      </w:pPr>
      <w:r>
        <w:rPr>
          <w:sz w:val="18"/>
          <w:szCs w:val="18"/>
        </w:rPr>
        <w:t xml:space="preserve">The variant was correctly retained through all 9 pipeline stages with no data loss — the VUS result reflects a classification-logic outcome, not a pipeline failure or dropped data.</w:t>
      </w:r>
    </w:p>
    <w:p>
      <w:pPr>
        <w:pStyle w:val="ListParagraph"/>
        <w:numPr>
          <w:ilvl w:val="0"/>
          <w:numId w:val="1"/>
        </w:numPr>
        <w:spacing w:after="60"/>
      </w:pPr>
      <w:r>
        <w:rPr>
          <w:sz w:val="18"/>
          <w:szCs w:val="18"/>
        </w:rPr>
        <w:t xml:space="preserve">This is the second discordance case observed across the four-disorder validation panel (alongside MYH7 in the HCM panel), suggesting InterVar's evidence-derivation may be systematically more conservative for large, mutational-hotspot-poor genes such as NF1 and MYH7 relative to genes with well-defined truncating/haploinsufficiency mechanisms (MYBPC3, ARID1B) or well-characterized channel domains (KCNQ1, KCNH2).</w:t>
      </w:r>
    </w:p>
    <w:p>
      <w:pPr>
        <w:pStyle w:val="ListParagraph"/>
        <w:numPr>
          <w:ilvl w:val="0"/>
          <w:numId w:val="1"/>
        </w:numPr>
        <w:spacing w:after="60"/>
      </w:pPr>
      <w:r>
        <w:rPr>
          <w:sz w:val="18"/>
          <w:szCs w:val="18"/>
        </w:rPr>
        <w:t xml:space="preserve">This pattern is a legitimate and reportable research finding, not an error to be corrected by adding more annotation tools.</w:t>
      </w:r>
    </w:p>
    <w:p>
      <w:pPr>
        <w:pStyle w:val="Heading1"/>
        <w:spacing w:after="120" w:before="300"/>
      </w:pPr>
      <w:r>
        <w:rPr>
          <w:b/>
          <w:bCs/>
          <w:color w:val="1F3864"/>
          <w:sz w:val="22"/>
          <w:szCs w:val="22"/>
        </w:rPr>
        <w:t xml:space="preserve">METHODOLOGY</w:t>
      </w:r>
    </w:p>
    <w:p>
      <w:pPr>
        <w:spacing w:after="160"/>
      </w:pPr>
      <w:r>
        <w:rPr>
          <w:sz w:val="20"/>
          <w:szCs w:val="20"/>
        </w:rPr>
        <w:t xml:space="preserve">Synthetic variant records were constructed directly from genomic coordinates and clinical significance annotations present in a locally hosted ClinVar database (release 20240917). Variants were processed through a custom variant interpretation pipeline consisting of: contig header normalization, VCF structural validation, bcftools-based variant normalization against GRCh38, SnpEff (GRCh38.99) functional consequence annotation, ANNOVAR-based ClinVar/gnomAD/dbNSFP annotation, RepeatMasker repeat-region overlap annotation, and InterVar 2.2.2 automated ACMG/AMP classification. Final classifications were filtered and compiled into a summary report.</w:t>
      </w:r>
    </w:p>
    <w:p>
      <w:pPr>
        <w:pStyle w:val="Heading1"/>
        <w:spacing w:after="120" w:before="300"/>
      </w:pPr>
      <w:r>
        <w:rPr>
          <w:b/>
          <w:bCs/>
          <w:color w:val="1F3864"/>
          <w:sz w:val="22"/>
          <w:szCs w:val="22"/>
        </w:rPr>
        <w:t xml:space="preserve">LIMITATIONS</w:t>
      </w:r>
    </w:p>
    <w:p>
      <w:pPr>
        <w:spacing w:after="160"/>
      </w:pPr>
      <w:r>
        <w:rPr>
          <w:sz w:val="20"/>
          <w:szCs w:val="20"/>
        </w:rPr>
        <w:t xml:space="preserve">This is a synthetic, single-variant positive control exercise using a known, previously curated ClinVar entry — it is designed to validate pipeline mechanics and does not represent a real patient's genome, a real clinical test, or a comprehensive diagnostic evaluation. The VUS outcome here should not be interpreted as evidence that this specific variant is not clinically significant in NF1; it reflects this pipeline's specific ACMG evidence-weighting behavior for this gene and locus, and is flagged here as a target for further methodological investigation (e.g., auditing which specific ACMG criteria InterVar applied vs. omitted for this variant).</w:t>
      </w:r>
    </w:p>
    <w:p>
      <w:pPr>
        <w:pBdr>
          <w:top w:val="single" w:color="999999" w:sz="6" w:space="8"/>
        </w:pBdr>
        <w:spacing w:before="300"/>
      </w:pPr>
      <w:r>
        <w:rPr>
          <w:i/>
          <w:iCs/>
          <w:color w:val="AA0000"/>
          <w:sz w:val="15"/>
          <w:szCs w:val="15"/>
        </w:rPr>
        <w:t xml:space="preserve">This document was generated for bioinformatics pipeline validation purposes only. It uses publicly available, curated ClinVar pathogenic variants as positive controls and does not represent the genome of any real individual. It is not a clinical report, has not been reviewed by a licensed clinical laboratory, and must not be used for diagnostic, treatment, insurance, or any other real-world clinical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2026-07-20T09:58:36.387Z</dcterms:created>
  <dcterms:modified xsi:type="dcterms:W3CDTF">2026-07-20T09:58:36.387Z</dcterms:modified>
</cp:coreProperties>
</file>

<file path=docProps/custom.xml><?xml version="1.0" encoding="utf-8"?>
<Properties xmlns="http://schemas.openxmlformats.org/officeDocument/2006/custom-properties" xmlns:vt="http://schemas.openxmlformats.org/officeDocument/2006/docPropsVTypes"/>
</file>