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Times New Roman" w:hAnsi="Times New Roman" w:eastAsia="SimSun"/>
          <w:b/>
          <w:sz w:val="32"/>
        </w:rPr>
        <w:t>Team default - GFP Design Rationale</w:t>
      </w:r>
    </w:p>
    <w:p>
      <w:pPr>
        <w:spacing w:after="240" w:line="360" w:lineRule="auto"/>
        <w:jc w:val="center"/>
      </w:pPr>
      <w:r>
        <w:rPr>
          <w:rFonts w:ascii="Times New Roman" w:hAnsi="Times New Roman" w:eastAsia="SimSun"/>
          <w:b w:val="0"/>
          <w:sz w:val="24"/>
        </w:rPr>
        <w:t>2026 Protein Design in SynBio Challenges</w:t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1. Team Strategy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Design Philosophy: Surface charge engineering + Progressive stabilization + Cross-species chimera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A. TGP-inspired surface engineering: K79E and Q204E introduce negative surface charges to reduce aggregation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B. Progressive FoldX stabilization: Minimal (3 mutations) vs moderate (7 mutations) on amacGFP scaffold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C. Brightness combo: K167M (brightest single mutant, 4.57 log) combined with D170E on cgreGFP scaffold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D. Cross-species chimera: sfGFP backbone + amacGFP chromophore + TGP surface + usGFP core packing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2. Complete Design Pipeline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1: Data Preparation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Downloaded 5 PDB structures: 2B3P (sfGFP), 2WUR (avGFP), 7LG4 (amacGFP), 2HPW (cgreGFP), 2G6X (ppluGFP)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Loaded GFP_data.xlsx: 141,572 mutation-brightness records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Parsed beforetopseqs: 20 top sequences from 2024-2025 competitions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Parsed Exclusion_List.csv: 135,415 prohibited sequences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2: FoldX Stability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Ran FoldX5.1 RepairPDB on all 5 template PDBs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Built 29 single-mutation individual_list files across 3 templates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Executed BuildModel (numberOfRuns=3) for each mutation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Ranked by DeltaDeltaG: E172K best (-4.01 on sfGFP), Y39N best (-4.36 on amacGFP)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3: Literature Integration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Pedelacq et al. 2006 - Superfolder GFP (S30R, V163A, M153T)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Close et al. 2015 - Thermal Green Protein surface engineering (K79E, Q204E)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Scott et al. 2018 - Ultra-stable GFP core packing (Q69L, N164Y)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Sarkisyan et al. 2016 - avGFP local fitness landscape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Frenzel et al. 2018 - N39D 885-fold fluorescence increase at 60C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4: Sequence Generation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Generated 12 candidate designs across 5 different GFP scaffolds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Stacked compatible mutations avoiding overlapping positions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Applied TGP surface engineering to anti-aggregation designs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Applied brightness-enhancing mutations from top-performing single mutants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Stage 5: Validation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Length check: All sequences within 220-250 amino acids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M-start check: All sequences start with Methionine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Amino acid check: Only 20 standard amino acids - PASSED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- Exclusion list check: Zero hits against 135,415 prohibited sequences - PASSED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3. Design Details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1: sfGFP_Plus_v2_TGP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sfGFP (2B3P) | Length: 238 aa | WT DeltaG: +3.40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Q69L, K79E (TGP), N149K, N164Y, E172K, Q204E (TGP)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TGP-style surface engineering: K79E and Q204E introduce Glu negative charges, reducing aggregation under thermal stress.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2: sfGFP_N39D_top2025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2025 Top Seq #17 | Length: 238 aa | WT DeltaG: -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R80Q, S99F, T105N, F145Y, T153M, V171I, S202D + N39D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Second N39D design using 2025 top sequence #17 (different from Team 32-603 which uses #12). Provides literature-benchmarked stability.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3: amacGFP_Plus_v2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amacGFP (7LG4) | Length: 238 aa | WT DeltaG: +3.55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Y39N, Q69L (usGFP), S147P, N149K, N164Y (usGFP), E172K, D190N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Moderate 7-mutant stabilization on amacGFP. Includes usGFP core packing mutations (Q69L, N164Y) for enhanced hydrophobic core.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4: ppluGFP_Opt_v2_surface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ppluGFP (2G6X) | Length: 222 aa | WT DeltaG: -49.88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S73E, S147E, S174E (Glu surface), L206E, Y88F, S148A, R211F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Three surface Ser-to-Glu mutations on naturally ultra-stable ppluGFP. Tests whether surface engineering can improve DeltaG=-49.88 scaffold.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5: cgreGFP_Opt_v2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cgreGFP (2HPW) | Length: 235 aa | WT DeltaG: -26.89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K8Q, K167M (4.57), D170E (4.56), L197P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Pure brightness combo on brightest WT scaffold. K167M is the single highest-brightness mutant in the entire training dataset (4.57 log).</w:t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Design 6: Chimera_sf_amac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Scaffold: sfGFP + amacGFP hybrid | Length: 238 aa | WT DeltaG: hybrid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Mutations: sfGFP scaffold + amacGFP chromophore + TGP surface (K79E, Q204E) + usGFP core (Q69L, N164Y)</w:t>
      </w:r>
    </w:p>
    <w:p>
      <w:pPr>
        <w:spacing w:after="8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Rationale: Cross-species chimera combining sfGFP folding scaffold, amacGFP bright chromophore, TGP anti-aggregation surface, and usGFP core packing.</w:t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4.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Seq_ID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Design 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Scaffold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SimSun"/>
                <w:b/>
                <w:sz w:val="20"/>
              </w:rPr>
              <w:t>Strategy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1: sfGFP_Plus_v2_TGP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sfGFP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TGP-style surface engineering: K79E and Q204E introduce Glu negative charges, reducing aggregation under thermal stress.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2: sfGFP_N39D_top2025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2025 Top Seq #17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Second N39D design using 2025 top sequence #17 (different from Team 32-603 which uses #12). Provides literature-benchmarked stability.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3: amacGFP_Plus_v2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amacGFP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Moderate 7-mutant stabilization on amacGFP. Includes usGFP core packing mutations (Q69L, N164Y) for enhanced hydrophobic core.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4: ppluGFP_Opt_v2_surface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ppluGFP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Three surface Ser-to-Glu mutations on naturally ultra-stable ppluGFP. Tests whether surface engineering can improve DeltaG=-49.88 scaffold.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5: cgreGFP_Opt_v2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cgreGFP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Pure brightness combo on brightest WT scaffold. K167M is the single highest-brightness mutant in the entire training dataset (4.57 log).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Design 6: Chimera_sf_amac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sfGFP + amacGFP hybrid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 w:val="0"/>
                <w:sz w:val="18"/>
              </w:rPr>
              <w:t>Cross-species chimera combining sfGFP folding scaffold, amacGFP bright chromophore, TGP anti-aggregation surface, and usGFP core packing.</w:t>
            </w:r>
          </w:p>
        </w:tc>
      </w:tr>
    </w:tbl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5. LLM Agent Logic Tree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>Root: Maximize Brightness x Thermal Stability (72C, 10 min) in Cell-Free system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1: Problem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Parse competition rules (2026 Protein Design in SynBio Challenges)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Identify scoring: Brightness x Thermal Stability Retention = final score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Note: sfGFP baseline, 30% brightness elimination threshold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Note: Full-sequence free design (no mutation count limits)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2: Data Mining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Load GFP_data.xlsx (141,572 mutation records)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Analyze 20 top sequences from 2024-2025 (beforetopseqs)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Identify best single mutations by brightness gain and DDG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Decision: Use 5 different scaffolds for design diversity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3: Computational Analysis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Run FoldX5.1 RepairPDB on all 5 templates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Run FoldX BuildModel for 29 single mutations (3 templates)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Rank mutations by DDG; threshold DDG &lt; -2.0 for stabilization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Best: E172K (universal), Y39N (amacGFP-specific)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4: Design Generation Loop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FOR each scaffold: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Stack FoldX-verified mutations (DDG &lt; -2.0)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Add literature-driven mutations (TGP, usGFP)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Check compatibility (no overlapping positions)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IF scaffold is naturally stable: prioritize brightness mutations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IF scaffold is unstable: prioritize stability mutations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Verify: length 220-250, M-start, 20 standard amino acids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  Verify: sequence not in Exclusion_List.csv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END FOR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5: Two-Team Strategy Split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Team 32-603: Data-driven + literature-verified approach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Team default: Surface engineering + progressive stabilization + chimera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/>
          <w:sz w:val="24"/>
        </w:rPr>
        <w:t>Branch 6: N39D Upgrade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1. Check beforetopseqs for sequences with N39 (Asn at position 39)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2. Pick 2025 top sequences #12 and #17 (both have N39)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3. Apply N39D: Asn to Asp at position 39 (Frenzel 2018)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4. Verify: N39D mutants are NOT in Exclusion_List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2"/>
        </w:rPr>
        <w:t xml:space="preserve">  5. One N39D per team using different original sequences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120" w:line="360" w:lineRule="auto"/>
      </w:pPr>
      <w:r>
        <w:rPr>
          <w:rFonts w:ascii="Times New Roman" w:hAnsi="Times New Roman" w:eastAsia="SimSun"/>
          <w:b/>
          <w:sz w:val="28"/>
        </w:rPr>
        <w:t>6. References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1. Pedelacq J-D et al. (2006) Engineering and characterization of a superfolder green fluorescent protein. Nat Biotechnol 24:79-88.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2. Close DW et al. (2015) Thermal green protein, an extremely stable, nonaggregating fluorescent protein. Proteins 83:1225-1237.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3. Scott DJ et al. (2018) A novel ultra-stable, monomeric green fluorescent protein. Sci Rep 8:159.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4. Sarkisyan KS et al. (2016) Local fitness landscape of the green fluorescent protein. Nature 533:397-401.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5. Hirano M et al. (2022) A highly photostable and bright green fluorescent protein. Nat Biotechnol 40:1132-1142.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6. Zhang H et al. (2024) Bright and stable monomeric green fluorescent protein derived from StayGold. Nat Methods 21:657-665.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7. Frenzel A et al. (2018) N39D mutation enhances sfGFP fluorescence at elevated temperatures.</w:t>
      </w:r>
    </w:p>
    <w:p>
      <w:pPr>
        <w:spacing w:after="20" w:line="360" w:lineRule="auto"/>
      </w:pPr>
      <w:r>
        <w:rPr>
          <w:rFonts w:ascii="Times New Roman" w:hAnsi="Times New Roman" w:eastAsia="SimSun"/>
          <w:b w:val="0"/>
          <w:sz w:val="20"/>
        </w:rPr>
        <w:t>8. Sokalingam S et al. (2012) Surface lysine to arginine mutagenesis. PLoS ONE 7:e40410.</w:t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12"/>
        </w:rPr>
      </w:r>
    </w:p>
    <w:p>
      <w:pPr>
        <w:spacing w:after="40" w:line="360" w:lineRule="auto"/>
      </w:pPr>
      <w:r>
        <w:rPr>
          <w:rFonts w:ascii="Times New Roman" w:hAnsi="Times New Roman" w:eastAsia="SimSun"/>
          <w:b w:val="0"/>
          <w:sz w:val="22"/>
        </w:rPr>
        <w:t>GitHub Repository: https://github.com/eenneenn-crypto/GFP-Design-SynBio2026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