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70FB0987" w:rsidR="00041E01" w:rsidRDefault="00442819" w:rsidP="00A73B3B">
      <w:pPr>
        <w:pStyle w:val="Title"/>
        <w:jc w:val="center"/>
      </w:pPr>
      <w:r>
        <w:t xml:space="preserve">The </w:t>
      </w:r>
      <w:r w:rsidR="00EF29BE">
        <w:t>T</w:t>
      </w:r>
      <w:r>
        <w:t xml:space="preserve">itle Of </w:t>
      </w:r>
      <w:r w:rsidR="00EF29BE">
        <w:t>Y</w:t>
      </w:r>
      <w:r>
        <w:t>our Project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 xml:space="preserve">This template document has a number of paragraph styles predefined.  If you use them (‘Heading 1’, ‘Heading 2’ and ‘Heading 3’) and don’t alter them, then your report will automatically have properly numbered </w:t>
      </w:r>
      <w:proofErr w:type="gramStart"/>
      <w:r>
        <w:t>paragraphs</w:t>
      </w:r>
      <w:proofErr w:type="gramEnd"/>
      <w:r>
        <w:t xml:space="preserve">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 xml:space="preserve">If you manually edit the table of contents, you may find that either your changes will get </w:t>
      </w:r>
      <w:proofErr w:type="gramStart"/>
      <w:r>
        <w:t>overwritten</w:t>
      </w:r>
      <w:proofErr w:type="gramEnd"/>
      <w:r>
        <w:t xml:space="preserve">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Introduction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64ED59CC" w14:textId="27176037" w:rsidR="00982CE0" w:rsidRDefault="0017319C" w:rsidP="0017319C">
      <w:pPr>
        <w:pStyle w:val="Heading2"/>
      </w:pPr>
      <w:bookmarkStart w:id="1" w:name="_Toc144892522"/>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44892523"/>
      <w:r w:rsidRPr="001B3704">
        <w:t>Objectives</w:t>
      </w:r>
      <w:bookmarkEnd w:id="2"/>
    </w:p>
    <w:p w14:paraId="35863DDE" w14:textId="313A2C12" w:rsidR="008E1F23" w:rsidRPr="00C24D3C" w:rsidRDefault="00785CAE" w:rsidP="00C24D3C">
      <w:pPr>
        <w:pStyle w:val="Heading3"/>
      </w:pPr>
      <w:r>
        <w:t>1.</w:t>
      </w:r>
      <w:r w:rsidR="00A97262">
        <w:t>2.1</w:t>
      </w:r>
      <w:r>
        <w:t xml:space="preserve"> </w:t>
      </w:r>
      <w:r w:rsidR="001A1D62">
        <w:t>Primary Objectives</w:t>
      </w:r>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19DCD64" w:rsidR="001A1D62" w:rsidRDefault="001A1D62" w:rsidP="001A1D62">
      <w:r>
        <w:t>The produced software should be able to align a typical testcase of 6 protein sequences within 10 seconds on a university desktop computer. The resulting alignment of sequences must conserve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0DDD3206"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external tool such as Clustal Omega.</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42D48090" w:rsidR="001A1D62" w:rsidRDefault="001A1D62" w:rsidP="001A1D62">
      <w:r>
        <w:t xml:space="preserve">The alignment tool should be able to read biological sequences from an established file format such as FASTA. Likewise, the tool should support an established file format for outputting sequence alignments, such as FASTA, PHYLIP or NEXUS.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049A47B8" w14:textId="1044FE80" w:rsidR="001A1D62" w:rsidRDefault="001A1D62" w:rsidP="001A1D62">
      <w:r>
        <w:t xml:space="preserve">As assessed in a case study using structural benchmarking, the alignment tool should demonstrate the ability to consistently produce alignments of a comparable quality to established software packages such as Clustal Omega and MUSCLE. </w:t>
      </w:r>
      <w:r w:rsidRPr="00D85ABC">
        <w:rPr>
          <w:highlight w:val="yellow"/>
        </w:rPr>
        <w:t>(</w:t>
      </w:r>
      <w:r w:rsidR="00D85ABC">
        <w:rPr>
          <w:highlight w:val="yellow"/>
        </w:rPr>
        <w:t xml:space="preserve">TODO: </w:t>
      </w:r>
      <w:r w:rsidRPr="00D85ABC">
        <w:rPr>
          <w:highlight w:val="yellow"/>
        </w:rPr>
        <w:t>add that this is informed by experts)</w:t>
      </w:r>
    </w:p>
    <w:p w14:paraId="70FB9954" w14:textId="59588189" w:rsidR="00A97262" w:rsidRDefault="00A97262">
      <w:r>
        <w:br w:type="page"/>
      </w:r>
    </w:p>
    <w:p w14:paraId="7F361576" w14:textId="0FC02502" w:rsidR="001A1D62" w:rsidRDefault="00A97262" w:rsidP="00A97262">
      <w:pPr>
        <w:pStyle w:val="Heading3"/>
      </w:pPr>
      <w:r>
        <w:lastRenderedPageBreak/>
        <w:t>1.2.2</w:t>
      </w:r>
      <w:r w:rsidR="001A1D62">
        <w:t xml:space="preserve"> Secondary Objectives</w:t>
      </w:r>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6D54FB56" w:rsidR="00B36BD4" w:rsidRDefault="00B36BD4" w:rsidP="001A1D62">
      <w:r w:rsidRPr="00B36BD4">
        <w:t>Keeping step with recent research, the software should leverage multiple objective functions to guide the pareto-optimization process. As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3" w:name="_Toc144892524"/>
      <w:r>
        <w:t>Scope</w:t>
      </w:r>
      <w:bookmarkEnd w:id="3"/>
    </w:p>
    <w:p w14:paraId="765A4385" w14:textId="3838C486" w:rsidR="00864C87" w:rsidRDefault="006C5466" w:rsidP="00FC796B">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along</w:t>
      </w:r>
      <w:r w:rsidR="007A63E1">
        <w:t>side</w:t>
      </w:r>
      <w:r w:rsidR="00C101C5">
        <w:t xml:space="preserve"> details of its performance on benchmark testcases.</w:t>
      </w:r>
    </w:p>
    <w:p w14:paraId="6B2A7B74" w14:textId="77777777" w:rsidR="00864C87" w:rsidRDefault="00864C87" w:rsidP="00864C87">
      <w:r w:rsidRPr="00CB15D0">
        <w:rPr>
          <w:highlight w:val="yellow"/>
        </w:rPr>
        <w:t xml:space="preserve">The project should conclude with a comparative case study, comparing the performance of developed tool against established alternatives such as MAFFT, Muscle and </w:t>
      </w:r>
      <w:proofErr w:type="spellStart"/>
      <w:r w:rsidRPr="00CB15D0">
        <w:rPr>
          <w:highlight w:val="yellow"/>
        </w:rPr>
        <w:t>ClustalOmega</w:t>
      </w:r>
      <w:proofErr w:type="spellEnd"/>
      <w:r w:rsidRPr="00CB15D0">
        <w:rPr>
          <w:highlight w:val="yellow"/>
        </w:rPr>
        <w:t>.</w:t>
      </w:r>
    </w:p>
    <w:p w14:paraId="711B4AF0" w14:textId="63DB326D" w:rsidR="006C5466" w:rsidRPr="006C5466" w:rsidRDefault="006C5466" w:rsidP="00864C87">
      <w:r w:rsidRPr="006C5466">
        <w:t xml:space="preserve">Despite being a key feature of some sequence alignment packages such as </w:t>
      </w:r>
      <w:proofErr w:type="spellStart"/>
      <w:r w:rsidRPr="006C5466">
        <w:t>ClustalX</w:t>
      </w:r>
      <w:proofErr w:type="spellEnd"/>
      <w:r w:rsidRPr="006C5466">
        <w:t>, the development of a rich graphical user interface (GUI) lies outside the scope of this project. Instead, emphasis is placed on producing high</w:t>
      </w:r>
      <w:r w:rsidR="0016466D">
        <w:t>-</w:t>
      </w:r>
      <w:r w:rsidRPr="006C5466">
        <w:t>quality alignments in a time-efficient manner.</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02E1C987" w14:textId="4DB39AC8" w:rsidR="008072BE" w:rsidRDefault="00476D6F" w:rsidP="00377D78">
      <w:pPr>
        <w:pStyle w:val="Heading2"/>
      </w:pPr>
      <w:bookmarkStart w:id="4" w:name="_Toc144892525"/>
      <w:r>
        <w:lastRenderedPageBreak/>
        <w:t>Deliverables</w:t>
      </w:r>
      <w:bookmarkEnd w:id="4"/>
    </w:p>
    <w:p w14:paraId="1C5F1ED2" w14:textId="2BCC3820" w:rsidR="008072BE" w:rsidRDefault="008072BE" w:rsidP="005B3F47">
      <w:pPr>
        <w:pStyle w:val="Heading3"/>
      </w:pPr>
      <w:r>
        <w:t xml:space="preserve">1.4.1 </w:t>
      </w:r>
      <w:r>
        <w:t>Software</w:t>
      </w:r>
      <w:r w:rsidR="0006178E">
        <w:t xml:space="preserve"> </w:t>
      </w:r>
      <w:r w:rsidR="0006178E" w:rsidRPr="00591E82">
        <w:rPr>
          <w:highlight w:val="yellow"/>
        </w:rPr>
        <w:t>(update dates)</w:t>
      </w:r>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BA66C71" w:rsidR="008072BE" w:rsidRDefault="008072BE" w:rsidP="008072BE">
      <w:r w:rsidRPr="004B5367">
        <w:rPr>
          <w:b/>
          <w:bCs/>
        </w:rPr>
        <w:t>MAli v0.1</w:t>
      </w:r>
      <w:r>
        <w:t xml:space="preserve"> (November 5th,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3A9B32F9" w:rsidR="008072BE" w:rsidRDefault="008072BE" w:rsidP="008072BE">
      <w:r w:rsidRPr="004B5367">
        <w:rPr>
          <w:b/>
          <w:bCs/>
        </w:rPr>
        <w:t>MAli v0.2</w:t>
      </w:r>
      <w:r>
        <w:t xml:space="preserve"> (November 19th,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6EFF411D" w:rsidR="008072BE" w:rsidRDefault="008072BE" w:rsidP="008072BE">
      <w:r w:rsidRPr="001B0268">
        <w:rPr>
          <w:b/>
          <w:bCs/>
        </w:rPr>
        <w:t>MAli v1.0</w:t>
      </w:r>
      <w:r>
        <w:t xml:space="preserve"> (December 3rd,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5171DA63" w:rsidR="008072BE" w:rsidRDefault="008072BE" w:rsidP="008072BE">
      <w:r w:rsidRPr="001B0268">
        <w:rPr>
          <w:b/>
          <w:bCs/>
        </w:rPr>
        <w:t>MAli v1.1</w:t>
      </w:r>
      <w:r>
        <w:t xml:space="preserve"> (January 7th,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17D3F4B0" w:rsidR="008072BE" w:rsidRDefault="008072BE" w:rsidP="008072BE">
      <w:r w:rsidRPr="001B0268">
        <w:rPr>
          <w:b/>
          <w:bCs/>
        </w:rPr>
        <w:t>MAli v1.2</w:t>
      </w:r>
      <w:r>
        <w:t xml:space="preserve"> (January 21st,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395ECCEB" w:rsidR="008072BE" w:rsidRDefault="008072BE" w:rsidP="008072BE">
      <w:r w:rsidRPr="001B0268">
        <w:rPr>
          <w:b/>
          <w:bCs/>
        </w:rPr>
        <w:t>MAli v1.3</w:t>
      </w:r>
      <w:r>
        <w:t xml:space="preserve"> (February 4th,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Default="00496528" w:rsidP="00496528">
      <w:pPr>
        <w:pStyle w:val="Heading3"/>
      </w:pPr>
      <w:r>
        <w:t>1.4.2 Documents</w:t>
      </w:r>
    </w:p>
    <w:p w14:paraId="026E4864" w14:textId="74F9B9E8" w:rsidR="0080051A" w:rsidRPr="0080051A" w:rsidRDefault="0080051A" w:rsidP="00953940">
      <w:r>
        <w:t>Two key documents will be produced as part of the project:</w:t>
      </w:r>
    </w:p>
    <w:p w14:paraId="752B78D2" w14:textId="6F53F1C0" w:rsidR="00953940" w:rsidRDefault="00953940" w:rsidP="00953940">
      <w:r w:rsidRPr="00A259CA">
        <w:rPr>
          <w:b/>
          <w:bCs/>
        </w:rPr>
        <w:t>Project Definition Document</w:t>
      </w:r>
      <w:r>
        <w:t xml:space="preserve"> (October 15th, 2024) </w:t>
      </w:r>
    </w:p>
    <w:p w14:paraId="33A819E6" w14:textId="441C936F" w:rsidR="00953940" w:rsidRDefault="00953940" w:rsidP="00953940">
      <w:pPr>
        <w:pStyle w:val="ListParagraph"/>
        <w:numPr>
          <w:ilvl w:val="0"/>
          <w:numId w:val="4"/>
        </w:numPr>
      </w:pPr>
      <w:r>
        <w:t>An unambiguous document (2500 words max.) which clarifies the scope, objectives, and deliverables of the project. The document should propose an overall 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51F12F7D" w:rsidR="00496528" w:rsidRDefault="00953940" w:rsidP="00953940">
      <w:pPr>
        <w:pStyle w:val="ListParagraph"/>
        <w:numPr>
          <w:ilvl w:val="0"/>
          <w:numId w:val="4"/>
        </w:numPr>
      </w:pPr>
      <w:r>
        <w:t>A comprehensive report (15000 words max.) which details key elements of the project</w:t>
      </w:r>
      <w:r>
        <w:t xml:space="preserve"> </w:t>
      </w:r>
      <w:r>
        <w:t xml:space="preserve">and documents efforts to meet the objectives outlined. The </w:t>
      </w:r>
      <w:r w:rsidR="00CE31E9">
        <w:t>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47B101C3" w14:textId="77777777" w:rsidR="001C6BE5" w:rsidRDefault="001C6BE5" w:rsidP="00377D78"/>
    <w:p w14:paraId="4E5993A1" w14:textId="7B7A8059" w:rsidR="00E919DB" w:rsidRDefault="00476D6F" w:rsidP="00DE0491">
      <w:pPr>
        <w:pStyle w:val="Heading2"/>
      </w:pPr>
      <w:bookmarkStart w:id="5" w:name="_Toc144892527"/>
      <w:r>
        <w:t>Assumptions</w:t>
      </w:r>
      <w:bookmarkEnd w:id="5"/>
    </w:p>
    <w:p w14:paraId="7D10F031" w14:textId="0566F404" w:rsidR="005D574D" w:rsidRDefault="005D574D" w:rsidP="005D574D">
      <w:r>
        <w:t xml:space="preserve">This work is predicated on the assumption that the performance of alignment software as assessed via structural benchmarking is indicative of the tool's real-world performance at Multiple Sequence Alignment (MSA). </w:t>
      </w:r>
    </w:p>
    <w:p w14:paraId="113918D1" w14:textId="32D1F1D2" w:rsidR="005D574D" w:rsidRDefault="005D574D" w:rsidP="005D574D">
      <w:r>
        <w:t>As described by Thompson et al. (2001), structural benchmarks are designed to offer a comprehensive evaluation for sequence alignment software</w:t>
      </w:r>
      <w:r w:rsidR="000218A8">
        <w:t>. Today, t</w:t>
      </w:r>
      <w:r>
        <w:t>heir use is prevalent in the literature. In a review of 45 recent papers, structural benchmarking was found to be the most popular quality measure for MSA (Ibrahim et al., 2024).</w:t>
      </w:r>
    </w:p>
    <w:p w14:paraId="2A901E51" w14:textId="4EB3B8EF"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435D57BF" w14:textId="7820A3FA" w:rsidR="00721B54" w:rsidRDefault="00A35B46" w:rsidP="00DE0491">
      <w:pPr>
        <w:pStyle w:val="Heading2"/>
      </w:pPr>
      <w:bookmarkStart w:id="7" w:name="_Toc144892529"/>
      <w:r>
        <w:t xml:space="preserve">Project </w:t>
      </w:r>
      <w:r w:rsidRPr="006E6AC7">
        <w:t>benefits</w:t>
      </w:r>
      <w:bookmarkEnd w:id="7"/>
    </w:p>
    <w:p w14:paraId="4EA69587" w14:textId="77777777" w:rsidR="00721B54" w:rsidRDefault="00721B54" w:rsidP="00721B54">
      <w:r>
        <w:t>If successful, the project will provide an evidenced perspective on the viability of a single-state approach for iterative sequence alignment - a gap in recent research. This could draw attention to single-state methods as candidates for further research</w:t>
      </w:r>
      <w:r>
        <w:t xml:space="preserve">. </w:t>
      </w:r>
    </w:p>
    <w:p w14:paraId="31116B2A" w14:textId="773F3379" w:rsidR="00721B54" w:rsidRDefault="00721B54" w:rsidP="00721B54">
      <w:r>
        <w:t>The project also has scope to contribute to the current understanding of pareto-optimization for MSA, as a new combination of objective functions could be found to be highly effective.</w:t>
      </w:r>
    </w:p>
    <w:p w14:paraId="0448FFD4" w14:textId="7730367B" w:rsidR="00721B54" w:rsidRDefault="00721B54" w:rsidP="00721B54">
      <w:r>
        <w:t xml:space="preserve">Should the software be shown to produce solutions of sufficiently high quality, the aligner could serve a role alongside other software packages in </w:t>
      </w:r>
      <w:r>
        <w:t>consensus-based</w:t>
      </w:r>
      <w:r>
        <w:t xml:space="preserve"> sequence </w:t>
      </w:r>
      <w:r>
        <w:t>alignment or</w:t>
      </w:r>
      <w:r>
        <w:t xml:space="preserve"> see direct use as a preference choice by some bioinformaticians. In both these scenarios, the project could serve to improve the accuracy of bioinformatics analysis processes dependent on sequence alignment.</w:t>
      </w:r>
    </w:p>
    <w:p w14:paraId="5575FFB3" w14:textId="77777777" w:rsidR="00721B54" w:rsidRDefault="00721B54" w:rsidP="00DE0491"/>
    <w:p w14:paraId="7142AF7A" w14:textId="100A1E49" w:rsidR="007F0E4B" w:rsidRDefault="002A3C3D" w:rsidP="002A3C3D">
      <w:pPr>
        <w:pStyle w:val="Heading2"/>
      </w:pPr>
      <w:bookmarkStart w:id="8" w:name="_Toc144892530"/>
      <w:r>
        <w:t>Project operation</w:t>
      </w:r>
      <w:bookmarkEnd w:id="8"/>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159B70D" w14:textId="77777777" w:rsidR="003B5EC5" w:rsidRDefault="003B5EC5" w:rsidP="00DE0491"/>
    <w:p w14:paraId="532CA8FF" w14:textId="77777777" w:rsidR="003B5EC5" w:rsidRDefault="003B5EC5" w:rsidP="00DE0491"/>
    <w:p w14:paraId="0FB89A92" w14:textId="77777777" w:rsidR="003B5EC5" w:rsidRDefault="003B5EC5" w:rsidP="00DE0491"/>
    <w:p w14:paraId="5145D383" w14:textId="77777777" w:rsidR="003B5EC5" w:rsidRDefault="003B5EC5" w:rsidP="00DE0491"/>
    <w:p w14:paraId="4E705C3A" w14:textId="77777777" w:rsidR="003B5EC5" w:rsidRDefault="003B5EC5" w:rsidP="00DE0491"/>
    <w:p w14:paraId="6B7299CF" w14:textId="67F677E7" w:rsidR="006E6AC7" w:rsidRDefault="006E6AC7" w:rsidP="006E6AC7">
      <w:pPr>
        <w:pStyle w:val="Heading2"/>
      </w:pPr>
      <w:bookmarkStart w:id="9" w:name="_Toc144892531"/>
      <w:r>
        <w:t>Options</w:t>
      </w:r>
      <w:bookmarkEnd w:id="9"/>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4E0FB59E" w:rsidR="00A35B46" w:rsidRDefault="00A35B46" w:rsidP="006E6AC7">
      <w:pPr>
        <w:pStyle w:val="Heading2"/>
      </w:pPr>
      <w:bookmarkStart w:id="10" w:name="_Toc144892532"/>
      <w:r>
        <w:t>Risk analysis</w:t>
      </w:r>
      <w:bookmarkEnd w:id="10"/>
      <w:r w:rsidR="004E7374">
        <w:t xml:space="preserve"> and mitigation</w:t>
      </w:r>
    </w:p>
    <w:p w14:paraId="71DBD690" w14:textId="0378F4E8" w:rsidR="00033FC0" w:rsidRDefault="00E46B5D" w:rsidP="00E46B5D">
      <w:pPr>
        <w:pStyle w:val="Heading3"/>
      </w:pPr>
      <w:r>
        <w:t>2.4.1 Risk Matrix</w:t>
      </w:r>
    </w:p>
    <w:p w14:paraId="6636220C" w14:textId="77777777" w:rsidR="00033FC0" w:rsidRDefault="00033FC0" w:rsidP="00033FC0"/>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46521EA" w14:textId="5C12257D" w:rsidR="00033FC0" w:rsidRPr="0026718F" w:rsidRDefault="00033FC0" w:rsidP="00033FC0">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3DF17F2B" w14:textId="77777777" w:rsidR="00033FC0" w:rsidRDefault="00033FC0" w:rsidP="00DE0491"/>
    <w:p w14:paraId="7940EA12" w14:textId="16E4DD3E" w:rsidR="00D17D5F" w:rsidRDefault="00D17D5F" w:rsidP="00D17D5F">
      <w:pPr>
        <w:pStyle w:val="Heading3"/>
      </w:pPr>
      <w:r>
        <w:t>2.4.</w:t>
      </w:r>
      <w:r>
        <w:t>2</w:t>
      </w:r>
      <w:r>
        <w:t xml:space="preserve"> Risk </w:t>
      </w:r>
      <w:r>
        <w:t>Analysis</w:t>
      </w:r>
    </w:p>
    <w:p w14:paraId="087EE959" w14:textId="77777777" w:rsidR="00D17D5F" w:rsidRDefault="00D17D5F" w:rsidP="00D17D5F"/>
    <w:p w14:paraId="0897EABC" w14:textId="4B117DB6" w:rsidR="00D17D5F" w:rsidRPr="00D17D5F" w:rsidRDefault="00A437B8" w:rsidP="00D17D5F">
      <w:r w:rsidRPr="003C5691">
        <w:rPr>
          <w:highlight w:val="yellow"/>
        </w:rPr>
        <w:t>TO BE INCLUDED HERE</w:t>
      </w:r>
    </w:p>
    <w:p w14:paraId="7420B5C0" w14:textId="77777777" w:rsidR="00033FC0" w:rsidRDefault="00033FC0" w:rsidP="00DE0491"/>
    <w:p w14:paraId="191723A4" w14:textId="59E35511" w:rsidR="008D4BF4" w:rsidRDefault="00521608" w:rsidP="002F0B16">
      <w:pPr>
        <w:pStyle w:val="Heading2"/>
      </w:pPr>
      <w:r>
        <w:t>Ethical and legal considerations</w:t>
      </w:r>
      <w:r w:rsidR="006C1C54">
        <w:t xml:space="preserve"> (</w:t>
      </w:r>
      <w:r w:rsidR="006C1C54" w:rsidRPr="006C1C54">
        <w:rPr>
          <w:highlight w:val="yellow"/>
        </w:rPr>
        <w:t>needs</w:t>
      </w:r>
      <w:r w:rsidR="006C1C54">
        <w:t xml:space="preserve"> </w:t>
      </w:r>
      <w:r w:rsidR="006C1C54" w:rsidRPr="006C1C54">
        <w:rPr>
          <w:highlight w:val="yellow"/>
        </w:rPr>
        <w:t>citations</w:t>
      </w:r>
      <w:r w:rsidR="006C1C54">
        <w:t>)</w:t>
      </w:r>
    </w:p>
    <w:p w14:paraId="479EEF6C" w14:textId="16305ED9" w:rsidR="008A4370" w:rsidRDefault="008A4370" w:rsidP="008A4370">
      <w:r>
        <w:t xml:space="preserve">This project has no foreseeable ethical </w:t>
      </w:r>
      <w:r>
        <w:t>implications and</w:t>
      </w:r>
      <w:r>
        <w:t xml:space="preserve"> complies with relevant legislation such as The Computer Misuse Act. In compliance with the Data Protection Act, the project will not involve test subjects </w:t>
      </w:r>
      <w:r w:rsidR="00D07EDA">
        <w:t>or</w:t>
      </w:r>
      <w:r>
        <w:t xml:space="preserve"> sensitive user data. All data to be used with the software will be either entirely </w:t>
      </w:r>
      <w:r>
        <w:t>synthetic or</w:t>
      </w:r>
      <w:r>
        <w:t xml:space="preserve"> sourced from named public datasets </w:t>
      </w:r>
      <w:r w:rsidRPr="00C87F07">
        <w:rPr>
          <w:highlight w:val="yellow"/>
        </w:rPr>
        <w:t>with clear licenses.</w:t>
      </w:r>
    </w:p>
    <w:p w14:paraId="1DDDE4E6" w14:textId="3753EBF6" w:rsidR="007E31D6" w:rsidRDefault="008A4370" w:rsidP="008A4370">
      <w:r>
        <w:t>Transparency and reproducibility are highly relevant to this work. While alignment tools are typically non-deterministic in nature, a deliberate effort will be made to communicate the methodology of all experiments undertaken as part of the project. Such details will likely include the initial settings and versioning for the tool, with reference to named test cases or datasets where feasible.</w:t>
      </w:r>
    </w:p>
    <w:p w14:paraId="14467CA4" w14:textId="77777777" w:rsidR="008D4BF4" w:rsidRPr="008D4BF4" w:rsidRDefault="008D4BF4" w:rsidP="008D4BF4"/>
    <w:p w14:paraId="1B314858" w14:textId="566170FF" w:rsidR="006A6A9E" w:rsidRDefault="00521608" w:rsidP="00F51E1A">
      <w:pPr>
        <w:pStyle w:val="Heading2"/>
      </w:pPr>
      <w:r>
        <w:t>Commercial considerations</w:t>
      </w:r>
    </w:p>
    <w:p w14:paraId="573E1D50" w14:textId="04F757BD" w:rsidR="004D7625" w:rsidRDefault="008A33F9" w:rsidP="00F51E1A">
      <w:r>
        <w:t>If undertaken independently from the University of Hull, an</w:t>
      </w:r>
      <w:r w:rsidR="00F51E1A">
        <w:t xml:space="preserve"> estimated cost for this project is £10863.00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 xml:space="preserve">. </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77777777" w:rsidR="00F51E1A" w:rsidRDefault="00F51E1A" w:rsidP="00151E1D">
            <w:pPr>
              <w:jc w:val="right"/>
            </w:pPr>
            <w:r>
              <w:t>£14.00/h</w:t>
            </w:r>
          </w:p>
        </w:tc>
        <w:tc>
          <w:tcPr>
            <w:tcW w:w="1418" w:type="dxa"/>
          </w:tcPr>
          <w:p w14:paraId="026E9786" w14:textId="77777777" w:rsidR="00F51E1A" w:rsidRDefault="00F51E1A" w:rsidP="00151E1D">
            <w:pPr>
              <w:jc w:val="right"/>
            </w:pPr>
            <w:r>
              <w:t>400 hours</w:t>
            </w:r>
          </w:p>
        </w:tc>
        <w:tc>
          <w:tcPr>
            <w:tcW w:w="1613" w:type="dxa"/>
          </w:tcPr>
          <w:p w14:paraId="67B79B10" w14:textId="77777777" w:rsidR="00F51E1A" w:rsidRDefault="00F51E1A" w:rsidP="00151E1D">
            <w:pPr>
              <w:jc w:val="right"/>
            </w:pPr>
            <w:r>
              <w:t>£5600.00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77777777" w:rsidR="00F51E1A" w:rsidRPr="00A87F56" w:rsidRDefault="00F51E1A" w:rsidP="00151E1D">
            <w:pPr>
              <w:jc w:val="right"/>
              <w:rPr>
                <w:b/>
                <w:bCs/>
              </w:rPr>
            </w:pPr>
            <w:r w:rsidRPr="00A87F56">
              <w:rPr>
                <w:b/>
                <w:bCs/>
              </w:rPr>
              <w:t>£10863.00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4BF90AA0" w:rsidR="00CE1798" w:rsidRPr="00532AAD" w:rsidRDefault="00532AAD" w:rsidP="00532AAD">
      <w:pPr>
        <w:jc w:val="center"/>
        <w:rPr>
          <w:i/>
          <w:iCs/>
        </w:rPr>
      </w:pPr>
      <w:r w:rsidRPr="003B5D6E">
        <w:rPr>
          <w:b/>
          <w:bCs/>
          <w:i/>
          <w:iCs/>
          <w:highlight w:val="yellow"/>
        </w:rPr>
        <w:t>Table</w:t>
      </w:r>
      <w:r>
        <w:rPr>
          <w:i/>
          <w:iCs/>
        </w:rPr>
        <w:t xml:space="preserve"> Breakdown of estimated costs for the project</w:t>
      </w:r>
      <w:r w:rsidR="00F67208">
        <w:rPr>
          <w:i/>
          <w:iCs/>
        </w:rPr>
        <w:t xml:space="preserve"> – totalling £10863.00</w:t>
      </w:r>
      <w:r>
        <w:rPr>
          <w:i/>
          <w:iCs/>
        </w:rPr>
        <w:t>.</w:t>
      </w:r>
    </w:p>
    <w:p w14:paraId="4AD70EA0" w14:textId="77777777" w:rsidR="005C6A4A" w:rsidRDefault="005C6A4A" w:rsidP="00CC76AA"/>
    <w:p w14:paraId="22EF49D1" w14:textId="7580D096"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49651E">
        <w:t>has</w:t>
      </w:r>
      <w:r w:rsidR="00025E90">
        <w:t xml:space="preserve"> relevance to</w:t>
      </w:r>
      <w:r w:rsidR="000E339A">
        <w:t xml:space="preserve"> </w:t>
      </w:r>
      <w:r w:rsidR="009B508A">
        <w:t>b</w:t>
      </w:r>
      <w:r w:rsidR="00025E90">
        <w:t>ioinformatics and applied soft computing</w:t>
      </w:r>
      <w:r>
        <w:t>.</w:t>
      </w:r>
    </w:p>
    <w:p w14:paraId="2D66BBD1" w14:textId="1B71372F" w:rsidR="003403CA" w:rsidRDefault="003403CA" w:rsidP="00816B59">
      <w:pPr>
        <w:pStyle w:val="Heading1"/>
      </w:pPr>
      <w:bookmarkStart w:id="11" w:name="_Toc144892534"/>
      <w:r>
        <w:lastRenderedPageBreak/>
        <w:t>Project methodology and outcomes</w:t>
      </w:r>
      <w:bookmarkEnd w:id="11"/>
    </w:p>
    <w:p w14:paraId="615EBC05" w14:textId="3823E7A9" w:rsidR="003403CA" w:rsidRDefault="00842DD4" w:rsidP="006E6AC7">
      <w:pPr>
        <w:pStyle w:val="Heading2"/>
      </w:pPr>
      <w:bookmarkStart w:id="12" w:name="_Toc144892535"/>
      <w:r>
        <w:t>Initial project plan</w:t>
      </w:r>
      <w:bookmarkEnd w:id="12"/>
    </w:p>
    <w:p w14:paraId="239A4112" w14:textId="0D8056FE" w:rsidR="00842DD4" w:rsidRDefault="00842DD4" w:rsidP="007E0200">
      <w:pPr>
        <w:pStyle w:val="Heading2"/>
        <w:numPr>
          <w:ilvl w:val="2"/>
          <w:numId w:val="1"/>
        </w:numPr>
      </w:pPr>
      <w:bookmarkStart w:id="13" w:name="_Toc144892536"/>
      <w:r>
        <w:t>Tasks and milestones</w:t>
      </w:r>
      <w:bookmarkEnd w:id="13"/>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4" w:name="_Toc144892537"/>
      <w:r>
        <w:t xml:space="preserve">Schedule </w:t>
      </w:r>
      <w:r w:rsidR="00842DD4">
        <w:t>Gantt chart</w:t>
      </w:r>
      <w:bookmarkEnd w:id="14"/>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5" w:name="_Toc144892538"/>
      <w:r>
        <w:t>Project control</w:t>
      </w:r>
      <w:bookmarkEnd w:id="15"/>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6" w:name="_Toc144892539"/>
      <w:r>
        <w:t>Project evaluation</w:t>
      </w:r>
      <w:bookmarkEnd w:id="16"/>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7" w:name="_Toc144892540"/>
      <w:r>
        <w:lastRenderedPageBreak/>
        <w:t>References</w:t>
      </w:r>
      <w:bookmarkEnd w:id="17"/>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18" w:name="_Toc144892541"/>
      <w:r>
        <w:lastRenderedPageBreak/>
        <w:t>Appendix a</w:t>
      </w:r>
      <w:bookmarkEnd w:id="18"/>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8B8CD" w14:textId="77777777" w:rsidR="00BE09E5" w:rsidRDefault="00BE09E5" w:rsidP="00783FA7">
      <w:pPr>
        <w:spacing w:after="0" w:line="240" w:lineRule="auto"/>
      </w:pPr>
      <w:r>
        <w:separator/>
      </w:r>
    </w:p>
  </w:endnote>
  <w:endnote w:type="continuationSeparator" w:id="0">
    <w:p w14:paraId="3F6417C6" w14:textId="77777777" w:rsidR="00BE09E5" w:rsidRDefault="00BE09E5"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7FBEB" w14:textId="77777777" w:rsidR="00BE09E5" w:rsidRDefault="00BE09E5" w:rsidP="00783FA7">
      <w:pPr>
        <w:spacing w:after="0" w:line="240" w:lineRule="auto"/>
      </w:pPr>
      <w:r>
        <w:separator/>
      </w:r>
    </w:p>
  </w:footnote>
  <w:footnote w:type="continuationSeparator" w:id="0">
    <w:p w14:paraId="4D7D8BBF" w14:textId="77777777" w:rsidR="00BE09E5" w:rsidRDefault="00BE09E5"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18A8"/>
    <w:rsid w:val="00024E74"/>
    <w:rsid w:val="00025E90"/>
    <w:rsid w:val="00033FC0"/>
    <w:rsid w:val="00041E01"/>
    <w:rsid w:val="0006178E"/>
    <w:rsid w:val="00091474"/>
    <w:rsid w:val="00093654"/>
    <w:rsid w:val="00097DDB"/>
    <w:rsid w:val="000A69B2"/>
    <w:rsid w:val="000B6C4C"/>
    <w:rsid w:val="000E339A"/>
    <w:rsid w:val="000E4D6E"/>
    <w:rsid w:val="00113624"/>
    <w:rsid w:val="00134DC2"/>
    <w:rsid w:val="00137C17"/>
    <w:rsid w:val="00161C51"/>
    <w:rsid w:val="0016466D"/>
    <w:rsid w:val="00166C03"/>
    <w:rsid w:val="0017319C"/>
    <w:rsid w:val="00190BCC"/>
    <w:rsid w:val="00191CFE"/>
    <w:rsid w:val="0019328A"/>
    <w:rsid w:val="001A1D62"/>
    <w:rsid w:val="001B0268"/>
    <w:rsid w:val="001B1304"/>
    <w:rsid w:val="001B3704"/>
    <w:rsid w:val="001C6BE5"/>
    <w:rsid w:val="001E0F70"/>
    <w:rsid w:val="001E6AD7"/>
    <w:rsid w:val="001F35DE"/>
    <w:rsid w:val="002131CE"/>
    <w:rsid w:val="00232A77"/>
    <w:rsid w:val="00236506"/>
    <w:rsid w:val="00254DE1"/>
    <w:rsid w:val="00265847"/>
    <w:rsid w:val="00275EA4"/>
    <w:rsid w:val="00280C25"/>
    <w:rsid w:val="002A3C3D"/>
    <w:rsid w:val="002E3E7C"/>
    <w:rsid w:val="002F0B16"/>
    <w:rsid w:val="00304780"/>
    <w:rsid w:val="0031119C"/>
    <w:rsid w:val="003236FF"/>
    <w:rsid w:val="003277F6"/>
    <w:rsid w:val="00327FB3"/>
    <w:rsid w:val="00331065"/>
    <w:rsid w:val="00334CD0"/>
    <w:rsid w:val="003403CA"/>
    <w:rsid w:val="0036397A"/>
    <w:rsid w:val="00377D78"/>
    <w:rsid w:val="003820E2"/>
    <w:rsid w:val="00384222"/>
    <w:rsid w:val="0039377A"/>
    <w:rsid w:val="00393D91"/>
    <w:rsid w:val="003A3989"/>
    <w:rsid w:val="003B5D6E"/>
    <w:rsid w:val="003B5EC5"/>
    <w:rsid w:val="003C2B68"/>
    <w:rsid w:val="003C5691"/>
    <w:rsid w:val="003E59E8"/>
    <w:rsid w:val="003E615A"/>
    <w:rsid w:val="003F023D"/>
    <w:rsid w:val="003F24CA"/>
    <w:rsid w:val="00415EC1"/>
    <w:rsid w:val="00417FD3"/>
    <w:rsid w:val="00423260"/>
    <w:rsid w:val="004244B1"/>
    <w:rsid w:val="00424AAB"/>
    <w:rsid w:val="0043015F"/>
    <w:rsid w:val="00430D87"/>
    <w:rsid w:val="00442819"/>
    <w:rsid w:val="0044385A"/>
    <w:rsid w:val="00444511"/>
    <w:rsid w:val="004463C9"/>
    <w:rsid w:val="004548E0"/>
    <w:rsid w:val="004559DD"/>
    <w:rsid w:val="00457041"/>
    <w:rsid w:val="004766ED"/>
    <w:rsid w:val="00476D6F"/>
    <w:rsid w:val="00487D48"/>
    <w:rsid w:val="00492A9D"/>
    <w:rsid w:val="0049651E"/>
    <w:rsid w:val="00496528"/>
    <w:rsid w:val="004A06E4"/>
    <w:rsid w:val="004B5367"/>
    <w:rsid w:val="004B7CC8"/>
    <w:rsid w:val="004D577B"/>
    <w:rsid w:val="004D7625"/>
    <w:rsid w:val="004E7374"/>
    <w:rsid w:val="004F1344"/>
    <w:rsid w:val="0050232D"/>
    <w:rsid w:val="00507CA7"/>
    <w:rsid w:val="00511DE7"/>
    <w:rsid w:val="005206F1"/>
    <w:rsid w:val="00521608"/>
    <w:rsid w:val="00522B90"/>
    <w:rsid w:val="00532AAD"/>
    <w:rsid w:val="00540952"/>
    <w:rsid w:val="005468E9"/>
    <w:rsid w:val="0055183B"/>
    <w:rsid w:val="00557AE2"/>
    <w:rsid w:val="00571228"/>
    <w:rsid w:val="00573454"/>
    <w:rsid w:val="00575AC1"/>
    <w:rsid w:val="00577BCF"/>
    <w:rsid w:val="005812F5"/>
    <w:rsid w:val="005828CB"/>
    <w:rsid w:val="00591E82"/>
    <w:rsid w:val="00593C61"/>
    <w:rsid w:val="00594328"/>
    <w:rsid w:val="005A1602"/>
    <w:rsid w:val="005A1D0E"/>
    <w:rsid w:val="005A78A3"/>
    <w:rsid w:val="005B3F47"/>
    <w:rsid w:val="005B5665"/>
    <w:rsid w:val="005C6A4A"/>
    <w:rsid w:val="005D574D"/>
    <w:rsid w:val="005D6504"/>
    <w:rsid w:val="00600F97"/>
    <w:rsid w:val="00614B60"/>
    <w:rsid w:val="00621EEE"/>
    <w:rsid w:val="00646930"/>
    <w:rsid w:val="006739F1"/>
    <w:rsid w:val="00682DD7"/>
    <w:rsid w:val="006A6572"/>
    <w:rsid w:val="006A6A9E"/>
    <w:rsid w:val="006B0A21"/>
    <w:rsid w:val="006C1C54"/>
    <w:rsid w:val="006C298B"/>
    <w:rsid w:val="006C5466"/>
    <w:rsid w:val="006E6AC7"/>
    <w:rsid w:val="007134C7"/>
    <w:rsid w:val="00721B54"/>
    <w:rsid w:val="00721F96"/>
    <w:rsid w:val="00724964"/>
    <w:rsid w:val="00741C8D"/>
    <w:rsid w:val="00765090"/>
    <w:rsid w:val="0077368F"/>
    <w:rsid w:val="00780449"/>
    <w:rsid w:val="00783FA7"/>
    <w:rsid w:val="00785CAE"/>
    <w:rsid w:val="007A0285"/>
    <w:rsid w:val="007A63E1"/>
    <w:rsid w:val="007B1E1F"/>
    <w:rsid w:val="007B21AA"/>
    <w:rsid w:val="007C0018"/>
    <w:rsid w:val="007C7BB5"/>
    <w:rsid w:val="007D6BBF"/>
    <w:rsid w:val="007E0200"/>
    <w:rsid w:val="007E31D6"/>
    <w:rsid w:val="007E76ED"/>
    <w:rsid w:val="007F0E4B"/>
    <w:rsid w:val="0080051A"/>
    <w:rsid w:val="00804558"/>
    <w:rsid w:val="008072BE"/>
    <w:rsid w:val="00816B59"/>
    <w:rsid w:val="00816EC0"/>
    <w:rsid w:val="0083116E"/>
    <w:rsid w:val="00832614"/>
    <w:rsid w:val="00836B84"/>
    <w:rsid w:val="00842DD4"/>
    <w:rsid w:val="008458C7"/>
    <w:rsid w:val="00864C87"/>
    <w:rsid w:val="008817DA"/>
    <w:rsid w:val="0089378C"/>
    <w:rsid w:val="00897E0E"/>
    <w:rsid w:val="008A33F9"/>
    <w:rsid w:val="008A4370"/>
    <w:rsid w:val="008D26B0"/>
    <w:rsid w:val="008D4BF4"/>
    <w:rsid w:val="008D68AE"/>
    <w:rsid w:val="008E1F23"/>
    <w:rsid w:val="008E26E5"/>
    <w:rsid w:val="008F124D"/>
    <w:rsid w:val="008F7050"/>
    <w:rsid w:val="00914210"/>
    <w:rsid w:val="00921A02"/>
    <w:rsid w:val="009221E6"/>
    <w:rsid w:val="00925F20"/>
    <w:rsid w:val="00947E4A"/>
    <w:rsid w:val="00953940"/>
    <w:rsid w:val="00964002"/>
    <w:rsid w:val="00973D8B"/>
    <w:rsid w:val="00974185"/>
    <w:rsid w:val="009772A9"/>
    <w:rsid w:val="00982CE0"/>
    <w:rsid w:val="00994125"/>
    <w:rsid w:val="009B508A"/>
    <w:rsid w:val="009B62D8"/>
    <w:rsid w:val="009C395C"/>
    <w:rsid w:val="009E11B3"/>
    <w:rsid w:val="00A214A7"/>
    <w:rsid w:val="00A259CA"/>
    <w:rsid w:val="00A35B46"/>
    <w:rsid w:val="00A437B8"/>
    <w:rsid w:val="00A53C8C"/>
    <w:rsid w:val="00A621BE"/>
    <w:rsid w:val="00A73B3B"/>
    <w:rsid w:val="00A97262"/>
    <w:rsid w:val="00AC41FC"/>
    <w:rsid w:val="00AD14BF"/>
    <w:rsid w:val="00AE1CD6"/>
    <w:rsid w:val="00AE2CEF"/>
    <w:rsid w:val="00AE615A"/>
    <w:rsid w:val="00AF3E37"/>
    <w:rsid w:val="00AF6346"/>
    <w:rsid w:val="00B15553"/>
    <w:rsid w:val="00B36BD4"/>
    <w:rsid w:val="00B63D5A"/>
    <w:rsid w:val="00B76174"/>
    <w:rsid w:val="00B84C8F"/>
    <w:rsid w:val="00B86926"/>
    <w:rsid w:val="00B9069D"/>
    <w:rsid w:val="00BA1307"/>
    <w:rsid w:val="00BA6553"/>
    <w:rsid w:val="00BB0728"/>
    <w:rsid w:val="00BB6018"/>
    <w:rsid w:val="00BC34A2"/>
    <w:rsid w:val="00BE09E5"/>
    <w:rsid w:val="00BE66C6"/>
    <w:rsid w:val="00BE6E4F"/>
    <w:rsid w:val="00BF397A"/>
    <w:rsid w:val="00C101C5"/>
    <w:rsid w:val="00C24AF7"/>
    <w:rsid w:val="00C24D3C"/>
    <w:rsid w:val="00C25E97"/>
    <w:rsid w:val="00C42409"/>
    <w:rsid w:val="00C42E46"/>
    <w:rsid w:val="00C54616"/>
    <w:rsid w:val="00C8371C"/>
    <w:rsid w:val="00C87F07"/>
    <w:rsid w:val="00CB15D0"/>
    <w:rsid w:val="00CB3DB3"/>
    <w:rsid w:val="00CC0527"/>
    <w:rsid w:val="00CC76AA"/>
    <w:rsid w:val="00CD4BB8"/>
    <w:rsid w:val="00CE14CD"/>
    <w:rsid w:val="00CE1688"/>
    <w:rsid w:val="00CE1798"/>
    <w:rsid w:val="00CE2CC9"/>
    <w:rsid w:val="00CE31E9"/>
    <w:rsid w:val="00CE45FD"/>
    <w:rsid w:val="00CF5B79"/>
    <w:rsid w:val="00D028CA"/>
    <w:rsid w:val="00D07EDA"/>
    <w:rsid w:val="00D12A1F"/>
    <w:rsid w:val="00D14A33"/>
    <w:rsid w:val="00D16FFB"/>
    <w:rsid w:val="00D17D5F"/>
    <w:rsid w:val="00D46D3D"/>
    <w:rsid w:val="00D639E3"/>
    <w:rsid w:val="00D77A1F"/>
    <w:rsid w:val="00D83342"/>
    <w:rsid w:val="00D84A78"/>
    <w:rsid w:val="00D85ABC"/>
    <w:rsid w:val="00D90607"/>
    <w:rsid w:val="00D907F8"/>
    <w:rsid w:val="00D91007"/>
    <w:rsid w:val="00DB2411"/>
    <w:rsid w:val="00DB258D"/>
    <w:rsid w:val="00DC4D8E"/>
    <w:rsid w:val="00DE0491"/>
    <w:rsid w:val="00E03ACF"/>
    <w:rsid w:val="00E0630A"/>
    <w:rsid w:val="00E24C06"/>
    <w:rsid w:val="00E271EA"/>
    <w:rsid w:val="00E3353A"/>
    <w:rsid w:val="00E352BE"/>
    <w:rsid w:val="00E45E6D"/>
    <w:rsid w:val="00E46B5D"/>
    <w:rsid w:val="00E53385"/>
    <w:rsid w:val="00E74B2B"/>
    <w:rsid w:val="00E8294F"/>
    <w:rsid w:val="00E919DB"/>
    <w:rsid w:val="00E96C25"/>
    <w:rsid w:val="00EC2CFC"/>
    <w:rsid w:val="00ED63C3"/>
    <w:rsid w:val="00ED67CB"/>
    <w:rsid w:val="00EF29BE"/>
    <w:rsid w:val="00EF5004"/>
    <w:rsid w:val="00F0253F"/>
    <w:rsid w:val="00F12332"/>
    <w:rsid w:val="00F12A34"/>
    <w:rsid w:val="00F12E17"/>
    <w:rsid w:val="00F133B7"/>
    <w:rsid w:val="00F1684C"/>
    <w:rsid w:val="00F30165"/>
    <w:rsid w:val="00F3053E"/>
    <w:rsid w:val="00F40DE6"/>
    <w:rsid w:val="00F51E1A"/>
    <w:rsid w:val="00F67208"/>
    <w:rsid w:val="00FA2A89"/>
    <w:rsid w:val="00FC3CE4"/>
    <w:rsid w:val="00FC43B1"/>
    <w:rsid w:val="00FC49D0"/>
    <w:rsid w:val="00FC6A1B"/>
    <w:rsid w:val="00FC796B"/>
    <w:rsid w:val="00FD3715"/>
    <w:rsid w:val="00FD6A79"/>
    <w:rsid w:val="00FE0EB2"/>
    <w:rsid w:val="00FE60DC"/>
    <w:rsid w:val="00FF59B0"/>
    <w:rsid w:val="00FF6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11</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275</cp:revision>
  <dcterms:created xsi:type="dcterms:W3CDTF">2019-10-03T06:03:00Z</dcterms:created>
  <dcterms:modified xsi:type="dcterms:W3CDTF">2024-10-08T18:38:00Z</dcterms:modified>
</cp:coreProperties>
</file>