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ПРОЕКТ: ПРОЕКТИРОВАНИЕ ЛОГИЧЕСКОЙ МОДЕЛИ DWH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Павлов Евгений</w:t>
      </w:r>
    </w:p>
    <w:p w:rsidR="00000000" w:rsidDel="00000000" w:rsidP="00000000" w:rsidRDefault="00000000" w:rsidRPr="00000000" w14:paraId="00000003">
      <w:pPr>
        <w:pStyle w:val="Heading3"/>
        <w:jc w:val="both"/>
        <w:rPr/>
      </w:pPr>
      <w:bookmarkStart w:colFirst="0" w:colLast="0" w:name="_txvuqj1t27tr" w:id="0"/>
      <w:bookmarkEnd w:id="0"/>
      <w:r w:rsidDel="00000000" w:rsidR="00000000" w:rsidRPr="00000000">
        <w:rPr>
          <w:rtl w:val="0"/>
        </w:rPr>
        <w:t xml:space="preserve">Бизнес-модель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Рассмотрим процесс импорта товаров.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Бизнес-модель такого процесса выглядит следующим образом: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Мы проверяем, какие артикулы готовы к таможенному оформлению с нашей стороны (готовы сертификаты и тп).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Уточняем у поставщиков, готовы ли они нам отгрузить товар.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Заказываем нужное количество из каждой товарной партии (артикул-поставщик).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Оформляем заказ.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Товары от разных производителей и производств свозятся к консолидационному пункту (КП).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 КП товары набивают в машину, пока она не заполнится.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Формируем факт поставки.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Поставке назначается маршрут и она трогается.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Когда поставка тронулась, с ней уже ничего нельзя сделать, но отслеживается прогресс в пути.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Когда поставка сформирована, она оплачивается в один или несколько траншей. Курс евро-рубль между нами и поставщиками оговорен в договоре и не меняется.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jc w:val="both"/>
        <w:rPr/>
      </w:pPr>
      <w:bookmarkStart w:colFirst="0" w:colLast="0" w:name="_k7h9gfxo9ul" w:id="1"/>
      <w:bookmarkEnd w:id="1"/>
      <w:r w:rsidDel="00000000" w:rsidR="00000000" w:rsidRPr="00000000">
        <w:rPr>
          <w:rtl w:val="0"/>
        </w:rPr>
        <w:t xml:space="preserve">Dimensional modelling.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Так как у нас база данных определяется частично действиями сотрудников (не аналитиков), частично внешними источниками, то проектировать будем по-Инмону.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То есть удобное хранение сущностей согласно бизнес-процессу, а витрины соберем на основе имеющегося. Иначе ради удобства аналитиков мы помешаем самому бизнес-процессу.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Для каждой сущности даже на этом этапе создадим уникальные идентификаторы с припиской _id. Где-то они могут совпадать с бизнес-ключом, где-то нет. Все _id – это интовые значения, даже там где совпадают с бизнес-ключами. Все бизнес-ключи поясню отдельно (также они выделены жирным). Факты – выделены зеленой темой, измерения – синей.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ind w:left="0" w:firstLine="0"/>
        <w:jc w:val="both"/>
        <w:rPr>
          <w:shd w:fill="cfe2f3" w:val="clear"/>
        </w:rPr>
      </w:pPr>
      <w:bookmarkStart w:colFirst="0" w:colLast="0" w:name="_si2un8ms3339" w:id="2"/>
      <w:bookmarkEnd w:id="2"/>
      <w:r w:rsidDel="00000000" w:rsidR="00000000" w:rsidRPr="00000000">
        <w:rPr>
          <w:rtl w:val="0"/>
        </w:rPr>
        <w:t xml:space="preserve">Артикул.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Сущность артикула описывает информацию о конкретных товарах. Бизнес-ключом может быть артикульный номер, так как он уникален и зарегистрирован в гос.органах. Поэтому даже если бы артикул истек (были бы даты периода действия), второй такой же артикульный номер не мог бы быть создан.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Сущность article.</w:t>
      </w:r>
    </w:p>
    <w:tbl>
      <w:tblPr>
        <w:tblStyle w:val="Table1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5970"/>
        <w:gridCol w:w="1890"/>
        <w:tblGridChange w:id="0">
          <w:tblGrid>
            <w:gridCol w:w="1860"/>
            <w:gridCol w:w="5970"/>
            <w:gridCol w:w="1890"/>
          </w:tblGrid>
        </w:tblGridChange>
      </w:tblGrid>
      <w:tr>
        <w:trPr>
          <w:cantSplit w:val="0"/>
          <w:trHeight w:val="318.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Колонка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Бизнес-ключ</w:t>
            </w:r>
          </w:p>
        </w:tc>
      </w:tr>
      <w:tr>
        <w:trPr>
          <w:cantSplit w:val="0"/>
          <w:trHeight w:val="410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article_id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Идентификатор, суррогатный 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Артикульный 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technical_name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Техническое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customs_name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Таможенное описание в оформлении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official_name_ru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Официальное название на этикетке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official_name_en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Официальное название на этикетке по-английски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.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cost_eur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Закупочная стоимость в евро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Закупочная стоимость по факту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Конечная цена при продаже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tax_rate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Налог на продажу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ready_to_supply_flg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Готовность к импорту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Все данные кроме </w:t>
      </w:r>
      <w:r w:rsidDel="00000000" w:rsidR="00000000" w:rsidRPr="00000000">
        <w:rPr>
          <w:rtl w:val="0"/>
        </w:rPr>
        <w:t xml:space="preserve">official_name и ready_to_supply_flg</w:t>
      </w:r>
      <w:r w:rsidDel="00000000" w:rsidR="00000000" w:rsidRPr="00000000">
        <w:rPr>
          <w:rtl w:val="0"/>
        </w:rPr>
        <w:t xml:space="preserve"> нужны для регистрации  артикула в гос. органах и поэтому их нельзя менять. Если что-то нужно изменить, то нужно создавать новый артикул.</w:t>
      </w:r>
    </w:p>
    <w:p w:rsidR="00000000" w:rsidDel="00000000" w:rsidP="00000000" w:rsidRDefault="00000000" w:rsidRPr="00000000" w14:paraId="0000004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Готовность к импорту может меняться туда-сюда, нам важно только значение в данный момент, чтобы на момент поставки было действующее разрешение. Пусть само значение назначается автоматически на основе наличия действующих разрешений. Поэтому храним его по SCD1.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Названия на этикетке менять можно и мы храним прошлые их значения в отдельной таблице по SCD4.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Сущность </w:t>
      </w:r>
      <w:r w:rsidDel="00000000" w:rsidR="00000000" w:rsidRPr="00000000">
        <w:rPr>
          <w:b w:val="1"/>
          <w:rtl w:val="0"/>
        </w:rPr>
        <w:t xml:space="preserve">off_name_ext.</w:t>
      </w:r>
    </w:p>
    <w:p w:rsidR="00000000" w:rsidDel="00000000" w:rsidP="00000000" w:rsidRDefault="00000000" w:rsidRPr="00000000" w14:paraId="0000004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Исторические значения (аудит) официального наименования товара.</w:t>
      </w:r>
      <w:r w:rsidDel="00000000" w:rsidR="00000000" w:rsidRPr="00000000">
        <w:rPr>
          <w:rtl w:val="0"/>
        </w:rPr>
      </w:r>
    </w:p>
    <w:tbl>
      <w:tblPr>
        <w:tblStyle w:val="Table2"/>
        <w:tblW w:w="973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5940"/>
        <w:gridCol w:w="1890"/>
        <w:tblGridChange w:id="0">
          <w:tblGrid>
            <w:gridCol w:w="1905"/>
            <w:gridCol w:w="5940"/>
            <w:gridCol w:w="1890"/>
          </w:tblGrid>
        </w:tblGridChange>
      </w:tblGrid>
      <w:tr>
        <w:trPr>
          <w:cantSplit w:val="0"/>
          <w:trHeight w:val="318.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Колонка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Бизнес-ключ</w:t>
            </w:r>
          </w:p>
        </w:tc>
      </w:tr>
      <w:tr>
        <w:trPr>
          <w:cantSplit w:val="0"/>
          <w:trHeight w:val="410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off_name_ext_id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Идентификатор, суррогатный 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Официальное название на этикетке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name_en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Официальное название на этикетке по-английски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valid_from_dttm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Действовало 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valid_to_dttm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Действовало до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reason_closed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Причина смены названия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.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article_id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Принадлежность к артикулу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D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jc w:val="both"/>
        <w:rPr>
          <w:b w:val="1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533900" cy="32385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rPr/>
      </w:pPr>
      <w:bookmarkStart w:colFirst="0" w:colLast="0" w:name="_wzi22jxtsody" w:id="3"/>
      <w:bookmarkEnd w:id="3"/>
      <w:r w:rsidDel="00000000" w:rsidR="00000000" w:rsidRPr="00000000">
        <w:rPr>
          <w:rtl w:val="0"/>
        </w:rPr>
        <w:t xml:space="preserve">Поставщик.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Сущность supplier.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Товар покупается у поставщика. Для этого контактируем с текущим менеджером по продажам. Заказываем у него какое-то количество какого-то товара. (Пусть все поставщики производят нужные нам товары.)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Поставщик определяется своим уникальным кодовым номером из внешней системы учета поставщиков.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  <w:t xml:space="preserve">Все остальные данные кроме этого кода могут обновляться. Нам интересны только текущие значения. На всякий случай запоминаем прошлого менеджера по продажам.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366838" cy="2633049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6838" cy="2633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5835"/>
        <w:gridCol w:w="1890"/>
        <w:tblGridChange w:id="0">
          <w:tblGrid>
            <w:gridCol w:w="1995"/>
            <w:gridCol w:w="5835"/>
            <w:gridCol w:w="1890"/>
          </w:tblGrid>
        </w:tblGridChange>
      </w:tblGrid>
      <w:tr>
        <w:trPr>
          <w:cantSplit w:val="0"/>
          <w:trHeight w:val="318.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Колонка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Бизнес-ключ</w:t>
            </w:r>
          </w:p>
        </w:tc>
      </w:tr>
      <w:tr>
        <w:trPr>
          <w:cantSplit w:val="0"/>
          <w:trHeight w:val="410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supplier_id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Идентификатор, суррогатный 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Кодовый 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Имя юр.лица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main_address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contract_type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Тип заключенного контракта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ИНН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.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Контактный телефон главного офиса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contact_mngr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ФИО нашего менеджера по продажам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contact_mngr_phone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Телефон нашего менеджера по продажам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contact_mngr_old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ФИО прошлого менеджера по продажам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mngr_change_date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Дата смены менеджера (может быть null)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rPr/>
      </w:pPr>
      <w:bookmarkStart w:colFirst="0" w:colLast="0" w:name="_2n7xitcvn28u" w:id="4"/>
      <w:bookmarkEnd w:id="4"/>
      <w:r w:rsidDel="00000000" w:rsidR="00000000" w:rsidRPr="00000000">
        <w:rPr>
          <w:rtl w:val="0"/>
        </w:rPr>
        <w:t xml:space="preserve">Поставка.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4629150" cy="43529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Поставка характеризуется тремя сущностями: самим фактом поставки, платежами за эту поставку и маршрутом поставки.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Сущность delivery.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Сам факт поставки. Характеризуется своим уникальным порядковым номером. Все значения необновляемые, таблица работает на вставку.</w:t>
      </w:r>
    </w:p>
    <w:tbl>
      <w:tblPr>
        <w:tblStyle w:val="Table4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5835"/>
        <w:gridCol w:w="1890"/>
        <w:tblGridChange w:id="0">
          <w:tblGrid>
            <w:gridCol w:w="1995"/>
            <w:gridCol w:w="5835"/>
            <w:gridCol w:w="1890"/>
          </w:tblGrid>
        </w:tblGridChange>
      </w:tblGrid>
      <w:tr>
        <w:trPr>
          <w:cantSplit w:val="0"/>
          <w:trHeight w:val="318.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Колонка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Бизнес-ключ</w:t>
            </w:r>
          </w:p>
        </w:tc>
      </w:tr>
      <w:tr>
        <w:trPr>
          <w:cantSplit w:val="0"/>
          <w:trHeight w:val="410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delivery_id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start_date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Старт поставки (момент подтверждения заказа)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Разгрузка поставки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Сущность route.</w:t>
      </w:r>
    </w:p>
    <w:p w:rsidR="00000000" w:rsidDel="00000000" w:rsidP="00000000" w:rsidRDefault="00000000" w:rsidRPr="00000000" w14:paraId="000000A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Отвечает за маршрут, по которому поехала поставка. Назначается в момент старта и уже не может быть обновлен. У поставки не может не быть маршрута, как и не может быть маршрута без поставки. Связь 1-к-1.</w:t>
      </w:r>
    </w:p>
    <w:p w:rsidR="00000000" w:rsidDel="00000000" w:rsidP="00000000" w:rsidRDefault="00000000" w:rsidRPr="00000000" w14:paraId="000000A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В маршруте есть обновляющееся поле оставшегося километража.</w:t>
      </w:r>
    </w:p>
    <w:tbl>
      <w:tblPr>
        <w:tblStyle w:val="Table5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5835"/>
        <w:gridCol w:w="1890"/>
        <w:tblGridChange w:id="0">
          <w:tblGrid>
            <w:gridCol w:w="1995"/>
            <w:gridCol w:w="5835"/>
            <w:gridCol w:w="1890"/>
          </w:tblGrid>
        </w:tblGridChange>
      </w:tblGrid>
      <w:tr>
        <w:trPr>
          <w:cantSplit w:val="0"/>
          <w:trHeight w:val="318.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Колонка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Бизнес-ключ</w:t>
            </w:r>
          </w:p>
        </w:tc>
      </w:tr>
      <w:tr>
        <w:trPr>
          <w:cantSplit w:val="0"/>
          <w:trHeight w:val="410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route_id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Идентификатор, суррогатный 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start_date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Старт поставки (отправление машины)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Номер ТС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delivery_id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на поставку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distance_total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Километраж поставки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distance_left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Оставшийся километраж поставки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route_type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Тип маршрута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Сущность payment.</w:t>
      </w:r>
    </w:p>
    <w:p w:rsidR="00000000" w:rsidDel="00000000" w:rsidP="00000000" w:rsidRDefault="00000000" w:rsidRPr="00000000" w14:paraId="000000B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Все транзакции платежей за данную поставку. Имеют собственный уникальный идентификатор, он же номер счета. Относятся к конкретной поставке. Осуществляются независимо от поставки, поэтому в какой-то момент может существовать поставка без платежей.</w:t>
      </w:r>
    </w:p>
    <w:tbl>
      <w:tblPr>
        <w:tblStyle w:val="Table6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5835"/>
        <w:gridCol w:w="1890"/>
        <w:tblGridChange w:id="0">
          <w:tblGrid>
            <w:gridCol w:w="1995"/>
            <w:gridCol w:w="5835"/>
            <w:gridCol w:w="1890"/>
          </w:tblGrid>
        </w:tblGridChange>
      </w:tblGrid>
      <w:tr>
        <w:trPr>
          <w:cantSplit w:val="0"/>
          <w:trHeight w:val="318.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Колонка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Бизнес-ключ</w:t>
            </w:r>
          </w:p>
        </w:tc>
      </w:tr>
      <w:tr>
        <w:trPr>
          <w:cantSplit w:val="0"/>
          <w:trHeight w:val="410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payment_id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Сумма платежа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delivery_id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Поставка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payment_dttm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Время платежа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is_full_flg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Единоразовый (полный) платеж за поставку.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pStyle w:val="Heading4"/>
        <w:jc w:val="both"/>
        <w:rPr/>
      </w:pPr>
      <w:bookmarkStart w:colFirst="0" w:colLast="0" w:name="_egq80n5d8rse" w:id="5"/>
      <w:bookmarkEnd w:id="5"/>
      <w:r w:rsidDel="00000000" w:rsidR="00000000" w:rsidRPr="00000000">
        <w:rPr>
          <w:rtl w:val="0"/>
        </w:rPr>
        <w:t xml:space="preserve">Товарная партия (ТП).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Товарная партия определяет, сколько какого товара и откуда едет в поставке.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Так как наш заказ ТП может быть больше одной поставки, то каждая “товарная партия” поставщика дробится на наши собственные “товарные партии”, которые определяются товаром, производителем И поставкой.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При этом если заказанная ТП меньше объема машины, то можно положить больше 1 ТП в поставку.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Для ТП обязательны заданы все поля.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Сущность supply.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780.0" w:type="dxa"/>
        <w:jc w:val="left"/>
        <w:tblInd w:w="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5835"/>
        <w:gridCol w:w="1890"/>
        <w:tblGridChange w:id="0">
          <w:tblGrid>
            <w:gridCol w:w="2055"/>
            <w:gridCol w:w="5835"/>
            <w:gridCol w:w="1890"/>
          </w:tblGrid>
        </w:tblGridChange>
      </w:tblGrid>
      <w:tr>
        <w:trPr>
          <w:cantSplit w:val="0"/>
          <w:trHeight w:val="318.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Колонка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Бизнес-ключ</w:t>
            </w:r>
          </w:p>
        </w:tc>
      </w:tr>
      <w:tr>
        <w:trPr>
          <w:cantSplit w:val="0"/>
          <w:trHeight w:val="410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supply_id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Идентификатор, суррогатный 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article_id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Артикул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supplier_id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Поставщик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delivery_id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Поставка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Количество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pStyle w:val="Heading4"/>
        <w:rPr/>
      </w:pPr>
      <w:bookmarkStart w:colFirst="0" w:colLast="0" w:name="_nof42bbzm00v" w:id="6"/>
      <w:bookmarkEnd w:id="6"/>
      <w:r w:rsidDel="00000000" w:rsidR="00000000" w:rsidRPr="00000000">
        <w:rPr>
          <w:rtl w:val="0"/>
        </w:rPr>
        <w:t xml:space="preserve">Аналитика.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Для аналитики нам могут быть интересны следующие витрины.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Контроль платежей по поставкам.</w:t>
        <w:br w:type="textWrapping"/>
      </w:r>
      <w:r w:rsidDel="00000000" w:rsidR="00000000" w:rsidRPr="00000000">
        <w:rPr/>
        <w:drawing>
          <wp:inline distB="114300" distT="114300" distL="114300" distR="114300">
            <wp:extent cx="1695450" cy="1438275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Расчет выручки по поставкам.</w:t>
        <w:br w:type="textWrapping"/>
      </w:r>
      <w:r w:rsidDel="00000000" w:rsidR="00000000" w:rsidRPr="00000000">
        <w:rPr/>
        <w:drawing>
          <wp:inline distB="114300" distT="114300" distL="114300" distR="114300">
            <wp:extent cx="1666875" cy="1685925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Статистика по закупкам.</w:t>
        <w:br w:type="textWrapping"/>
      </w:r>
      <w:r w:rsidDel="00000000" w:rsidR="00000000" w:rsidRPr="00000000">
        <w:rPr/>
        <w:drawing>
          <wp:inline distB="114300" distT="114300" distL="114300" distR="114300">
            <wp:extent cx="1647825" cy="13811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Статистика по выплаченным налогам.</w:t>
        <w:br w:type="textWrapping"/>
      </w:r>
      <w:r w:rsidDel="00000000" w:rsidR="00000000" w:rsidRPr="00000000">
        <w:rPr/>
        <w:drawing>
          <wp:inline distB="114300" distT="114300" distL="114300" distR="114300">
            <wp:extent cx="1752600" cy="9906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Полная информация по поставкам.</w:t>
        <w:br w:type="textWrapping"/>
      </w:r>
      <w:r w:rsidDel="00000000" w:rsidR="00000000" w:rsidRPr="00000000">
        <w:rPr/>
        <w:drawing>
          <wp:inline distB="114300" distT="114300" distL="114300" distR="114300">
            <wp:extent cx="1676400" cy="356235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* official_name на момент поставки.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jc w:val="both"/>
        <w:rPr/>
      </w:pPr>
      <w:bookmarkStart w:colFirst="0" w:colLast="0" w:name="_y3xsf07a9kq" w:id="7"/>
      <w:bookmarkEnd w:id="7"/>
      <w:r w:rsidDel="00000000" w:rsidR="00000000" w:rsidRPr="00000000">
        <w:rPr>
          <w:rtl w:val="0"/>
        </w:rPr>
        <w:t xml:space="preserve">Data vault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Для начала создадим базовые сущности: поставка, платеж, товарная партия, артикул, поставщик. Сразу с техническими полями load_dttm, source_id.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192405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Также как было в предыдущей схеме, все РК – это суррогатные интовые инкрементные ключи. Для delivery и payment они же служат бизнес-ключами.</w:t>
      </w:r>
    </w:p>
    <w:p w:rsidR="00000000" w:rsidDel="00000000" w:rsidP="00000000" w:rsidRDefault="00000000" w:rsidRPr="00000000" w14:paraId="000000F5">
      <w:pPr>
        <w:pStyle w:val="Heading4"/>
        <w:rPr/>
      </w:pPr>
      <w:bookmarkStart w:colFirst="0" w:colLast="0" w:name="_hzuarjai8oxf" w:id="8"/>
      <w:bookmarkEnd w:id="8"/>
      <w:r w:rsidDel="00000000" w:rsidR="00000000" w:rsidRPr="00000000">
        <w:rPr>
          <w:rtl w:val="0"/>
        </w:rPr>
        <w:t xml:space="preserve">Артикул.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В Хаб добавляем бизнес-ключ number.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Неизменяемую информацию выносим в сателлит s_article_main. Она может быть добавлена только один раз, поэтому связь 1-к-1.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Историю изменений атрибута official_name выносим в сателлит s_article_of_name с историей по SCD2.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Текущее значение готовности к импорту выносим в отдельный сателлит s_article_readiness с историей по SCD1. Поэтому 1-к-1.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38671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4"/>
        <w:rPr/>
      </w:pPr>
      <w:bookmarkStart w:colFirst="0" w:colLast="0" w:name="_ej18uu35mcx" w:id="9"/>
      <w:bookmarkEnd w:id="9"/>
      <w:r w:rsidDel="00000000" w:rsidR="00000000" w:rsidRPr="00000000">
        <w:rPr>
          <w:rtl w:val="0"/>
        </w:rPr>
        <w:t xml:space="preserve">Поставщик.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В хаб добавляем бизнес-ключ code.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Редко обновляемую основную информацию о юр.лице выносим в сателлит s_supplier_main с историей по SCD1. 1-к-1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Периодически обновляемую информацию о менеджере выносит в сателлит s_supplier_mngr с историей по SCD3. 1-к-1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/>
        <w:drawing>
          <wp:inline distB="114300" distT="114300" distL="114300" distR="114300">
            <wp:extent cx="3505200" cy="43624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4"/>
        <w:rPr/>
      </w:pPr>
      <w:bookmarkStart w:colFirst="0" w:colLast="0" w:name="_3m0sonqhyv1c" w:id="10"/>
      <w:bookmarkEnd w:id="10"/>
      <w:r w:rsidDel="00000000" w:rsidR="00000000" w:rsidRPr="00000000">
        <w:rPr>
          <w:rtl w:val="0"/>
        </w:rPr>
        <w:t xml:space="preserve">Поставка.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Бизнес-ключ в хаб не вносим, так как назначенный номер поставки и есть бизнес-ключ.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Все неизменяемые значения по поставке выносим в сателлит s_delivery_main. 1-к-1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Обновляемое поле оставшегося для машины в маршруте километража выносим в сателлит s_delivery_km_left и историей по SCD1. 1-к-1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3476625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4"/>
        <w:rPr/>
      </w:pPr>
      <w:bookmarkStart w:colFirst="0" w:colLast="0" w:name="_so5qhvxcnme9" w:id="11"/>
      <w:bookmarkEnd w:id="11"/>
      <w:r w:rsidDel="00000000" w:rsidR="00000000" w:rsidRPr="00000000">
        <w:rPr>
          <w:rtl w:val="0"/>
        </w:rPr>
        <w:t xml:space="preserve">Платеж.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Бизнес-ключ в хаб не вносим, так как назначенный номер платежа и есть бизнес-ключ.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Все неизменяемые значения по поставке выносим в сателлит </w:t>
      </w:r>
      <w:r w:rsidDel="00000000" w:rsidR="00000000" w:rsidRPr="00000000">
        <w:rPr>
          <w:sz w:val="21"/>
          <w:szCs w:val="21"/>
          <w:shd w:fill="f8f9fa" w:val="clear"/>
          <w:rtl w:val="0"/>
        </w:rPr>
        <w:t xml:space="preserve">s_payment_main</w:t>
      </w:r>
      <w:r w:rsidDel="00000000" w:rsidR="00000000" w:rsidRPr="00000000">
        <w:rPr>
          <w:rtl w:val="0"/>
        </w:rPr>
        <w:t xml:space="preserve">. 1-к-1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/>
        <w:drawing>
          <wp:inline distB="114300" distT="114300" distL="114300" distR="114300">
            <wp:extent cx="3314700" cy="143827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4"/>
        <w:rPr/>
      </w:pPr>
      <w:bookmarkStart w:colFirst="0" w:colLast="0" w:name="_rcekcfongg7k" w:id="12"/>
      <w:bookmarkEnd w:id="12"/>
      <w:r w:rsidDel="00000000" w:rsidR="00000000" w:rsidRPr="00000000">
        <w:rPr>
          <w:rtl w:val="0"/>
        </w:rPr>
        <w:t xml:space="preserve">Товарная партия.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Товарная партия по сути является связью link между тремя другими сущностями. Но так как у нее есть атрибут amount выносим ее в качестве хаба. (Так как лучше не делать транзакционные линки). Бизнес-ключа у такой сущности нет.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Атрибут вынесен в сателлит s_supply_main. 1-к-1.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/>
        <w:drawing>
          <wp:inline distB="114300" distT="114300" distL="114300" distR="114300">
            <wp:extent cx="1138238" cy="2309309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8238" cy="2309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4"/>
        <w:rPr/>
      </w:pPr>
      <w:bookmarkStart w:colFirst="0" w:colLast="0" w:name="_z82ihn1emysy" w:id="13"/>
      <w:bookmarkEnd w:id="13"/>
      <w:r w:rsidDel="00000000" w:rsidR="00000000" w:rsidRPr="00000000">
        <w:rPr>
          <w:rtl w:val="0"/>
        </w:rPr>
        <w:t xml:space="preserve">Связи (link).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Поставка и товарная партия.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58547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2. Платежи и поставки.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rPr/>
      </w:pPr>
      <w:bookmarkStart w:colFirst="0" w:colLast="0" w:name="_idvea47x94i8" w:id="14"/>
      <w:bookmarkEnd w:id="14"/>
      <w:r w:rsidDel="00000000" w:rsidR="00000000" w:rsidRPr="00000000">
        <w:rPr>
          <w:rtl w:val="0"/>
        </w:rPr>
        <w:t xml:space="preserve">Anchor modeling.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Выносим официальное имя артикула и менеджера поставщика в отдельные сущности. Бизнес-ключи выделяем в отдельные атрибуты.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Сателлиты дробим на разные атрибуты.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17.png"/><Relationship Id="rId22" Type="http://schemas.openxmlformats.org/officeDocument/2006/relationships/image" Target="media/image9.png"/><Relationship Id="rId10" Type="http://schemas.openxmlformats.org/officeDocument/2006/relationships/image" Target="media/image4.png"/><Relationship Id="rId21" Type="http://schemas.openxmlformats.org/officeDocument/2006/relationships/image" Target="media/image12.png"/><Relationship Id="rId13" Type="http://schemas.openxmlformats.org/officeDocument/2006/relationships/image" Target="media/image1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4.png"/><Relationship Id="rId18" Type="http://schemas.openxmlformats.org/officeDocument/2006/relationships/image" Target="media/image13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