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Definition and Outcomes Document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Title:</w:t>
      </w:r>
      <w:r w:rsidDel="00000000" w:rsidR="00000000" w:rsidRPr="00000000">
        <w:rPr>
          <w:rtl w:val="0"/>
        </w:rPr>
        <w:t xml:space="preserve"> Greenbelt Racial Equity Gap and Disparities Data Analysis Phase 2</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Team Members: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Fariha Prapti</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Khoa Do</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Ruchir</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Elise Ferguson</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Emmanuel Ephraim</w:t>
      </w:r>
    </w:p>
    <w:p w:rsidR="00000000" w:rsidDel="00000000" w:rsidP="00000000" w:rsidRDefault="00000000" w:rsidRPr="00000000" w14:paraId="00000009">
      <w:pPr>
        <w:spacing w:after="240" w:before="240" w:lineRule="auto"/>
        <w:rPr/>
      </w:pPr>
      <w:r w:rsidDel="00000000" w:rsidR="00000000" w:rsidRPr="00000000">
        <w:rPr>
          <w:b w:val="1"/>
          <w:rtl w:val="0"/>
        </w:rPr>
        <w:t xml:space="preserve">Project Overview:</w:t>
      </w:r>
      <w:r w:rsidDel="00000000" w:rsidR="00000000" w:rsidRPr="00000000">
        <w:rPr>
          <w:rtl w:val="0"/>
        </w:rPr>
        <w:t xml:space="preserve"> As part of the Information Science capstone at the University of Maryland, our team is collaborating with the Greenbelt Reparations Commission (RC) to analyze demographic shifts and racial disparities in Greenbelt. Using census and education data, we will map historical and current trends to support the Commission’s work on reparations for African American and Native American communities.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Project Objectives: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Data Collection &amp; Analysis:</w:t>
      </w:r>
      <w:r w:rsidDel="00000000" w:rsidR="00000000" w:rsidRPr="00000000">
        <w:rPr>
          <w:rtl w:val="0"/>
        </w:rPr>
        <w:t xml:space="preserve"> Assess racial disparities using census and education data spanning four decades.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GIS-Based Mapping:</w:t>
      </w:r>
      <w:r w:rsidDel="00000000" w:rsidR="00000000" w:rsidRPr="00000000">
        <w:rPr>
          <w:rtl w:val="0"/>
        </w:rPr>
        <w:t xml:space="preserve"> Develop visualizations of demographic shifts by census tract and block.</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Historical Demographic Analysis:</w:t>
      </w:r>
      <w:r w:rsidDel="00000000" w:rsidR="00000000" w:rsidRPr="00000000">
        <w:rPr>
          <w:rtl w:val="0"/>
        </w:rPr>
        <w:t xml:space="preserve"> If feasible, incorporate demographic data from 1937 onward.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Alternative Visualizations:</w:t>
      </w:r>
      <w:r w:rsidDel="00000000" w:rsidR="00000000" w:rsidRPr="00000000">
        <w:rPr>
          <w:rtl w:val="0"/>
        </w:rPr>
        <w:t xml:space="preserve"> Explore accessible data visualization methods beyond GIS.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Stakeholder Collaboration:</w:t>
      </w:r>
      <w:r w:rsidDel="00000000" w:rsidR="00000000" w:rsidRPr="00000000">
        <w:rPr>
          <w:rtl w:val="0"/>
        </w:rPr>
        <w:t xml:space="preserve"> Work closely with the Greenbelt Historical Explorations Subcommittee (GHES) to align with Commission goals.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Project Deliverables: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Expected Outcomes: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Timeline:</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Stakeholder Engagement:</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Primary Contact:</w:t>
      </w:r>
      <w:r w:rsidDel="00000000" w:rsidR="00000000" w:rsidRPr="00000000">
        <w:rPr>
          <w:rtl w:val="0"/>
        </w:rPr>
        <w:t xml:space="preserve"> Bob Rand (GHES)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Secondary Contact:</w:t>
      </w:r>
      <w:r w:rsidDel="00000000" w:rsidR="00000000" w:rsidRPr="00000000">
        <w:rPr>
          <w:rtl w:val="0"/>
        </w:rPr>
        <w:t xml:space="preserve"> Rhema Bjorkland (GIS guidance)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Client Resources:</w:t>
      </w:r>
      <w:r w:rsidDel="00000000" w:rsidR="00000000" w:rsidRPr="00000000">
        <w:rPr>
          <w:rtl w:val="0"/>
        </w:rPr>
        <w:t xml:space="preserve"> GHES will provide research data, census sources, and project support.</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