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7ECEB" w14:textId="77777777" w:rsidR="00506006" w:rsidRDefault="00506006">
      <w:pPr>
        <w:rPr>
          <w:rFonts w:eastAsia="Times New Roman"/>
          <w:kern w:val="0"/>
          <w14:ligatures w14:val="none"/>
        </w:rPr>
      </w:pPr>
      <w:r>
        <w:rPr>
          <w:rFonts w:eastAsia="Times New Roman"/>
          <w:b/>
          <w:bCs/>
        </w:rPr>
        <w:t>The Algorithmic Geography of Retail: Mixed Strategy Equilibria, Capacity Constraints, and Internal Agency in Multi-Node Chains</w:t>
      </w:r>
    </w:p>
    <w:p w14:paraId="1708DA66" w14:textId="77777777" w:rsidR="00506006" w:rsidRDefault="00506006">
      <w:pPr>
        <w:rPr>
          <w:rFonts w:eastAsia="Times New Roman"/>
        </w:rPr>
      </w:pPr>
      <w:r>
        <w:rPr>
          <w:rFonts w:eastAsia="Times New Roman"/>
          <w:b/>
          <w:bCs/>
        </w:rPr>
        <w:t>Abstract</w:t>
      </w:r>
      <w:r>
        <w:rPr>
          <w:rFonts w:eastAsia="Times New Roman"/>
        </w:rPr>
        <w:br/>
        <w:t>This paper extends the Hotelling-Downs spatial competition framework into a discretized, multi-dimensional environment characterized by stochastic supply constraints and endogenous capacity. We demonstrate that in a large-scale retail game, the Mixed Strategy Nash Equilibrium (MSNE) is PPAD-complete, reflecting the computational intractability of optimal positioning in real-world markets. We introduce a "Prominence Ratio" to model market share capture under capacity constraints and endogenize a global budget limit tied to potential total profit. Central to our stability analysis is the evaluation of "Sweep Strategies" and predatory pricing; we demonstrate that the MSNE is sustained in infinitely repeated games only when the threat of retaliatory price wars outweighs the short-term gains of market capture. Furthermore, we apply mechanism design theory to the internal hierarchy of the firm, conceptualizing the retail chain as an internal cartel. We find that the stability of the spatial equilibrium is contingent upon the firm’s ability to satisfy incentive compatibility and participation constraints among local agents, explaining the divergent spatial densities observed between franchised and corporate organizational structures.</w:t>
      </w:r>
    </w:p>
    <w:p w14:paraId="49AF4B87" w14:textId="77777777" w:rsidR="00506006" w:rsidRDefault="00506006">
      <w:pPr>
        <w:rPr>
          <w:rFonts w:eastAsia="Times New Roman"/>
        </w:rPr>
      </w:pPr>
      <w:r>
        <w:rPr>
          <w:rFonts w:eastAsia="Times New Roman"/>
          <w:noProof/>
        </w:rPr>
        <mc:AlternateContent>
          <mc:Choice Requires="wps">
            <w:drawing>
              <wp:inline distT="0" distB="0" distL="0" distR="0" wp14:anchorId="7E7F665C" wp14:editId="7886CC75">
                <wp:extent cx="5943600" cy="4445"/>
                <wp:effectExtent l="0" t="31750" r="0" b="36830"/>
                <wp:docPr id="1808777850"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B70F4B" id="Rectangle 7"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64F15707" w14:textId="77777777" w:rsidR="00506006" w:rsidRDefault="00506006">
      <w:pPr>
        <w:pStyle w:val="Heading2"/>
        <w:rPr>
          <w:rFonts w:eastAsia="Times New Roman"/>
          <w:sz w:val="30"/>
          <w:szCs w:val="30"/>
        </w:rPr>
      </w:pPr>
      <w:r>
        <w:rPr>
          <w:rFonts w:eastAsia="Times New Roman"/>
          <w:sz w:val="30"/>
          <w:szCs w:val="30"/>
        </w:rPr>
        <w:t>I. Introduction</w:t>
      </w:r>
    </w:p>
    <w:p w14:paraId="19A49158" w14:textId="77777777" w:rsidR="00506006" w:rsidRDefault="00506006">
      <w:pPr>
        <w:rPr>
          <w:rFonts w:eastAsia="Times New Roman"/>
        </w:rPr>
      </w:pPr>
      <w:r>
        <w:rPr>
          <w:rFonts w:eastAsia="Times New Roman"/>
        </w:rPr>
        <w:t>The classical "Principle of Minimum Differentiation" (Hotelling, 1929) posits that firms in a linear market will cluster at the center to maximize capture area. However, this deterministic view fails to account for price-war volatility and the physical limits of store capacity. In contemporary retail landscapes, firms do not merely choose a coordinate; they allocate a "probability mass" of investment—encompassing floor space, inventory depth, and brand salience—across a network of nodes.</w:t>
      </w:r>
    </w:p>
    <w:p w14:paraId="5968A2BA" w14:textId="77777777" w:rsidR="00506006" w:rsidRDefault="00506006">
      <w:pPr>
        <w:rPr>
          <w:rFonts w:eastAsia="Times New Roman"/>
        </w:rPr>
      </w:pPr>
      <w:r>
        <w:rPr>
          <w:rFonts w:eastAsia="Times New Roman"/>
        </w:rPr>
        <w:t>This paper develops a model where firm strategies are represented as probability distributions over a discretized Hotelling line. By integrating supply constraints and internal agency costs, we bridge the gap between spatial game theory and management science, providing a formal basis for the "over-saturation" and "cannibalization" strategies observed in global retail chains.</w:t>
      </w:r>
    </w:p>
    <w:p w14:paraId="1E379788" w14:textId="77777777" w:rsidR="00506006" w:rsidRDefault="00506006">
      <w:pPr>
        <w:rPr>
          <w:rFonts w:eastAsia="Times New Roman"/>
        </w:rPr>
      </w:pPr>
      <w:r>
        <w:rPr>
          <w:rFonts w:eastAsia="Times New Roman"/>
          <w:noProof/>
        </w:rPr>
        <mc:AlternateContent>
          <mc:Choice Requires="wps">
            <w:drawing>
              <wp:inline distT="0" distB="0" distL="0" distR="0" wp14:anchorId="665E9A10" wp14:editId="564957DD">
                <wp:extent cx="5943600" cy="4445"/>
                <wp:effectExtent l="0" t="31750" r="0" b="36830"/>
                <wp:docPr id="120791907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A05340F" id="Rectangle 6"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55BD0DB4" w14:textId="77777777" w:rsidR="00506006" w:rsidRDefault="00506006">
      <w:pPr>
        <w:pStyle w:val="Heading2"/>
        <w:rPr>
          <w:rFonts w:eastAsia="Times New Roman"/>
          <w:sz w:val="30"/>
          <w:szCs w:val="30"/>
        </w:rPr>
      </w:pPr>
      <w:r>
        <w:rPr>
          <w:rFonts w:eastAsia="Times New Roman"/>
          <w:sz w:val="30"/>
          <w:szCs w:val="30"/>
        </w:rPr>
        <w:lastRenderedPageBreak/>
        <w:t>II. The Structural Model</w:t>
      </w:r>
    </w:p>
    <w:p w14:paraId="50C38F4D" w14:textId="77777777" w:rsidR="00506006" w:rsidRDefault="00506006">
      <w:pPr>
        <w:pStyle w:val="Heading2"/>
        <w:rPr>
          <w:rFonts w:eastAsia="Times New Roman"/>
          <w:sz w:val="24"/>
          <w:szCs w:val="24"/>
        </w:rPr>
      </w:pPr>
      <w:r>
        <w:rPr>
          <w:rFonts w:eastAsia="Times New Roman"/>
          <w:sz w:val="24"/>
          <w:szCs w:val="24"/>
        </w:rPr>
        <w:t>2.1. Spatial Discretization and Strategy Space</w:t>
      </w:r>
    </w:p>
    <w:p w14:paraId="795D5FCD" w14:textId="77777777" w:rsidR="00506006" w:rsidRDefault="00506006">
      <w:pPr>
        <w:rPr>
          <w:rFonts w:eastAsia="Times New Roman"/>
        </w:rPr>
      </w:pPr>
      <w:r>
        <w:rPr>
          <w:rFonts w:eastAsia="Times New Roman"/>
        </w:rPr>
        <w:t>Consider a linear market $L$ discretized into a set of nodes $X = \{x_1, x_2, \dots, x_n\}$. Each firm $i \in \{1, \dots, N\}$ possesses a total budget $B_i$. The strategy of firm $i$ is a mixed strategy $\sigma_i$, where $Pr_i(x)$ denotes the probability mass assigned to node $x$. This probability acts as a capacity constraint: a store’s ability to serve the market is bounded by its "Prominence" relative to the aggregate investment at that node.</w:t>
      </w:r>
    </w:p>
    <w:p w14:paraId="0E312BB8" w14:textId="77777777" w:rsidR="00506006" w:rsidRDefault="00506006">
      <w:pPr>
        <w:pStyle w:val="Heading2"/>
        <w:rPr>
          <w:rFonts w:eastAsia="Times New Roman"/>
          <w:sz w:val="24"/>
          <w:szCs w:val="24"/>
        </w:rPr>
      </w:pPr>
      <w:r>
        <w:rPr>
          <w:rFonts w:eastAsia="Times New Roman"/>
          <w:sz w:val="24"/>
          <w:szCs w:val="24"/>
        </w:rPr>
        <w:t>2.2. The Sequential Demand Function</w:t>
      </w:r>
    </w:p>
    <w:p w14:paraId="0F66E912" w14:textId="77777777" w:rsidR="00506006" w:rsidRDefault="00506006">
      <w:pPr>
        <w:rPr>
          <w:rFonts w:eastAsia="Times New Roman"/>
        </w:rPr>
      </w:pPr>
      <w:r>
        <w:rPr>
          <w:rFonts w:eastAsia="Times New Roman"/>
        </w:rPr>
        <w:t>The demand function departs from the standard "nearest-neighbor" rule to account for supply-side failures. Consumers are distributed along the line with density $f(x)$. A consumer at location $z$ initially seeks the store $x$ that minimizes the total cost $TC = P_x + t|z - x|$. However, if the supply at $x$ is exhausted—governed by the stochastic realization of the mixed strategies—the consumer moves to the second-best alternative, incurring incremental transport costs. This "overflow" demand creates a recursive coupling between nodes: the realized demand at $x_j$ is the sum of primary residents and "spilled" consumers rejected by $x_{j-1}$.</w:t>
      </w:r>
    </w:p>
    <w:p w14:paraId="7A0805FE" w14:textId="77777777" w:rsidR="00506006" w:rsidRDefault="00506006">
      <w:pPr>
        <w:pStyle w:val="Heading2"/>
        <w:rPr>
          <w:rFonts w:eastAsia="Times New Roman"/>
          <w:sz w:val="24"/>
          <w:szCs w:val="24"/>
        </w:rPr>
      </w:pPr>
      <w:r>
        <w:rPr>
          <w:rFonts w:eastAsia="Times New Roman"/>
          <w:sz w:val="24"/>
          <w:szCs w:val="24"/>
        </w:rPr>
        <w:t>2.3. The Prominence-Based Payoff Function</w:t>
      </w:r>
    </w:p>
    <w:p w14:paraId="20DAD2CB" w14:textId="77777777" w:rsidR="00506006" w:rsidRDefault="00506006">
      <w:pPr>
        <w:rPr>
          <w:rFonts w:eastAsia="Times New Roman"/>
        </w:rPr>
      </w:pPr>
      <w:r>
        <w:rPr>
          <w:rFonts w:eastAsia="Times New Roman"/>
        </w:rPr>
        <w:t>The expected profit for Firm $i$ is the summation of margins across all nodes $x$, adjusted for relative market share capture:</w:t>
      </w:r>
      <w:r>
        <w:rPr>
          <w:rFonts w:eastAsia="Times New Roman"/>
        </w:rPr>
        <w:br/>
        <w:t xml:space="preserve">$$\Pi_i = \sum_{x \in X} \left[ \left( \frac{Pr_i(x)}{\sum_{j=1}^N Pr_j(x)} \right) \cdot D_{total}(x) \cdot (P_i(x) - MC_i(Pr_i)) \right] - C_{fixed}$$ </w:t>
      </w:r>
    </w:p>
    <w:p w14:paraId="05D5706B" w14:textId="77777777" w:rsidR="00506006" w:rsidRDefault="00506006">
      <w:pPr>
        <w:pStyle w:val="Heading2"/>
        <w:rPr>
          <w:rFonts w:eastAsia="Times New Roman"/>
          <w:sz w:val="24"/>
          <w:szCs w:val="24"/>
        </w:rPr>
      </w:pPr>
      <w:r>
        <w:rPr>
          <w:rFonts w:eastAsia="Times New Roman"/>
          <w:sz w:val="24"/>
          <w:szCs w:val="24"/>
        </w:rPr>
        <w:t>2.4. Computational Complexity and Equilibrium Existence</w:t>
      </w:r>
    </w:p>
    <w:p w14:paraId="684674F6" w14:textId="77777777" w:rsidR="00506006" w:rsidRDefault="00506006">
      <w:pPr>
        <w:rPr>
          <w:rFonts w:eastAsia="Times New Roman"/>
        </w:rPr>
      </w:pPr>
      <w:r>
        <w:rPr>
          <w:rFonts w:eastAsia="Times New Roman"/>
        </w:rPr>
        <w:t>Solving the system of equations to find the MSNE requires identifying a strategy profile $\sigma^*$ where every firm’s distribution of $Pr_i(x)$ is a best response to the distributions of all rivals. According to Nash’s Theorem (1950), since the strategy space is compact and convex and the payoff function is continuous, there exists at least one MSNE for this discretized game.</w:t>
      </w:r>
    </w:p>
    <w:p w14:paraId="7201F521" w14:textId="77777777" w:rsidR="00506006" w:rsidRDefault="00506006">
      <w:pPr>
        <w:rPr>
          <w:rFonts w:eastAsia="Times New Roman"/>
        </w:rPr>
      </w:pPr>
      <w:r>
        <w:rPr>
          <w:rFonts w:eastAsia="Times New Roman"/>
        </w:rPr>
        <w:t xml:space="preserve">However, existence does not imply efficient computability. As established in the literature on algorithmic game theory (Daskalakis et al., 2006), finding a Mixed Strategy Nash Equilibrium in general games is </w:t>
      </w:r>
      <w:r>
        <w:rPr>
          <w:rFonts w:eastAsia="Times New Roman"/>
          <w:b/>
          <w:bCs/>
        </w:rPr>
        <w:t>PPAD-complete</w:t>
      </w:r>
      <w:r>
        <w:rPr>
          <w:rFonts w:eastAsia="Times New Roman"/>
        </w:rPr>
        <w:t xml:space="preserve"> (Polynomial Parity Arguments on Directed graphs). This implies that even for standard discrete games, no polynomial-time algorithm is known to exist. In the context of the present model, the introduction of the </w:t>
      </w:r>
      <w:r>
        <w:rPr>
          <w:rFonts w:eastAsia="Times New Roman"/>
          <w:b/>
          <w:bCs/>
        </w:rPr>
        <w:t>Prominence Ratio</w:t>
      </w:r>
      <w:r>
        <w:rPr>
          <w:rFonts w:eastAsia="Times New Roman"/>
        </w:rPr>
        <w:t xml:space="preserve">—which couples every agent's decision variable within a non-linear denominator—likely increases the practical difficulty of finding the equilibrium point. The intense strategic </w:t>
      </w:r>
      <w:r>
        <w:rPr>
          <w:rFonts w:eastAsia="Times New Roman"/>
        </w:rPr>
        <w:lastRenderedPageBreak/>
        <w:t>coupling and the sensitivity of the prominence denominator suggest that this retail game represents an especially hard instance of a PPAD-complete problem. This explains the "spatial chaos" of real-world retail; firms settle for boundedly rational heuristics because the perfect Nash state is computationally inaccessible.</w:t>
      </w:r>
    </w:p>
    <w:p w14:paraId="5025E52E" w14:textId="77777777" w:rsidR="00506006" w:rsidRDefault="00506006">
      <w:pPr>
        <w:rPr>
          <w:rFonts w:eastAsia="Times New Roman"/>
        </w:rPr>
      </w:pPr>
      <w:r>
        <w:rPr>
          <w:rFonts w:eastAsia="Times New Roman"/>
          <w:noProof/>
        </w:rPr>
        <mc:AlternateContent>
          <mc:Choice Requires="wps">
            <w:drawing>
              <wp:inline distT="0" distB="0" distL="0" distR="0" wp14:anchorId="56BCA362" wp14:editId="1DD4C83C">
                <wp:extent cx="5943600" cy="4445"/>
                <wp:effectExtent l="0" t="31750" r="0" b="36830"/>
                <wp:docPr id="25477588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58969E" id="Rectangle 5"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58D5E8A8" w14:textId="77777777" w:rsidR="00506006" w:rsidRDefault="00506006">
      <w:pPr>
        <w:pStyle w:val="Heading2"/>
        <w:rPr>
          <w:rFonts w:eastAsia="Times New Roman"/>
          <w:sz w:val="30"/>
          <w:szCs w:val="30"/>
        </w:rPr>
      </w:pPr>
      <w:r>
        <w:rPr>
          <w:rFonts w:eastAsia="Times New Roman"/>
          <w:sz w:val="30"/>
          <w:szCs w:val="30"/>
        </w:rPr>
        <w:t>III. Global Stability and the Profit Ceiling</w:t>
      </w:r>
    </w:p>
    <w:p w14:paraId="214B51CB" w14:textId="77777777" w:rsidR="00506006" w:rsidRDefault="00506006">
      <w:pPr>
        <w:pStyle w:val="Heading2"/>
        <w:rPr>
          <w:rFonts w:eastAsia="Times New Roman"/>
          <w:sz w:val="24"/>
          <w:szCs w:val="24"/>
        </w:rPr>
      </w:pPr>
      <w:r>
        <w:rPr>
          <w:rFonts w:eastAsia="Times New Roman"/>
          <w:sz w:val="24"/>
          <w:szCs w:val="24"/>
        </w:rPr>
        <w:t>3.1. The Potential Profit Constraint</w:t>
      </w:r>
    </w:p>
    <w:p w14:paraId="618DADA3" w14:textId="77777777" w:rsidR="00506006" w:rsidRDefault="00506006">
      <w:pPr>
        <w:rPr>
          <w:rFonts w:eastAsia="Times New Roman"/>
        </w:rPr>
      </w:pPr>
      <w:r>
        <w:rPr>
          <w:rFonts w:eastAsia="Times New Roman"/>
        </w:rPr>
        <w:t xml:space="preserve">A critical innovation of this model is the constraint of the aggregate budget $B$ to the </w:t>
      </w:r>
      <w:r>
        <w:rPr>
          <w:rFonts w:eastAsia="Times New Roman"/>
          <w:b/>
          <w:bCs/>
        </w:rPr>
        <w:t>potential total profit</w:t>
      </w:r>
      <w:r>
        <w:rPr>
          <w:rFonts w:eastAsia="Times New Roman"/>
        </w:rPr>
        <w:t xml:space="preserve"> of the market. Let $\Omega$ be the maximum attainable surplus: $\Omega = \sum_x [D(x) \cdot (P^* - MC)]$. The model dictates that $\sum B_i \le \Omega$. This ensures that firms cannot "buy" prominence using exogenous capital indefinitely; the investment in store density must be justified by the underlying economic surplus. If $\sum B_i$ approaches $\Omega$, the industry enters a "Red Ocean" state where marginal returns on prominence vanish.</w:t>
      </w:r>
    </w:p>
    <w:p w14:paraId="134B3EB4" w14:textId="77777777" w:rsidR="00506006" w:rsidRDefault="00506006">
      <w:pPr>
        <w:pStyle w:val="Heading2"/>
        <w:rPr>
          <w:rFonts w:eastAsia="Times New Roman"/>
          <w:sz w:val="24"/>
          <w:szCs w:val="24"/>
        </w:rPr>
      </w:pPr>
      <w:r>
        <w:rPr>
          <w:rFonts w:eastAsia="Times New Roman"/>
          <w:sz w:val="24"/>
          <w:szCs w:val="24"/>
        </w:rPr>
        <w:t>3.2. Sweep Strategies, Predatory Pricing, and Retaliation</w:t>
      </w:r>
    </w:p>
    <w:p w14:paraId="48B135DD" w14:textId="77777777" w:rsidR="00506006" w:rsidRDefault="00506006">
      <w:pPr>
        <w:rPr>
          <w:rFonts w:eastAsia="Times New Roman"/>
        </w:rPr>
      </w:pPr>
      <w:r>
        <w:rPr>
          <w:rFonts w:eastAsia="Times New Roman"/>
        </w:rPr>
        <w:t>We analyze MSNE stability against a "Sweep Strategy," wherein a firm utilizes predatory pricing $P_s$ to capture the entire market. If the profit from a sweep ($\Pi_{sweep}$) exceeds $\Pi_{MSNE}$, the equilibrium collapses into a monopoly. In infinitely repeated games, however, stability is governed by the Folk Theorem: firms maintain the MSNE through "Grim Trigger" strategies. A defection—specifically a predatory sweep—is met with a permanent price war that drives prices to marginal cost, reducing future profits to zero and thus enforcing tacit cooperation among the "chain-cartel" members.</w:t>
      </w:r>
    </w:p>
    <w:p w14:paraId="516C3B26" w14:textId="77777777" w:rsidR="00506006" w:rsidRDefault="00506006">
      <w:pPr>
        <w:rPr>
          <w:rFonts w:eastAsia="Times New Roman"/>
        </w:rPr>
      </w:pPr>
      <w:r>
        <w:rPr>
          <w:rFonts w:eastAsia="Times New Roman"/>
          <w:noProof/>
        </w:rPr>
        <mc:AlternateContent>
          <mc:Choice Requires="wps">
            <w:drawing>
              <wp:inline distT="0" distB="0" distL="0" distR="0" wp14:anchorId="07127347" wp14:editId="69DD1739">
                <wp:extent cx="5943600" cy="4445"/>
                <wp:effectExtent l="0" t="31750" r="0" b="36830"/>
                <wp:docPr id="7933291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2A6F28" id="Rectangle 4"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4025EECE" w14:textId="77777777" w:rsidR="00506006" w:rsidRDefault="00506006">
      <w:pPr>
        <w:pStyle w:val="Heading2"/>
        <w:rPr>
          <w:rFonts w:eastAsia="Times New Roman"/>
          <w:sz w:val="30"/>
          <w:szCs w:val="30"/>
        </w:rPr>
      </w:pPr>
      <w:r>
        <w:rPr>
          <w:rFonts w:eastAsia="Times New Roman"/>
          <w:sz w:val="30"/>
          <w:szCs w:val="30"/>
        </w:rPr>
        <w:t>IV. Internal Agency and Mechanism Design</w:t>
      </w:r>
    </w:p>
    <w:p w14:paraId="0A47320D" w14:textId="77777777" w:rsidR="00506006" w:rsidRDefault="00506006">
      <w:pPr>
        <w:rPr>
          <w:rFonts w:eastAsia="Times New Roman"/>
        </w:rPr>
      </w:pPr>
      <w:r>
        <w:rPr>
          <w:rFonts w:eastAsia="Times New Roman"/>
        </w:rPr>
        <w:t xml:space="preserve">The retail chain is conceptualized as an </w:t>
      </w:r>
      <w:r>
        <w:rPr>
          <w:rFonts w:eastAsia="Times New Roman"/>
          <w:b/>
          <w:bCs/>
        </w:rPr>
        <w:t>internal spatial cartel</w:t>
      </w:r>
      <w:r>
        <w:rPr>
          <w:rFonts w:eastAsia="Times New Roman"/>
        </w:rPr>
        <w:t>. HQ must ensure that individual stores do not "defect" from the global MSNE to maximize local returns.</w:t>
      </w:r>
    </w:p>
    <w:p w14:paraId="6857CEB3" w14:textId="77777777" w:rsidR="00506006" w:rsidRDefault="00506006">
      <w:pPr>
        <w:pStyle w:val="Heading2"/>
        <w:rPr>
          <w:rFonts w:eastAsia="Times New Roman"/>
          <w:sz w:val="24"/>
          <w:szCs w:val="24"/>
        </w:rPr>
      </w:pPr>
      <w:r>
        <w:rPr>
          <w:rFonts w:eastAsia="Times New Roman"/>
          <w:sz w:val="24"/>
          <w:szCs w:val="24"/>
        </w:rPr>
        <w:t>4.1. Incentive Compatibility (IC) and Cannibalization</w:t>
      </w:r>
    </w:p>
    <w:p w14:paraId="0BA188CA" w14:textId="77777777" w:rsidR="00506006" w:rsidRDefault="00506006">
      <w:pPr>
        <w:rPr>
          <w:rFonts w:eastAsia="Times New Roman"/>
        </w:rPr>
      </w:pPr>
      <w:r>
        <w:rPr>
          <w:rFonts w:eastAsia="Times New Roman"/>
        </w:rPr>
        <w:t>A local manager rewarded on node-level revenue faces an IC conflict. They will seek to maximize local $Pr_i(x)$ to capture prominence, even if it cannibalizes a sister store. To prevent this, HQ must design a reward mechanism $W_i$ that internalizes the spatial externality, effectively taxing the manager for every unit of demand "stolen" from within the same chain.</w:t>
      </w:r>
    </w:p>
    <w:p w14:paraId="4F09661A" w14:textId="77777777" w:rsidR="00506006" w:rsidRDefault="00506006">
      <w:pPr>
        <w:pStyle w:val="Heading2"/>
        <w:rPr>
          <w:rFonts w:eastAsia="Times New Roman"/>
          <w:sz w:val="24"/>
          <w:szCs w:val="24"/>
        </w:rPr>
      </w:pPr>
      <w:r>
        <w:rPr>
          <w:rFonts w:eastAsia="Times New Roman"/>
          <w:sz w:val="24"/>
          <w:szCs w:val="24"/>
        </w:rPr>
        <w:lastRenderedPageBreak/>
        <w:t>4.2. Participation Constraints (PC)</w:t>
      </w:r>
    </w:p>
    <w:p w14:paraId="369EE08B" w14:textId="77777777" w:rsidR="00506006" w:rsidRDefault="00506006">
      <w:pPr>
        <w:rPr>
          <w:rFonts w:eastAsia="Times New Roman"/>
        </w:rPr>
      </w:pPr>
      <w:r>
        <w:rPr>
          <w:rFonts w:eastAsia="Times New Roman"/>
        </w:rPr>
        <w:t>HQ often requires stores to occupy "defensive" nodes to deny market share to rivals, even if those nodes are sub-profitable. To satisfy the PC, the mechanism must include transfer payments (subsidies) to ensure the manager’s utility exceeds their outside option. If the PC is not met, the manager exits, creating a spatial vacancy that allows rivals to reset the Prominence Ratio.</w:t>
      </w:r>
    </w:p>
    <w:p w14:paraId="0818F9F5" w14:textId="77777777" w:rsidR="00506006" w:rsidRDefault="00506006">
      <w:pPr>
        <w:rPr>
          <w:rFonts w:eastAsia="Times New Roman"/>
        </w:rPr>
      </w:pPr>
      <w:r>
        <w:rPr>
          <w:rFonts w:eastAsia="Times New Roman"/>
          <w:noProof/>
        </w:rPr>
        <mc:AlternateContent>
          <mc:Choice Requires="wps">
            <w:drawing>
              <wp:inline distT="0" distB="0" distL="0" distR="0" wp14:anchorId="61D0DAE5" wp14:editId="246A6054">
                <wp:extent cx="5943600" cy="4445"/>
                <wp:effectExtent l="0" t="31750" r="0" b="36830"/>
                <wp:docPr id="58572779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657E29" id="Rectangle 3"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4139EE17" w14:textId="77777777" w:rsidR="00506006" w:rsidRDefault="00506006">
      <w:pPr>
        <w:pStyle w:val="Heading2"/>
        <w:rPr>
          <w:rFonts w:eastAsia="Times New Roman"/>
          <w:sz w:val="30"/>
          <w:szCs w:val="30"/>
        </w:rPr>
      </w:pPr>
      <w:r>
        <w:rPr>
          <w:rFonts w:eastAsia="Times New Roman"/>
          <w:sz w:val="30"/>
          <w:szCs w:val="30"/>
        </w:rPr>
        <w:t>V. Conclusion: Complexity in Real-World Chains</w:t>
      </w:r>
    </w:p>
    <w:p w14:paraId="666FCA23" w14:textId="77777777" w:rsidR="00506006" w:rsidRDefault="00506006">
      <w:pPr>
        <w:rPr>
          <w:rFonts w:eastAsia="Times New Roman"/>
        </w:rPr>
      </w:pPr>
      <w:r>
        <w:rPr>
          <w:rFonts w:eastAsia="Times New Roman"/>
        </w:rPr>
        <w:t xml:space="preserve">The model demonstrates that the "complexity" of modern retail management is fundamentally game-theoretic. Corporate chains, with centralized control over budgets, can solve the internal IC problem more effectively, leading to optimized spatial differentiation. In contrast, </w:t>
      </w:r>
      <w:r>
        <w:rPr>
          <w:rFonts w:eastAsia="Times New Roman"/>
          <w:b/>
          <w:bCs/>
        </w:rPr>
        <w:t>franchised chains</w:t>
      </w:r>
      <w:r>
        <w:rPr>
          <w:rFonts w:eastAsia="Times New Roman"/>
        </w:rPr>
        <w:t>—where franchisees are independent agents with high PCs—often suffer from the "Internal Prisoner's Dilemma." This leads to the dense, seemingly redundant clustering observed in franchised sectors, as the HQ struggles to coordinate a "cartel" of independent profit-maximizers. The resulting retail landscape is thus a physical map of resolved and unresolved agency tensions.</w:t>
      </w:r>
    </w:p>
    <w:p w14:paraId="69AA7C20" w14:textId="77777777" w:rsidR="00506006" w:rsidRDefault="00506006">
      <w:pPr>
        <w:rPr>
          <w:rFonts w:eastAsia="Times New Roman"/>
        </w:rPr>
      </w:pPr>
      <w:r>
        <w:rPr>
          <w:rFonts w:eastAsia="Times New Roman"/>
          <w:noProof/>
        </w:rPr>
        <mc:AlternateContent>
          <mc:Choice Requires="wps">
            <w:drawing>
              <wp:inline distT="0" distB="0" distL="0" distR="0" wp14:anchorId="1FFE47E4" wp14:editId="7918B357">
                <wp:extent cx="5943600" cy="4445"/>
                <wp:effectExtent l="0" t="31750" r="0" b="36830"/>
                <wp:docPr id="11336016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A94E91" id="Rectangle 2"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4C68C88B" w14:textId="77777777" w:rsidR="00506006" w:rsidRDefault="00506006">
      <w:pPr>
        <w:pStyle w:val="Heading2"/>
        <w:rPr>
          <w:rFonts w:eastAsia="Times New Roman"/>
          <w:sz w:val="30"/>
          <w:szCs w:val="30"/>
        </w:rPr>
      </w:pPr>
      <w:r>
        <w:rPr>
          <w:rFonts w:eastAsia="Times New Roman"/>
          <w:sz w:val="30"/>
          <w:szCs w:val="30"/>
        </w:rPr>
        <w:t>VI. Appendix: Real-World Solutions to Optimal Store Mix</w:t>
      </w:r>
    </w:p>
    <w:p w14:paraId="6AE24C11" w14:textId="77777777" w:rsidR="00506006" w:rsidRDefault="00506006">
      <w:pPr>
        <w:rPr>
          <w:rFonts w:eastAsia="Times New Roman"/>
        </w:rPr>
      </w:pPr>
      <w:r>
        <w:rPr>
          <w:rFonts w:eastAsia="Times New Roman"/>
        </w:rPr>
        <w:t>Given the PPAD-complete nature of the spatial equilibrium, real-world retail chains employ a suite of heuristic and technological proxies to approximate the optimal store mix:</w:t>
      </w:r>
    </w:p>
    <w:p w14:paraId="068D24A3" w14:textId="77777777" w:rsidR="00506006" w:rsidRDefault="00506006" w:rsidP="00506006">
      <w:pPr>
        <w:numPr>
          <w:ilvl w:val="0"/>
          <w:numId w:val="1"/>
        </w:numPr>
        <w:spacing w:before="100" w:beforeAutospacing="1" w:after="100" w:afterAutospacing="1" w:line="240" w:lineRule="auto"/>
        <w:rPr>
          <w:rFonts w:eastAsia="Times New Roman"/>
        </w:rPr>
      </w:pPr>
      <w:r>
        <w:rPr>
          <w:rFonts w:eastAsia="Times New Roman"/>
          <w:b/>
          <w:bCs/>
        </w:rPr>
        <w:t>AI-Driven Geospatial Analytics:</w:t>
      </w:r>
      <w:r>
        <w:rPr>
          <w:rFonts w:eastAsia="Times New Roman"/>
        </w:rPr>
        <w:br/>
        <w:t>Firms utilize Geographic Information Systems (GIS) paired with machine learning to process "Big Data" (e.g., mobile phone pings, credit card transactions). These models act as an empirical proxy for the Prominence Ratio, identifying "white space" on the Hotelling line where a new store’s $Pr_i(x)$ can capture the highest residual demand without excessive self-cannibalization.</w:t>
      </w:r>
    </w:p>
    <w:p w14:paraId="6FC32973" w14:textId="77777777" w:rsidR="00506006" w:rsidRDefault="00506006" w:rsidP="00506006">
      <w:pPr>
        <w:numPr>
          <w:ilvl w:val="0"/>
          <w:numId w:val="1"/>
        </w:numPr>
        <w:spacing w:before="100" w:beforeAutospacing="1" w:after="100" w:afterAutospacing="1" w:line="240" w:lineRule="auto"/>
        <w:rPr>
          <w:rFonts w:eastAsia="Times New Roman"/>
        </w:rPr>
      </w:pPr>
      <w:r>
        <w:rPr>
          <w:rFonts w:eastAsia="Times New Roman"/>
          <w:b/>
          <w:bCs/>
        </w:rPr>
        <w:t>Hub-and-Spoke Distribution Models:</w:t>
      </w:r>
      <w:r>
        <w:rPr>
          <w:rFonts w:eastAsia="Times New Roman"/>
        </w:rPr>
        <w:br/>
        <w:t>To manage the potential profit constraint, firms deploy a mix of "Flagship" stores (high $Pr$) and "Express" kiosks (low $Pr$). This tiered strategy allows the chain to blanket the market (denying prominence to rivals) while concentrating the heaviest $MC$ reductions in high-volume hubs.</w:t>
      </w:r>
    </w:p>
    <w:p w14:paraId="2D1A0F5F" w14:textId="77777777" w:rsidR="00506006" w:rsidRDefault="00506006" w:rsidP="00506006">
      <w:pPr>
        <w:numPr>
          <w:ilvl w:val="0"/>
          <w:numId w:val="1"/>
        </w:numPr>
        <w:spacing w:before="100" w:beforeAutospacing="1" w:after="100" w:afterAutospacing="1" w:line="240" w:lineRule="auto"/>
        <w:rPr>
          <w:rFonts w:eastAsia="Times New Roman"/>
        </w:rPr>
      </w:pPr>
      <w:r>
        <w:rPr>
          <w:rFonts w:eastAsia="Times New Roman"/>
          <w:b/>
          <w:bCs/>
        </w:rPr>
        <w:t>Experimental Prototyping:</w:t>
      </w:r>
      <w:r>
        <w:rPr>
          <w:rFonts w:eastAsia="Times New Roman"/>
        </w:rPr>
        <w:br/>
        <w:t>Retailers often use A/B testing in specific geographical "playpens." By varying prices and store formats in isolated segments of the market, HQ can empirically observe the "Sweep Price" and "Cannibalization Threshold" before a global rollout, bypassing the need for a closed-form mathematical solution.</w:t>
      </w:r>
    </w:p>
    <w:p w14:paraId="5BCC8D3F" w14:textId="77777777" w:rsidR="00506006" w:rsidRDefault="00506006" w:rsidP="00506006">
      <w:pPr>
        <w:numPr>
          <w:ilvl w:val="0"/>
          <w:numId w:val="1"/>
        </w:numPr>
        <w:spacing w:before="100" w:beforeAutospacing="1" w:after="100" w:afterAutospacing="1" w:line="240" w:lineRule="auto"/>
        <w:rPr>
          <w:rFonts w:eastAsia="Times New Roman"/>
        </w:rPr>
      </w:pPr>
      <w:r>
        <w:rPr>
          <w:rFonts w:eastAsia="Times New Roman"/>
          <w:b/>
          <w:bCs/>
        </w:rPr>
        <w:lastRenderedPageBreak/>
        <w:t>Sophisticated Franchise Agreements:</w:t>
      </w:r>
      <w:r>
        <w:rPr>
          <w:rFonts w:eastAsia="Times New Roman"/>
        </w:rPr>
        <w:br/>
        <w:t>To resolve the internal cartel dilemma, modern contracts often include "Encroachment Protection" clauses. These legally codified spatial differentiation rules serve as a simplified, non-computational mechanism to satisfy the Participation Constraints of local managers while preventing the internal price wars predicted by the model.</w:t>
      </w:r>
    </w:p>
    <w:p w14:paraId="51538CA4" w14:textId="77777777" w:rsidR="00506006" w:rsidRDefault="00506006">
      <w:pPr>
        <w:spacing w:after="0"/>
        <w:rPr>
          <w:rFonts w:eastAsia="Times New Roman"/>
        </w:rPr>
      </w:pPr>
      <w:r>
        <w:rPr>
          <w:rFonts w:eastAsia="Times New Roman"/>
          <w:noProof/>
        </w:rPr>
        <mc:AlternateContent>
          <mc:Choice Requires="wps">
            <w:drawing>
              <wp:inline distT="0" distB="0" distL="0" distR="0" wp14:anchorId="43A515AE" wp14:editId="2F3D7E77">
                <wp:extent cx="5943600" cy="4445"/>
                <wp:effectExtent l="0" t="31750" r="0" b="36830"/>
                <wp:docPr id="18357217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89B450" id="Rectangle 1"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0D4758DB" w14:textId="283D2FDC" w:rsidR="00506006" w:rsidRDefault="00506006">
      <w:pPr>
        <w:rPr>
          <w:rFonts w:eastAsia="Times New Roman"/>
        </w:rPr>
      </w:pPr>
    </w:p>
    <w:p w14:paraId="052884E8" w14:textId="77777777" w:rsidR="00506006" w:rsidRDefault="00506006">
      <w:pPr>
        <w:rPr>
          <w:rFonts w:eastAsia="Times New Roman"/>
        </w:rPr>
      </w:pPr>
    </w:p>
    <w:p w14:paraId="7B57C5F0" w14:textId="77777777" w:rsidR="00515621" w:rsidRDefault="00515621"/>
    <w:p w14:paraId="0B3B5E24" w14:textId="77777777" w:rsidR="00454CF9" w:rsidRDefault="00454CF9"/>
    <w:p w14:paraId="6AB76331" w14:textId="77777777" w:rsidR="00454CF9" w:rsidRDefault="00454CF9"/>
    <w:p w14:paraId="7FBD403E" w14:textId="77777777" w:rsidR="00454CF9" w:rsidRDefault="00454CF9"/>
    <w:p w14:paraId="02D02D72" w14:textId="77777777" w:rsidR="00454CF9" w:rsidRDefault="00454CF9"/>
    <w:p w14:paraId="599C622A" w14:textId="77777777" w:rsidR="00454CF9" w:rsidRDefault="00454CF9"/>
    <w:p w14:paraId="3B2923C1" w14:textId="77777777" w:rsidR="00454CF9" w:rsidRDefault="00454CF9"/>
    <w:p w14:paraId="1A4F7EDE" w14:textId="77777777" w:rsidR="00454CF9" w:rsidRDefault="00454CF9"/>
    <w:p w14:paraId="2C43326A" w14:textId="77777777" w:rsidR="00454CF9" w:rsidRDefault="00454CF9"/>
    <w:p w14:paraId="5F925EDF" w14:textId="77777777" w:rsidR="00454CF9" w:rsidRDefault="00454CF9"/>
    <w:p w14:paraId="14044344" w14:textId="77777777" w:rsidR="00454CF9" w:rsidRDefault="00454CF9"/>
    <w:p w14:paraId="35BAFAF7" w14:textId="77777777" w:rsidR="00454CF9" w:rsidRDefault="00454CF9"/>
    <w:p w14:paraId="22042D03" w14:textId="77777777" w:rsidR="00454CF9" w:rsidRDefault="00454CF9"/>
    <w:p w14:paraId="41B43C56" w14:textId="77777777" w:rsidR="00454CF9" w:rsidRDefault="00454CF9"/>
    <w:p w14:paraId="31690F3D" w14:textId="77777777" w:rsidR="00454CF9" w:rsidRDefault="00454CF9"/>
    <w:p w14:paraId="4319F57D" w14:textId="77777777" w:rsidR="00454CF9" w:rsidRDefault="00454CF9"/>
    <w:p w14:paraId="4C03AEFF" w14:textId="77777777" w:rsidR="00454CF9" w:rsidRDefault="00454CF9"/>
    <w:p w14:paraId="4A0F205D" w14:textId="77777777" w:rsidR="00454CF9" w:rsidRDefault="00454CF9"/>
    <w:p w14:paraId="1C3367F3" w14:textId="77777777" w:rsidR="00454CF9" w:rsidRDefault="00454CF9"/>
    <w:p w14:paraId="026A8955" w14:textId="77777777" w:rsidR="00454CF9" w:rsidRDefault="00454CF9">
      <w:pPr>
        <w:rPr>
          <w:rFonts w:eastAsia="Times New Roman"/>
          <w:kern w:val="0"/>
          <w14:ligatures w14:val="none"/>
        </w:rPr>
      </w:pPr>
      <w:r>
        <w:rPr>
          <w:rFonts w:eastAsia="Times New Roman"/>
          <w:b/>
          <w:bCs/>
        </w:rPr>
        <w:lastRenderedPageBreak/>
        <w:t>The Geometry of Innovation: Spatial Competition, Engineering Frontiers, and the Ford Bronco Anomaly</w:t>
      </w:r>
    </w:p>
    <w:p w14:paraId="4C234085" w14:textId="77777777" w:rsidR="00454CF9" w:rsidRDefault="00454CF9">
      <w:pPr>
        <w:rPr>
          <w:rFonts w:eastAsia="Times New Roman"/>
        </w:rPr>
      </w:pPr>
      <w:r>
        <w:rPr>
          <w:rFonts w:eastAsia="Times New Roman"/>
          <w:b/>
          <w:bCs/>
        </w:rPr>
        <w:t>Abstract</w:t>
      </w:r>
      <w:r>
        <w:rPr>
          <w:rFonts w:eastAsia="Times New Roman"/>
        </w:rPr>
        <w:br/>
        <w:t xml:space="preserve">This paper bridges the gap between spatial economic theory and industrial engineering by applying a discretized Mixed Strategy Nash Equilibrium (MSNE) framework to the automotive market. We transition from a physical Hotelling line to an abstract "Attribute Space," specifically analyzing the trade-off between "Agility" and "Exploration Capacity" in the SUV and off-roader segments. We identify an industry-standard $1/x$ hyperbolic constraint binding most competitors and contrast it with the </w:t>
      </w:r>
      <w:hyperlink r:id="rId5" w:anchor="sv=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" w:history="1">
        <w:r>
          <w:rPr>
            <w:rStyle w:val="Hyperlink"/>
            <w:rFonts w:eastAsia="Times New Roman"/>
          </w:rPr>
          <w:t>Ford Bronco</w:t>
        </w:r>
      </w:hyperlink>
      <w:r>
        <w:rPr>
          <w:rFonts w:eastAsia="Times New Roman"/>
        </w:rPr>
        <w:t xml:space="preserve">, which utilizes R&amp;D-driven technological shifts to occupy a superior linear frontier. We conclude with a stability analysis, demonstrating that while the </w:t>
      </w:r>
      <w:hyperlink r:id="rId6" w:anchor="sv=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" w:history="1">
        <w:r>
          <w:rPr>
            <w:rStyle w:val="Hyperlink"/>
            <w:rFonts w:eastAsia="Times New Roman"/>
          </w:rPr>
          <w:t>Bronco</w:t>
        </w:r>
      </w:hyperlink>
      <w:r>
        <w:rPr>
          <w:rFonts w:eastAsia="Times New Roman"/>
        </w:rPr>
        <w:t xml:space="preserve"> currently enjoys a local monopoly, its position is subject to the long-term pressures of imitation and the global potential profit constraint.</w:t>
      </w:r>
    </w:p>
    <w:p w14:paraId="7F6F0DF5" w14:textId="77777777" w:rsidR="00454CF9" w:rsidRDefault="00454CF9">
      <w:pPr>
        <w:rPr>
          <w:rFonts w:eastAsia="Times New Roman"/>
        </w:rPr>
      </w:pPr>
      <w:r>
        <w:rPr>
          <w:rFonts w:eastAsia="Times New Roman"/>
          <w:noProof/>
        </w:rPr>
        <mc:AlternateContent>
          <mc:Choice Requires="wps">
            <w:drawing>
              <wp:inline distT="0" distB="0" distL="0" distR="0" wp14:anchorId="44655774" wp14:editId="7ED8DF12">
                <wp:extent cx="5943600" cy="4445"/>
                <wp:effectExtent l="0" t="31750" r="0" b="36830"/>
                <wp:docPr id="57181638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C8C115" id="Rectangle 7"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62776737" w14:textId="77777777" w:rsidR="00454CF9" w:rsidRDefault="00454CF9">
      <w:pPr>
        <w:pStyle w:val="Heading2"/>
        <w:rPr>
          <w:rFonts w:eastAsia="Times New Roman"/>
          <w:sz w:val="30"/>
          <w:szCs w:val="30"/>
        </w:rPr>
      </w:pPr>
      <w:r>
        <w:rPr>
          <w:rFonts w:eastAsia="Times New Roman"/>
          <w:sz w:val="30"/>
          <w:szCs w:val="30"/>
        </w:rPr>
        <w:t>I. The Conceptual Leap: From Geography to Attributes</w:t>
      </w:r>
    </w:p>
    <w:p w14:paraId="19BF8286" w14:textId="77777777" w:rsidR="00454CF9" w:rsidRDefault="00454CF9">
      <w:pPr>
        <w:rPr>
          <w:rFonts w:eastAsia="Times New Roman"/>
        </w:rPr>
      </w:pPr>
      <w:r>
        <w:rPr>
          <w:rFonts w:eastAsia="Times New Roman"/>
        </w:rPr>
        <w:t xml:space="preserve">The Hotelling model, traditionally used to explain physical store placement, is here transposed into a "Characteristic Space." In this abstract geometry, the "distance" a consumer travels is not measured in miles, but in the </w:t>
      </w:r>
      <w:r>
        <w:rPr>
          <w:rFonts w:eastAsia="Times New Roman"/>
          <w:b/>
          <w:bCs/>
        </w:rPr>
        <w:t>utility loss</w:t>
      </w:r>
      <w:r>
        <w:rPr>
          <w:rFonts w:eastAsia="Times New Roman"/>
        </w:rPr>
        <w:t xml:space="preserve"> incurred when a car's specifications deviate from their ideal preference.</w:t>
      </w:r>
    </w:p>
    <w:p w14:paraId="62FF047A" w14:textId="77777777" w:rsidR="00454CF9" w:rsidRDefault="00454CF9">
      <w:pPr>
        <w:rPr>
          <w:rFonts w:eastAsia="Times New Roman"/>
        </w:rPr>
      </w:pPr>
      <w:r>
        <w:rPr>
          <w:rFonts w:eastAsia="Times New Roman"/>
        </w:rPr>
        <w:t xml:space="preserve">The "Transport Cost" ($t$) represents </w:t>
      </w:r>
      <w:r>
        <w:rPr>
          <w:rFonts w:eastAsia="Times New Roman"/>
          <w:b/>
          <w:bCs/>
        </w:rPr>
        <w:t>Taste Sensitivity</w:t>
      </w:r>
      <w:r>
        <w:rPr>
          <w:rFonts w:eastAsia="Times New Roman"/>
        </w:rPr>
        <w:t>. In segments like "Fast Hatchbacks," $t$ is high, allowing for local monopolies and high prices. In the "Budget" segment, $t$ is low, leading to fierce price wars. This framework allows us to map the entire automotive market as a multi-dimensional grid where firms compete for "Prominence" ($Pr$)—the probability of being the selected option at any given attribute coordinate.</w:t>
      </w:r>
    </w:p>
    <w:p w14:paraId="6C5BA631" w14:textId="77777777" w:rsidR="00454CF9" w:rsidRDefault="00454CF9">
      <w:pPr>
        <w:rPr>
          <w:rFonts w:eastAsia="Times New Roman"/>
        </w:rPr>
      </w:pPr>
      <w:r>
        <w:rPr>
          <w:rFonts w:eastAsia="Times New Roman"/>
          <w:noProof/>
        </w:rPr>
        <mc:AlternateContent>
          <mc:Choice Requires="wps">
            <w:drawing>
              <wp:inline distT="0" distB="0" distL="0" distR="0" wp14:anchorId="60F29EE3" wp14:editId="56C65323">
                <wp:extent cx="5943600" cy="4445"/>
                <wp:effectExtent l="0" t="31750" r="0" b="36830"/>
                <wp:docPr id="149696067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8D6D386" id="Rectangle 6"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130398E5" w14:textId="77777777" w:rsidR="00454CF9" w:rsidRDefault="00454CF9">
      <w:pPr>
        <w:pStyle w:val="Heading2"/>
        <w:rPr>
          <w:rFonts w:eastAsia="Times New Roman"/>
          <w:sz w:val="30"/>
          <w:szCs w:val="30"/>
        </w:rPr>
      </w:pPr>
      <w:r>
        <w:rPr>
          <w:rFonts w:eastAsia="Times New Roman"/>
          <w:sz w:val="30"/>
          <w:szCs w:val="30"/>
        </w:rPr>
        <w:t>II. Engineering Constraints and the $1/x$ Frontier</w:t>
      </w:r>
    </w:p>
    <w:p w14:paraId="0C0D3CAC" w14:textId="77777777" w:rsidR="00454CF9" w:rsidRDefault="00454CF9">
      <w:pPr>
        <w:rPr>
          <w:rFonts w:eastAsia="Times New Roman"/>
        </w:rPr>
      </w:pPr>
      <w:r>
        <w:rPr>
          <w:rFonts w:eastAsia="Times New Roman"/>
        </w:rPr>
        <w:t xml:space="preserve">In the compact SUV and off-roader market, two primary attributes define the competitive landscape: </w:t>
      </w:r>
      <w:r>
        <w:rPr>
          <w:rFonts w:eastAsia="Times New Roman"/>
          <w:b/>
          <w:bCs/>
        </w:rPr>
        <w:t>Agility</w:t>
      </w:r>
      <w:r>
        <w:rPr>
          <w:rFonts w:eastAsia="Times New Roman"/>
        </w:rPr>
        <w:t xml:space="preserve"> (on-road handling, turning radius, stability) and </w:t>
      </w:r>
      <w:r>
        <w:rPr>
          <w:rFonts w:eastAsia="Times New Roman"/>
          <w:b/>
          <w:bCs/>
        </w:rPr>
        <w:t>Exploration Capacity</w:t>
      </w:r>
      <w:r>
        <w:rPr>
          <w:rFonts w:eastAsia="Times New Roman"/>
        </w:rPr>
        <w:t xml:space="preserve"> (ground clearance, suspension travel, torque).</w:t>
      </w:r>
    </w:p>
    <w:p w14:paraId="72DD3DCA" w14:textId="77777777" w:rsidR="00454CF9" w:rsidRDefault="00454CF9">
      <w:pPr>
        <w:pStyle w:val="Heading2"/>
        <w:rPr>
          <w:rFonts w:eastAsia="Times New Roman"/>
          <w:sz w:val="24"/>
          <w:szCs w:val="24"/>
        </w:rPr>
      </w:pPr>
      <w:r>
        <w:rPr>
          <w:rFonts w:eastAsia="Times New Roman"/>
          <w:sz w:val="24"/>
          <w:szCs w:val="24"/>
        </w:rPr>
        <w:t>2.1. The Hyperbolic Constraint</w:t>
      </w:r>
    </w:p>
    <w:p w14:paraId="2C986E23" w14:textId="77777777" w:rsidR="00454CF9" w:rsidRDefault="00454CF9">
      <w:pPr>
        <w:rPr>
          <w:rFonts w:eastAsia="Times New Roman"/>
        </w:rPr>
      </w:pPr>
      <w:r>
        <w:rPr>
          <w:rFonts w:eastAsia="Times New Roman"/>
        </w:rPr>
        <w:t xml:space="preserve">Empirical observation reveals that most manufacturers are bound by a </w:t>
      </w:r>
      <w:r>
        <w:rPr>
          <w:rFonts w:eastAsia="Times New Roman"/>
          <w:b/>
          <w:bCs/>
        </w:rPr>
        <w:t>$1/x$ relationship</w:t>
      </w:r>
      <w:r>
        <w:rPr>
          <w:rFonts w:eastAsia="Times New Roman"/>
        </w:rPr>
        <w:t>:</w:t>
      </w:r>
      <w:r>
        <w:rPr>
          <w:rFonts w:eastAsia="Times New Roman"/>
        </w:rPr>
        <w:br/>
        <w:t xml:space="preserve">$$Agility \times Exploration = K$$ </w:t>
      </w:r>
    </w:p>
    <w:p w14:paraId="6EC60303" w14:textId="77777777" w:rsidR="00454CF9" w:rsidRDefault="00454CF9" w:rsidP="00454CF9">
      <w:pPr>
        <w:numPr>
          <w:ilvl w:val="0"/>
          <w:numId w:val="2"/>
        </w:numPr>
        <w:spacing w:before="100" w:beforeAutospacing="1" w:after="100" w:afterAutospacing="1" w:line="240" w:lineRule="auto"/>
        <w:rPr>
          <w:rFonts w:eastAsia="Times New Roman"/>
        </w:rPr>
      </w:pPr>
      <w:r>
        <w:rPr>
          <w:rFonts w:eastAsia="Times New Roman"/>
          <w:b/>
          <w:bCs/>
        </w:rPr>
        <w:lastRenderedPageBreak/>
        <w:t>The "Urban" Node:</w:t>
      </w:r>
      <w:r>
        <w:rPr>
          <w:rFonts w:eastAsia="Times New Roman"/>
        </w:rPr>
        <w:t xml:space="preserve"> Players like the </w:t>
      </w:r>
      <w:hyperlink r:id="rId7" w:anchor="sv=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" w:history="1">
        <w:r>
          <w:rPr>
            <w:rStyle w:val="Hyperlink"/>
            <w:rFonts w:eastAsia="Times New Roman"/>
            <w:b/>
            <w:bCs/>
          </w:rPr>
          <w:t>Dacia Duster</w:t>
        </w:r>
      </w:hyperlink>
      <w:r>
        <w:rPr>
          <w:rFonts w:eastAsia="Times New Roman"/>
        </w:rPr>
        <w:t xml:space="preserve"> or </w:t>
      </w:r>
      <w:hyperlink r:id="rId8" w:anchor="sv=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" w:history="1">
        <w:r>
          <w:rPr>
            <w:rStyle w:val="Hyperlink"/>
            <w:rFonts w:eastAsia="Times New Roman"/>
            <w:b/>
            <w:bCs/>
          </w:rPr>
          <w:t>Toyota RAV4</w:t>
        </w:r>
      </w:hyperlink>
      <w:r>
        <w:rPr>
          <w:rFonts w:eastAsia="Times New Roman"/>
        </w:rPr>
        <w:t xml:space="preserve"> maximize agility but suffer a catastrophic loss in exploration capacity.</w:t>
      </w:r>
    </w:p>
    <w:p w14:paraId="3D6E832D" w14:textId="77777777" w:rsidR="00454CF9" w:rsidRDefault="00454CF9" w:rsidP="00454CF9">
      <w:pPr>
        <w:numPr>
          <w:ilvl w:val="0"/>
          <w:numId w:val="2"/>
        </w:numPr>
        <w:spacing w:before="100" w:beforeAutospacing="1" w:after="100" w:afterAutospacing="1" w:line="240" w:lineRule="auto"/>
        <w:rPr>
          <w:rFonts w:eastAsia="Times New Roman"/>
        </w:rPr>
      </w:pPr>
      <w:r>
        <w:rPr>
          <w:rFonts w:eastAsia="Times New Roman"/>
          <w:b/>
          <w:bCs/>
        </w:rPr>
        <w:t>The "Rugged" Node:</w:t>
      </w:r>
      <w:r>
        <w:rPr>
          <w:rFonts w:eastAsia="Times New Roman"/>
        </w:rPr>
        <w:t xml:space="preserve"> Players like the </w:t>
      </w:r>
      <w:hyperlink r:id="rId9" w:anchor="sv=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" w:history="1">
        <w:r>
          <w:rPr>
            <w:rStyle w:val="Hyperlink"/>
            <w:rFonts w:eastAsia="Times New Roman"/>
            <w:b/>
            <w:bCs/>
          </w:rPr>
          <w:t>Land Cruiser</w:t>
        </w:r>
      </w:hyperlink>
      <w:r>
        <w:rPr>
          <w:rFonts w:eastAsia="Times New Roman"/>
        </w:rPr>
        <w:t xml:space="preserve"> or </w:t>
      </w:r>
      <w:hyperlink r:id="rId10" w:anchor="sv=CBwS-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_38_gg" w:history="1">
        <w:r>
          <w:rPr>
            <w:rStyle w:val="Hyperlink"/>
            <w:rFonts w:eastAsia="Times New Roman"/>
            <w:b/>
            <w:bCs/>
          </w:rPr>
          <w:t>Land Rover Defender</w:t>
        </w:r>
      </w:hyperlink>
      <w:r>
        <w:rPr>
          <w:rFonts w:eastAsia="Times New Roman"/>
        </w:rPr>
        <w:t xml:space="preserve"> maximize exploration but are restricted in agility due to the physics of solid axles and high centers of gravity.</w:t>
      </w:r>
    </w:p>
    <w:p w14:paraId="53AB1D34" w14:textId="77777777" w:rsidR="00454CF9" w:rsidRDefault="00454CF9">
      <w:pPr>
        <w:spacing w:after="0"/>
        <w:rPr>
          <w:rFonts w:eastAsia="Times New Roman"/>
        </w:rPr>
      </w:pPr>
      <w:r>
        <w:rPr>
          <w:rFonts w:eastAsia="Times New Roman"/>
        </w:rPr>
        <w:t>These firms are in a "Red Ocean" of prominence dilution, where they cannot improve one metric without a debilitating sacrifice in the other, leading to high price sensitivity and compressed margins.</w:t>
      </w:r>
    </w:p>
    <w:p w14:paraId="668C3525" w14:textId="77777777" w:rsidR="00454CF9" w:rsidRDefault="00454CF9">
      <w:pPr>
        <w:rPr>
          <w:rFonts w:eastAsia="Times New Roman"/>
        </w:rPr>
      </w:pPr>
      <w:r>
        <w:rPr>
          <w:rFonts w:eastAsia="Times New Roman"/>
          <w:noProof/>
        </w:rPr>
        <mc:AlternateContent>
          <mc:Choice Requires="wps">
            <w:drawing>
              <wp:inline distT="0" distB="0" distL="0" distR="0" wp14:anchorId="11705C68" wp14:editId="1E95AA78">
                <wp:extent cx="5943600" cy="4445"/>
                <wp:effectExtent l="0" t="31750" r="0" b="36830"/>
                <wp:docPr id="96887680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CF7404" id="Rectangle 5"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2BDFC3CE" w14:textId="77777777" w:rsidR="00454CF9" w:rsidRDefault="00454CF9">
      <w:pPr>
        <w:pStyle w:val="Heading2"/>
        <w:rPr>
          <w:rFonts w:eastAsia="Times New Roman"/>
          <w:sz w:val="30"/>
          <w:szCs w:val="30"/>
        </w:rPr>
      </w:pPr>
      <w:r>
        <w:rPr>
          <w:rFonts w:eastAsia="Times New Roman"/>
          <w:sz w:val="30"/>
          <w:szCs w:val="30"/>
        </w:rPr>
        <w:t>III. The Ford Bronco: Breaking the Curve</w:t>
      </w:r>
    </w:p>
    <w:p w14:paraId="426776E0" w14:textId="77777777" w:rsidR="00454CF9" w:rsidRDefault="00454CF9">
      <w:pPr>
        <w:rPr>
          <w:rFonts w:eastAsia="Times New Roman"/>
        </w:rPr>
      </w:pPr>
      <w:r>
        <w:rPr>
          <w:rFonts w:eastAsia="Times New Roman"/>
        </w:rPr>
        <w:t xml:space="preserve">The </w:t>
      </w:r>
      <w:hyperlink r:id="rId11" w:anchor="sv=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" w:history="1">
        <w:r>
          <w:rPr>
            <w:rStyle w:val="Hyperlink"/>
            <w:rFonts w:eastAsia="Times New Roman"/>
            <w:b/>
            <w:bCs/>
          </w:rPr>
          <w:t>Ford Bronco</w:t>
        </w:r>
      </w:hyperlink>
      <w:r>
        <w:rPr>
          <w:rFonts w:eastAsia="Times New Roman"/>
        </w:rPr>
        <w:t xml:space="preserve"> represents a "Strategic Anomaly." Through heavy R&amp;D—specifically independent front suspension (IFS) combined with high-travel damping (HOSS) and electronic sway-bar disconnects—Ford has effectively </w:t>
      </w:r>
      <w:r>
        <w:rPr>
          <w:rFonts w:eastAsia="Times New Roman"/>
          <w:b/>
          <w:bCs/>
        </w:rPr>
        <w:t>straightened the curve</w:t>
      </w:r>
      <w:r>
        <w:rPr>
          <w:rFonts w:eastAsia="Times New Roman"/>
        </w:rPr>
        <w:t>.</w:t>
      </w:r>
    </w:p>
    <w:p w14:paraId="16483C54" w14:textId="77777777" w:rsidR="00454CF9" w:rsidRDefault="00454CF9">
      <w:pPr>
        <w:pStyle w:val="Heading2"/>
        <w:rPr>
          <w:rFonts w:eastAsia="Times New Roman"/>
          <w:sz w:val="24"/>
          <w:szCs w:val="24"/>
        </w:rPr>
      </w:pPr>
      <w:r>
        <w:rPr>
          <w:rFonts w:eastAsia="Times New Roman"/>
          <w:sz w:val="24"/>
          <w:szCs w:val="24"/>
        </w:rPr>
        <w:t>3.1. The Linear Shift</w:t>
      </w:r>
    </w:p>
    <w:p w14:paraId="6C3F2AE5" w14:textId="77777777" w:rsidR="00454CF9" w:rsidRDefault="00454CF9">
      <w:pPr>
        <w:rPr>
          <w:rFonts w:eastAsia="Times New Roman"/>
        </w:rPr>
      </w:pPr>
      <w:r>
        <w:rPr>
          <w:rFonts w:eastAsia="Times New Roman"/>
        </w:rPr>
        <w:t xml:space="preserve">While competitors are stuck on the $1/x$ hyperbola, the </w:t>
      </w:r>
      <w:hyperlink r:id="rId12" w:anchor="sv=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" w:history="1">
        <w:r>
          <w:rPr>
            <w:rStyle w:val="Hyperlink"/>
            <w:rFonts w:eastAsia="Times New Roman"/>
          </w:rPr>
          <w:t>Bronco</w:t>
        </w:r>
      </w:hyperlink>
      <w:r>
        <w:rPr>
          <w:rFonts w:eastAsia="Times New Roman"/>
        </w:rPr>
        <w:t xml:space="preserve"> sits on a </w:t>
      </w:r>
      <w:r>
        <w:rPr>
          <w:rFonts w:eastAsia="Times New Roman"/>
          <w:b/>
          <w:bCs/>
        </w:rPr>
        <w:t>linear chord</w:t>
      </w:r>
      <w:r>
        <w:rPr>
          <w:rFonts w:eastAsia="Times New Roman"/>
        </w:rPr>
        <w:t xml:space="preserve"> above it. At any given level of exploration capacity, the </w:t>
      </w:r>
      <w:hyperlink r:id="rId13" w:anchor="sv=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" w:history="1">
        <w:r>
          <w:rPr>
            <w:rStyle w:val="Hyperlink"/>
            <w:rFonts w:eastAsia="Times New Roman"/>
          </w:rPr>
          <w:t>Bronco</w:t>
        </w:r>
      </w:hyperlink>
      <w:r>
        <w:rPr>
          <w:rFonts w:eastAsia="Times New Roman"/>
        </w:rPr>
        <w:t xml:space="preserve"> offers significantly more agility than its $1/x$-constrained rivals.</w:t>
      </w:r>
    </w:p>
    <w:p w14:paraId="4E5D7EDD" w14:textId="77777777" w:rsidR="00454CF9" w:rsidRDefault="00454CF9" w:rsidP="00454CF9">
      <w:pPr>
        <w:numPr>
          <w:ilvl w:val="0"/>
          <w:numId w:val="3"/>
        </w:numPr>
        <w:spacing w:before="100" w:beforeAutospacing="1" w:after="100" w:afterAutospacing="1" w:line="240" w:lineRule="auto"/>
        <w:rPr>
          <w:rFonts w:eastAsia="Times New Roman"/>
        </w:rPr>
      </w:pPr>
      <w:r>
        <w:rPr>
          <w:rFonts w:eastAsia="Times New Roman"/>
          <w:b/>
          <w:bCs/>
        </w:rPr>
        <w:t>MSNE Impact:</w:t>
      </w:r>
      <w:r>
        <w:rPr>
          <w:rFonts w:eastAsia="Times New Roman"/>
        </w:rPr>
        <w:t xml:space="preserve"> This technological leap moves the </w:t>
      </w:r>
      <w:hyperlink r:id="rId14" w:anchor="sv=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" w:history="1">
        <w:r>
          <w:rPr>
            <w:rStyle w:val="Hyperlink"/>
            <w:rFonts w:eastAsia="Times New Roman"/>
          </w:rPr>
          <w:t>Bronco</w:t>
        </w:r>
      </w:hyperlink>
      <w:r>
        <w:rPr>
          <w:rFonts w:eastAsia="Times New Roman"/>
        </w:rPr>
        <w:t xml:space="preserve"> into a "Higher Dimension" of the Hotelling space. Because no other firm can reach this linear coordinate, the </w:t>
      </w:r>
      <w:r>
        <w:rPr>
          <w:rFonts w:eastAsia="Times New Roman"/>
          <w:b/>
          <w:bCs/>
        </w:rPr>
        <w:t>Denominator of the Prominence Ratio</w:t>
      </w:r>
      <w:r>
        <w:rPr>
          <w:rFonts w:eastAsia="Times New Roman"/>
        </w:rPr>
        <w:t xml:space="preserve"> ($\sum Pr_j$) at this node is effectively zero. Ford has used R&amp;D to create a temporary "Blue Ocean" in the center of the market.</w:t>
      </w:r>
    </w:p>
    <w:p w14:paraId="73D8BEDF" w14:textId="77777777" w:rsidR="00454CF9" w:rsidRDefault="00454CF9">
      <w:pPr>
        <w:spacing w:after="0"/>
        <w:rPr>
          <w:rFonts w:eastAsia="Times New Roman"/>
        </w:rPr>
      </w:pPr>
      <w:r>
        <w:rPr>
          <w:rFonts w:eastAsia="Times New Roman"/>
          <w:noProof/>
        </w:rPr>
        <mc:AlternateContent>
          <mc:Choice Requires="wps">
            <w:drawing>
              <wp:inline distT="0" distB="0" distL="0" distR="0" wp14:anchorId="6EB98945" wp14:editId="5ED40770">
                <wp:extent cx="5943600" cy="4445"/>
                <wp:effectExtent l="0" t="31750" r="0" b="36830"/>
                <wp:docPr id="104781845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9B6B4EC" id="Rectangle 4"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5D1F6201" w14:textId="77777777" w:rsidR="00454CF9" w:rsidRDefault="00454CF9">
      <w:pPr>
        <w:pStyle w:val="Heading2"/>
        <w:rPr>
          <w:rFonts w:eastAsia="Times New Roman"/>
          <w:sz w:val="30"/>
          <w:szCs w:val="30"/>
        </w:rPr>
      </w:pPr>
      <w:r>
        <w:rPr>
          <w:rFonts w:eastAsia="Times New Roman"/>
          <w:sz w:val="30"/>
          <w:szCs w:val="30"/>
        </w:rPr>
        <w:t>IV. Internal Agency and the Cartel Problem</w:t>
      </w:r>
    </w:p>
    <w:p w14:paraId="17FF96E9" w14:textId="77777777" w:rsidR="00454CF9" w:rsidRDefault="00454CF9">
      <w:pPr>
        <w:rPr>
          <w:rFonts w:eastAsia="Times New Roman"/>
        </w:rPr>
      </w:pPr>
      <w:r>
        <w:rPr>
          <w:rFonts w:eastAsia="Times New Roman"/>
        </w:rPr>
        <w:t xml:space="preserve">Applying </w:t>
      </w:r>
      <w:r>
        <w:rPr>
          <w:rFonts w:eastAsia="Times New Roman"/>
          <w:b/>
          <w:bCs/>
        </w:rPr>
        <w:t>Management Science</w:t>
      </w:r>
      <w:r>
        <w:rPr>
          <w:rFonts w:eastAsia="Times New Roman"/>
        </w:rPr>
        <w:t>, we analyze how Ford manages this anomaly within its own "Internal Cartel."</w:t>
      </w:r>
    </w:p>
    <w:p w14:paraId="434D1441" w14:textId="77777777" w:rsidR="00454CF9" w:rsidRDefault="00454CF9" w:rsidP="00454CF9">
      <w:pPr>
        <w:numPr>
          <w:ilvl w:val="0"/>
          <w:numId w:val="4"/>
        </w:numPr>
        <w:spacing w:before="100" w:beforeAutospacing="1" w:after="100" w:afterAutospacing="1" w:line="240" w:lineRule="auto"/>
        <w:rPr>
          <w:rFonts w:eastAsia="Times New Roman"/>
        </w:rPr>
      </w:pPr>
      <w:r>
        <w:rPr>
          <w:rFonts w:eastAsia="Times New Roman"/>
          <w:b/>
          <w:bCs/>
        </w:rPr>
        <w:t>The Cannibalization Risk:</w:t>
      </w:r>
      <w:r>
        <w:rPr>
          <w:rFonts w:eastAsia="Times New Roman"/>
        </w:rPr>
        <w:t xml:space="preserve"> A high-agility, high-exploration </w:t>
      </w:r>
      <w:hyperlink r:id="rId15" w:anchor="sv=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-MfiAw" w:history="1">
        <w:r>
          <w:rPr>
            <w:rStyle w:val="Hyperlink"/>
            <w:rFonts w:eastAsia="Times New Roman"/>
          </w:rPr>
          <w:t>Bronco</w:t>
        </w:r>
      </w:hyperlink>
      <w:r>
        <w:rPr>
          <w:rFonts w:eastAsia="Times New Roman"/>
        </w:rPr>
        <w:t xml:space="preserve"> threatens the </w:t>
      </w:r>
      <w:hyperlink r:id="rId16" w:anchor="sv=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-MfY2wU" w:history="1">
        <w:r>
          <w:rPr>
            <w:rStyle w:val="Hyperlink"/>
            <w:rFonts w:eastAsia="Times New Roman"/>
            <w:b/>
            <w:bCs/>
          </w:rPr>
          <w:t>Ford Explorer</w:t>
        </w:r>
      </w:hyperlink>
      <w:r>
        <w:rPr>
          <w:rFonts w:eastAsia="Times New Roman"/>
        </w:rPr>
        <w:t xml:space="preserve"> (Agility-focused) and the </w:t>
      </w:r>
      <w:hyperlink r:id="rId17" w:anchor="sv=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" w:history="1">
        <w:r>
          <w:rPr>
            <w:rStyle w:val="Hyperlink"/>
            <w:rFonts w:eastAsia="Times New Roman"/>
            <w:b/>
            <w:bCs/>
          </w:rPr>
          <w:t>Ford F-150</w:t>
        </w:r>
      </w:hyperlink>
      <w:r>
        <w:rPr>
          <w:rFonts w:eastAsia="Times New Roman"/>
        </w:rPr>
        <w:t xml:space="preserve"> (Capability-focused).</w:t>
      </w:r>
    </w:p>
    <w:p w14:paraId="7F0ED082" w14:textId="77777777" w:rsidR="00454CF9" w:rsidRDefault="00454CF9" w:rsidP="00454CF9">
      <w:pPr>
        <w:numPr>
          <w:ilvl w:val="0"/>
          <w:numId w:val="4"/>
        </w:numPr>
        <w:spacing w:before="100" w:beforeAutospacing="1" w:after="100" w:afterAutospacing="1" w:line="240" w:lineRule="auto"/>
        <w:rPr>
          <w:rFonts w:eastAsia="Times New Roman"/>
        </w:rPr>
      </w:pPr>
      <w:r>
        <w:rPr>
          <w:rFonts w:eastAsia="Times New Roman"/>
          <w:b/>
          <w:bCs/>
        </w:rPr>
        <w:t>The Mechanism Solution:</w:t>
      </w:r>
      <w:r>
        <w:rPr>
          <w:rFonts w:eastAsia="Times New Roman"/>
        </w:rPr>
        <w:t xml:space="preserve"> Ford uses </w:t>
      </w:r>
      <w:r>
        <w:rPr>
          <w:rFonts w:eastAsia="Times New Roman"/>
          <w:b/>
          <w:bCs/>
        </w:rPr>
        <w:t>Incentive Compatibility</w:t>
      </w:r>
      <w:r>
        <w:rPr>
          <w:rFonts w:eastAsia="Times New Roman"/>
        </w:rPr>
        <w:t xml:space="preserve"> by differentiating the </w:t>
      </w:r>
      <w:hyperlink r:id="rId18" w:anchor="sv=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" w:history="1">
        <w:r>
          <w:rPr>
            <w:rStyle w:val="Hyperlink"/>
            <w:rFonts w:eastAsia="Times New Roman"/>
          </w:rPr>
          <w:t>Bronco</w:t>
        </w:r>
      </w:hyperlink>
      <w:r>
        <w:rPr>
          <w:rFonts w:eastAsia="Times New Roman"/>
        </w:rPr>
        <w:t xml:space="preserve"> through "lifestyle utility" (removable doors, heritage styling). By adding specific disutilities (e.g., higher wind noise), they ensure the </w:t>
      </w:r>
      <w:hyperlink r:id="rId19" w:anchor="sv=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" w:history="1">
        <w:r>
          <w:rPr>
            <w:rStyle w:val="Hyperlink"/>
            <w:rFonts w:eastAsia="Times New Roman"/>
          </w:rPr>
          <w:t>Bronco</w:t>
        </w:r>
      </w:hyperlink>
      <w:r>
        <w:rPr>
          <w:rFonts w:eastAsia="Times New Roman"/>
        </w:rPr>
        <w:t xml:space="preserve"> captures customers from Jeep and Land Rover rather than deflecting them from Ford’s own internal product line.</w:t>
      </w:r>
    </w:p>
    <w:p w14:paraId="766215B1" w14:textId="77777777" w:rsidR="00454CF9" w:rsidRDefault="00454CF9">
      <w:pPr>
        <w:spacing w:after="0"/>
        <w:rPr>
          <w:rFonts w:eastAsia="Times New Roman"/>
        </w:rPr>
      </w:pPr>
      <w:r>
        <w:rPr>
          <w:rFonts w:eastAsia="Times New Roman"/>
          <w:noProof/>
        </w:rPr>
        <w:lastRenderedPageBreak/>
        <mc:AlternateContent>
          <mc:Choice Requires="wps">
            <w:drawing>
              <wp:inline distT="0" distB="0" distL="0" distR="0" wp14:anchorId="072E38C5" wp14:editId="13449252">
                <wp:extent cx="5943600" cy="4445"/>
                <wp:effectExtent l="0" t="31750" r="0" b="36830"/>
                <wp:docPr id="111142085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CBD4FB" id="Rectangle 3"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2BE71AEB" w14:textId="77777777" w:rsidR="00454CF9" w:rsidRDefault="00454CF9">
      <w:pPr>
        <w:pStyle w:val="Heading2"/>
        <w:rPr>
          <w:rFonts w:eastAsia="Times New Roman"/>
          <w:sz w:val="30"/>
          <w:szCs w:val="30"/>
        </w:rPr>
      </w:pPr>
      <w:r>
        <w:rPr>
          <w:rFonts w:eastAsia="Times New Roman"/>
          <w:sz w:val="30"/>
          <w:szCs w:val="30"/>
        </w:rPr>
        <w:t>V. Stability Analysis and Empirical Evidence</w:t>
      </w:r>
    </w:p>
    <w:p w14:paraId="5C006756" w14:textId="77777777" w:rsidR="00454CF9" w:rsidRDefault="00454CF9">
      <w:pPr>
        <w:rPr>
          <w:rFonts w:eastAsia="Times New Roman"/>
        </w:rPr>
      </w:pPr>
      <w:r>
        <w:rPr>
          <w:rFonts w:eastAsia="Times New Roman"/>
        </w:rPr>
        <w:t xml:space="preserve">To determine if this equilibrium is stable, we evaluate the Bronco's pricing and volume data against the </w:t>
      </w:r>
      <w:r>
        <w:rPr>
          <w:rFonts w:eastAsia="Times New Roman"/>
          <w:b/>
          <w:bCs/>
        </w:rPr>
        <w:t>Potential Profit Constraint</w:t>
      </w:r>
      <w:r>
        <w:rPr>
          <w:rFonts w:eastAsia="Times New Roman"/>
        </w:rPr>
        <w:t xml:space="preserve"> ($\Omega$).</w:t>
      </w:r>
    </w:p>
    <w:p w14:paraId="16893067" w14:textId="77777777" w:rsidR="00454CF9" w:rsidRDefault="00454CF9">
      <w:pPr>
        <w:pStyle w:val="Heading2"/>
        <w:rPr>
          <w:rFonts w:eastAsia="Times New Roman"/>
          <w:sz w:val="24"/>
          <w:szCs w:val="24"/>
        </w:rPr>
      </w:pPr>
      <w:r>
        <w:rPr>
          <w:rFonts w:eastAsia="Times New Roman"/>
          <w:sz w:val="24"/>
          <w:szCs w:val="24"/>
        </w:rPr>
        <w:t>5.1. Data as Evidence</w:t>
      </w:r>
    </w:p>
    <w:p w14:paraId="281290F3" w14:textId="77777777" w:rsidR="00454CF9" w:rsidRDefault="00454CF9" w:rsidP="00454CF9">
      <w:pPr>
        <w:numPr>
          <w:ilvl w:val="0"/>
          <w:numId w:val="5"/>
        </w:numPr>
        <w:spacing w:before="100" w:beforeAutospacing="1" w:after="100" w:afterAutospacing="1" w:line="240" w:lineRule="auto"/>
        <w:rPr>
          <w:rFonts w:eastAsia="Times New Roman"/>
        </w:rPr>
      </w:pPr>
      <w:r>
        <w:rPr>
          <w:rFonts w:eastAsia="Times New Roman"/>
          <w:b/>
          <w:bCs/>
        </w:rPr>
        <w:t>Pricing:</w:t>
      </w:r>
      <w:r>
        <w:rPr>
          <w:rFonts w:eastAsia="Times New Roman"/>
        </w:rPr>
        <w:t xml:space="preserve"> The </w:t>
      </w:r>
      <w:hyperlink r:id="rId20" w:anchor="sv=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" w:history="1">
        <w:r>
          <w:rPr>
            <w:rStyle w:val="Hyperlink"/>
            <w:rFonts w:eastAsia="Times New Roman"/>
          </w:rPr>
          <w:t>Bronco</w:t>
        </w:r>
      </w:hyperlink>
      <w:r>
        <w:rPr>
          <w:rFonts w:eastAsia="Times New Roman"/>
        </w:rPr>
        <w:t xml:space="preserve">’s MSRP ($39,630 – $90,035) allows it to "bracket" the market. It is priced as a premium over the </w:t>
      </w:r>
      <w:hyperlink r:id="rId21" w:anchor="sv=CBwSsAQK-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" w:history="1">
        <w:r>
          <w:rPr>
            <w:rStyle w:val="Hyperlink"/>
            <w:rFonts w:eastAsia="Times New Roman"/>
          </w:rPr>
          <w:t>Duster</w:t>
        </w:r>
      </w:hyperlink>
      <w:r>
        <w:rPr>
          <w:rFonts w:eastAsia="Times New Roman"/>
        </w:rPr>
        <w:t xml:space="preserve"> but as a value proposition against the </w:t>
      </w:r>
      <w:hyperlink r:id="rId22" w:anchor="sv=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_8G" w:history="1">
        <w:r>
          <w:rPr>
            <w:rStyle w:val="Hyperlink"/>
            <w:rFonts w:eastAsia="Times New Roman"/>
          </w:rPr>
          <w:t>Defender</w:t>
        </w:r>
      </w:hyperlink>
      <w:r>
        <w:rPr>
          <w:rFonts w:eastAsia="Times New Roman"/>
        </w:rPr>
        <w:t>.</w:t>
      </w:r>
    </w:p>
    <w:p w14:paraId="6B4F7039" w14:textId="77777777" w:rsidR="00454CF9" w:rsidRDefault="00454CF9" w:rsidP="00454CF9">
      <w:pPr>
        <w:numPr>
          <w:ilvl w:val="0"/>
          <w:numId w:val="5"/>
        </w:numPr>
        <w:spacing w:before="100" w:beforeAutospacing="1" w:after="100" w:afterAutospacing="1" w:line="240" w:lineRule="auto"/>
        <w:rPr>
          <w:rFonts w:eastAsia="Times New Roman"/>
        </w:rPr>
      </w:pPr>
      <w:r>
        <w:rPr>
          <w:rFonts w:eastAsia="Times New Roman"/>
          <w:b/>
          <w:bCs/>
        </w:rPr>
        <w:t>Sales Volume:</w:t>
      </w:r>
      <w:r>
        <w:rPr>
          <w:rFonts w:eastAsia="Times New Roman"/>
        </w:rPr>
        <w:t xml:space="preserve"> With ~105,646 units sold in 2023, Ford has proven that the "Middle Node" has massive demand density ($D(x)$) when the engineering trade-off is resolved.</w:t>
      </w:r>
    </w:p>
    <w:p w14:paraId="61913284" w14:textId="77777777" w:rsidR="00454CF9" w:rsidRDefault="00454CF9" w:rsidP="00454CF9">
      <w:pPr>
        <w:numPr>
          <w:ilvl w:val="0"/>
          <w:numId w:val="5"/>
        </w:numPr>
        <w:spacing w:before="100" w:beforeAutospacing="1" w:after="100" w:afterAutospacing="1" w:line="240" w:lineRule="auto"/>
        <w:rPr>
          <w:rFonts w:eastAsia="Times New Roman"/>
        </w:rPr>
      </w:pPr>
      <w:r>
        <w:rPr>
          <w:rFonts w:eastAsia="Times New Roman"/>
          <w:b/>
          <w:bCs/>
        </w:rPr>
        <w:t>Resilience:</w:t>
      </w:r>
      <w:r>
        <w:rPr>
          <w:rFonts w:eastAsia="Times New Roman"/>
        </w:rPr>
        <w:t xml:space="preserve"> High resale values and low inventory "days-to-turn" indicate that the </w:t>
      </w:r>
      <w:hyperlink r:id="rId23" w:anchor="sv=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_9TTCA" w:history="1">
        <w:r>
          <w:rPr>
            <w:rStyle w:val="Hyperlink"/>
            <w:rFonts w:eastAsia="Times New Roman"/>
          </w:rPr>
          <w:t>Bronco</w:t>
        </w:r>
      </w:hyperlink>
      <w:r>
        <w:rPr>
          <w:rFonts w:eastAsia="Times New Roman"/>
        </w:rPr>
        <w:t>’s prominence is not being eroded by price wars.</w:t>
      </w:r>
    </w:p>
    <w:p w14:paraId="1A4BDCE1" w14:textId="77777777" w:rsidR="00454CF9" w:rsidRDefault="00454CF9">
      <w:pPr>
        <w:pStyle w:val="Heading2"/>
        <w:rPr>
          <w:rFonts w:eastAsia="Times New Roman"/>
          <w:sz w:val="24"/>
          <w:szCs w:val="24"/>
        </w:rPr>
      </w:pPr>
      <w:r>
        <w:rPr>
          <w:rFonts w:eastAsia="Times New Roman"/>
          <w:sz w:val="24"/>
          <w:szCs w:val="24"/>
        </w:rPr>
        <w:t>5.2. Stability Verdict</w:t>
      </w:r>
    </w:p>
    <w:p w14:paraId="1BE578E2" w14:textId="2A5CCA9E" w:rsidR="00A7161B" w:rsidRDefault="00454CF9">
      <w:pPr>
        <w:rPr>
          <w:rFonts w:eastAsia="Times New Roman"/>
        </w:rPr>
      </w:pPr>
      <w:r>
        <w:rPr>
          <w:rFonts w:eastAsia="Times New Roman"/>
        </w:rPr>
        <w:t xml:space="preserve">The Bronco's position is </w:t>
      </w:r>
      <w:r>
        <w:rPr>
          <w:rFonts w:eastAsia="Times New Roman"/>
          <w:b/>
          <w:bCs/>
        </w:rPr>
        <w:t>locally stable</w:t>
      </w:r>
      <w:r>
        <w:rPr>
          <w:rFonts w:eastAsia="Times New Roman"/>
        </w:rPr>
        <w:t xml:space="preserve"> due to the high "Barrier to Entry" created by its R&amp;D. However, the equilibrium is </w:t>
      </w:r>
      <w:r>
        <w:rPr>
          <w:rFonts w:eastAsia="Times New Roman"/>
          <w:b/>
          <w:bCs/>
        </w:rPr>
        <w:t>globally unstable</w:t>
      </w:r>
      <w:r>
        <w:rPr>
          <w:rFonts w:eastAsia="Times New Roman"/>
        </w:rPr>
        <w:t xml:space="preserve"> in the long term. As competitors like Toyota and Jeep invest to reach the same linear frontier, $\sum Pr_j$ will increase, eventually dragging the </w:t>
      </w:r>
      <w:hyperlink r:id="rId24" w:anchor="sv=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_aBg" w:history="1">
        <w:r>
          <w:rPr>
            <w:rStyle w:val="Hyperlink"/>
            <w:rFonts w:eastAsia="Times New Roman"/>
          </w:rPr>
          <w:t>Bronco</w:t>
        </w:r>
      </w:hyperlink>
      <w:r>
        <w:rPr>
          <w:rFonts w:eastAsia="Times New Roman"/>
        </w:rPr>
        <w:t xml:space="preserve"> back into a price-competitive MSNE. For now, the </w:t>
      </w:r>
      <w:hyperlink r:id="rId25" w:anchor="sv=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" w:history="1">
        <w:r>
          <w:rPr>
            <w:rStyle w:val="Hyperlink"/>
            <w:rFonts w:eastAsia="Times New Roman"/>
          </w:rPr>
          <w:t>Bronco</w:t>
        </w:r>
      </w:hyperlink>
      <w:r>
        <w:rPr>
          <w:rFonts w:eastAsia="Times New Roman"/>
        </w:rPr>
        <w:t xml:space="preserve"> remains the "Dominant Strategy" for the hybrid consumer, extracting a significant R&amp;D premium.</w:t>
      </w:r>
    </w:p>
    <w:p w14:paraId="2AF7BD55" w14:textId="46D95D84" w:rsidR="00454CF9" w:rsidRDefault="00454CF9">
      <w:pPr>
        <w:rPr>
          <w:rFonts w:eastAsia="Times New Roman"/>
        </w:rPr>
      </w:pPr>
      <w:r>
        <w:rPr>
          <w:rFonts w:eastAsia="Times New Roman"/>
          <w:noProof/>
        </w:rPr>
        <mc:AlternateContent>
          <mc:Choice Requires="wps">
            <w:drawing>
              <wp:inline distT="0" distB="0" distL="0" distR="0" wp14:anchorId="48AE0278" wp14:editId="56A195A7">
                <wp:extent cx="5943600" cy="4445"/>
                <wp:effectExtent l="0" t="31750" r="0" b="36830"/>
                <wp:docPr id="178627603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4DF76B" id="Rectangle 2"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29447B27" w14:textId="77777777" w:rsidR="00683C01" w:rsidRDefault="00683C01">
      <w:pPr>
        <w:pStyle w:val="Heading2"/>
        <w:rPr>
          <w:rFonts w:eastAsia="Times New Roman"/>
          <w:kern w:val="0"/>
          <w:sz w:val="30"/>
          <w:szCs w:val="30"/>
          <w14:ligatures w14:val="none"/>
        </w:rPr>
      </w:pPr>
      <w:r>
        <w:rPr>
          <w:rFonts w:eastAsia="Times New Roman"/>
          <w:sz w:val="30"/>
          <w:szCs w:val="30"/>
        </w:rPr>
        <w:t>IV.3. Empirical Evidence of Internal Cannibalization and Production Persistence</w:t>
      </w:r>
    </w:p>
    <w:p w14:paraId="4335400A" w14:textId="77777777" w:rsidR="00683C01" w:rsidRDefault="00683C01">
      <w:pPr>
        <w:rPr>
          <w:rFonts w:eastAsia="Times New Roman"/>
        </w:rPr>
      </w:pPr>
      <w:r>
        <w:rPr>
          <w:rFonts w:eastAsia="Times New Roman"/>
        </w:rPr>
        <w:t>The introduction of the Bronco into Ford’s multi-node product chain provides a longitudinal case study in managed internal cannibalization. Within the framework of mechanism design, the "Internal Cartel" of a firm is successful if the marginal profit gained from the new entrant exceeds the marginal profit lost from existing nodes.</w:t>
      </w:r>
    </w:p>
    <w:p w14:paraId="6CE6944D" w14:textId="77777777" w:rsidR="00683C01" w:rsidRDefault="00683C01">
      <w:pPr>
        <w:pStyle w:val="Heading2"/>
        <w:rPr>
          <w:rFonts w:eastAsia="Times New Roman"/>
          <w:sz w:val="24"/>
          <w:szCs w:val="24"/>
        </w:rPr>
      </w:pPr>
      <w:r>
        <w:rPr>
          <w:rFonts w:eastAsia="Times New Roman"/>
          <w:sz w:val="24"/>
          <w:szCs w:val="24"/>
        </w:rPr>
        <w:t>A. Evidence of Intra-Firm Displacement</w:t>
      </w:r>
    </w:p>
    <w:p w14:paraId="64D4318D" w14:textId="77777777" w:rsidR="00683C01" w:rsidRDefault="00683C01">
      <w:pPr>
        <w:rPr>
          <w:rFonts w:eastAsia="Times New Roman"/>
        </w:rPr>
      </w:pPr>
      <w:r>
        <w:rPr>
          <w:rFonts w:eastAsia="Times New Roman"/>
        </w:rPr>
        <w:t xml:space="preserve">Empirical sales data following the Bronco's 2021 relaunch suggests that while the model successfully "swept" demand from the Jeep Wrangler node, it also induced a measurable shift in Ford’s internal equilibrium. Specifically, the </w:t>
      </w:r>
      <w:r>
        <w:rPr>
          <w:rFonts w:eastAsia="Times New Roman"/>
          <w:b/>
          <w:bCs/>
        </w:rPr>
        <w:t>Ford Edge</w:t>
      </w:r>
      <w:r>
        <w:rPr>
          <w:rFonts w:eastAsia="Times New Roman"/>
        </w:rPr>
        <w:t>—a mid-size crossover occupying a proximal coordinate on the agility-exploration spectrum—experienced a notable decline in market prominence.</w:t>
      </w:r>
    </w:p>
    <w:p w14:paraId="3B7DD77F" w14:textId="77777777" w:rsidR="00683C01" w:rsidRDefault="00683C01">
      <w:pPr>
        <w:rPr>
          <w:rFonts w:eastAsia="Times New Roman"/>
        </w:rPr>
      </w:pPr>
      <w:r>
        <w:rPr>
          <w:rFonts w:eastAsia="Times New Roman"/>
        </w:rPr>
        <w:lastRenderedPageBreak/>
        <w:t>Industry analysis indicates that a significant percentage of Bronco "Outer Banks" and "Big Bend" buyers (the more urban-focused trims) were former or prospective Ford Edge and Explorer owners. This suggests that the "Lifestyle" sub-segment of the market perceived the Bronco’s superior linear frontier as a dominant substitute for Ford’s existing "1/x" constrained crossovers. Consequently, Ford’s decision to phase out the Edge in several markets can be interpreted as a strategic "node pruning" to satisfy the firm's global profit constraint and reduce internal friction.</w:t>
      </w:r>
    </w:p>
    <w:p w14:paraId="65C104D7" w14:textId="77777777" w:rsidR="00683C01" w:rsidRDefault="00683C01">
      <w:pPr>
        <w:pStyle w:val="Heading2"/>
        <w:rPr>
          <w:rFonts w:eastAsia="Times New Roman"/>
          <w:sz w:val="24"/>
          <w:szCs w:val="24"/>
        </w:rPr>
      </w:pPr>
      <w:r>
        <w:rPr>
          <w:rFonts w:eastAsia="Times New Roman"/>
          <w:sz w:val="24"/>
          <w:szCs w:val="24"/>
        </w:rPr>
        <w:t>B. The Explorer Buffer</w:t>
      </w:r>
    </w:p>
    <w:p w14:paraId="38E3A6EA" w14:textId="77777777" w:rsidR="00683C01" w:rsidRDefault="00683C01">
      <w:pPr>
        <w:rPr>
          <w:rFonts w:eastAsia="Times New Roman"/>
        </w:rPr>
      </w:pPr>
      <w:r>
        <w:rPr>
          <w:rFonts w:eastAsia="Times New Roman"/>
        </w:rPr>
        <w:t xml:space="preserve">In contrast, the </w:t>
      </w:r>
      <w:r>
        <w:rPr>
          <w:rFonts w:eastAsia="Times New Roman"/>
          <w:b/>
          <w:bCs/>
        </w:rPr>
        <w:t>Ford Explorer</w:t>
      </w:r>
      <w:r>
        <w:rPr>
          <w:rFonts w:eastAsia="Times New Roman"/>
        </w:rPr>
        <w:t xml:space="preserve"> maintained higher resilience against Bronco-driven cannibalization. This is attributed to successful </w:t>
      </w:r>
      <w:r>
        <w:rPr>
          <w:rFonts w:eastAsia="Times New Roman"/>
          <w:b/>
          <w:bCs/>
        </w:rPr>
        <w:t>Spatial Partitioning</w:t>
      </w:r>
      <w:r>
        <w:rPr>
          <w:rFonts w:eastAsia="Times New Roman"/>
        </w:rPr>
        <w:t>: by strictly maintaining the Explorer as a three-row family vehicle and the Bronco as a two/four-door lifestyle off-roader, Ford utilized a secondary attribute (passenger capacity) to prevent the two models from occupying the same coordinate in the consumer's mental map. This differentiation ensured that the Participation Constraint of the "Family" demographic remained anchored to the Explorer, while the "Adventurer" moved to the Bronco.</w:t>
      </w:r>
    </w:p>
    <w:p w14:paraId="10872DB0" w14:textId="77777777" w:rsidR="00683C01" w:rsidRDefault="00683C01">
      <w:pPr>
        <w:pStyle w:val="Heading2"/>
        <w:rPr>
          <w:rFonts w:eastAsia="Times New Roman"/>
          <w:sz w:val="24"/>
          <w:szCs w:val="24"/>
        </w:rPr>
      </w:pPr>
      <w:r>
        <w:rPr>
          <w:rFonts w:eastAsia="Times New Roman"/>
          <w:sz w:val="24"/>
          <w:szCs w:val="24"/>
        </w:rPr>
        <w:t>C. Persistence and Production Viability</w:t>
      </w:r>
    </w:p>
    <w:p w14:paraId="2CF061C6" w14:textId="77777777" w:rsidR="00683C01" w:rsidRDefault="00683C01">
      <w:pPr>
        <w:rPr>
          <w:rFonts w:eastAsia="Times New Roman"/>
        </w:rPr>
      </w:pPr>
      <w:r>
        <w:rPr>
          <w:rFonts w:eastAsia="Times New Roman"/>
        </w:rPr>
        <w:t xml:space="preserve">Despite these internal shifts, the Bronco has proven to be a </w:t>
      </w:r>
      <w:r>
        <w:rPr>
          <w:rFonts w:eastAsia="Times New Roman"/>
          <w:b/>
          <w:bCs/>
        </w:rPr>
        <w:t>High-Powered Incentive</w:t>
      </w:r>
      <w:r>
        <w:rPr>
          <w:rFonts w:eastAsia="Times New Roman"/>
        </w:rPr>
        <w:t xml:space="preserve"> for the firm’s bottom line. As of 2024, the Ford Bronco remains in high-volume production, characterized by one of the highest Average Transaction Prices (ATPs) in the non-luxury SUV segment. The model’s persistence is justified by its superior Producer Surplus; even accounting for the "stolen" sales from the Edge or Explorer, the Bronco's unique position on the linear engineering frontier allows Ford to extract a premium that far outweighs the opportunity cost of internal cannibalization.</w:t>
      </w:r>
    </w:p>
    <w:p w14:paraId="1CE3C28C" w14:textId="77777777" w:rsidR="00683C01" w:rsidRDefault="00683C01">
      <w:pPr>
        <w:rPr>
          <w:rFonts w:eastAsia="Times New Roman"/>
        </w:rPr>
      </w:pPr>
      <w:r>
        <w:rPr>
          <w:rFonts w:eastAsia="Times New Roman"/>
        </w:rPr>
        <w:t>The continued expansion of the Bronco line (e.g., the Raptor and Heritage editions) suggests that the "Cartel HQ" views the model not as a disruptor of internal stability, but as a critical anchor that prevents external rivals from capturing the high-value "Middle Node" of the off-roader market.</w:t>
      </w:r>
    </w:p>
    <w:p w14:paraId="5D225DAD" w14:textId="4E655596" w:rsidR="00683C01" w:rsidRPr="008E3F8F" w:rsidRDefault="00683C01" w:rsidP="008E3F8F">
      <w:pPr>
        <w:rPr>
          <w:rFonts w:eastAsia="Times New Roman"/>
        </w:rPr>
      </w:pPr>
      <w:r>
        <w:rPr>
          <w:rFonts w:eastAsia="Times New Roman"/>
          <w:noProof/>
        </w:rPr>
        <mc:AlternateContent>
          <mc:Choice Requires="wps">
            <w:drawing>
              <wp:inline distT="0" distB="0" distL="0" distR="0" wp14:anchorId="7C4E12AF" wp14:editId="5A2FBB88">
                <wp:extent cx="5943600" cy="4445"/>
                <wp:effectExtent l="0" t="31750" r="0" b="36830"/>
                <wp:docPr id="16242207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673C207" id="Rectangle 1"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7D273CDE" w14:textId="44D5E797" w:rsidR="00454CF9" w:rsidRDefault="00454CF9">
      <w:pPr>
        <w:pStyle w:val="Heading2"/>
        <w:rPr>
          <w:rFonts w:eastAsia="Times New Roman"/>
          <w:sz w:val="30"/>
          <w:szCs w:val="30"/>
        </w:rPr>
      </w:pPr>
      <w:r>
        <w:rPr>
          <w:rFonts w:eastAsia="Times New Roman"/>
          <w:sz w:val="30"/>
          <w:szCs w:val="30"/>
        </w:rPr>
        <w:t>VI. Conclusion</w:t>
      </w:r>
    </w:p>
    <w:p w14:paraId="65570C6E" w14:textId="77777777" w:rsidR="00454CF9" w:rsidRDefault="00454CF9">
      <w:pPr>
        <w:rPr>
          <w:rFonts w:eastAsia="Times New Roman"/>
        </w:rPr>
      </w:pPr>
      <w:r>
        <w:rPr>
          <w:rFonts w:eastAsia="Times New Roman"/>
        </w:rPr>
        <w:t xml:space="preserve">The </w:t>
      </w:r>
      <w:hyperlink r:id="rId26" w:anchor="sv=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" w:history="1">
        <w:r>
          <w:rPr>
            <w:rStyle w:val="Hyperlink"/>
            <w:rFonts w:eastAsia="Times New Roman"/>
          </w:rPr>
          <w:t>Ford Bronco</w:t>
        </w:r>
      </w:hyperlink>
      <w:r>
        <w:rPr>
          <w:rFonts w:eastAsia="Times New Roman"/>
        </w:rPr>
        <w:t xml:space="preserve"> case study demonstrates that firms can escape the "PPAD-complete" chaos of a crowded market by investing in R&amp;D to shift the engineering frontier. By moving from a $1/x$ curve to a linear relationship, a firm can occupy a unique spatial coordinate, satisfying both the participation constraints of the buyer and the profitability constraints of the firm. The modern automotive landscape is thus a physical map of which firms are "stuck" on the curve and which have the capital to straighten it.</w:t>
      </w:r>
    </w:p>
    <w:p w14:paraId="5784B47F" w14:textId="77777777" w:rsidR="00454CF9" w:rsidRDefault="00454CF9">
      <w:pPr>
        <w:rPr>
          <w:rFonts w:eastAsia="Times New Roman"/>
        </w:rPr>
      </w:pPr>
      <w:r>
        <w:rPr>
          <w:rFonts w:eastAsia="Times New Roman"/>
          <w:noProof/>
        </w:rPr>
        <w:lastRenderedPageBreak/>
        <mc:AlternateContent>
          <mc:Choice Requires="wps">
            <w:drawing>
              <wp:inline distT="0" distB="0" distL="0" distR="0" wp14:anchorId="0FF6FC44" wp14:editId="113872F4">
                <wp:extent cx="5943600" cy="4445"/>
                <wp:effectExtent l="0" t="31750" r="0" b="36830"/>
                <wp:docPr id="160375143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D3B481" id="Rectangle 1"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6A7E846B" w14:textId="34625E79" w:rsidR="00454CF9" w:rsidRDefault="00454CF9">
      <w:pPr>
        <w:spacing w:after="0"/>
        <w:rPr>
          <w:rFonts w:eastAsia="Times New Roman"/>
        </w:rPr>
      </w:pPr>
    </w:p>
    <w:p w14:paraId="12AAFAD4" w14:textId="77777777" w:rsidR="00454CF9" w:rsidRDefault="00454CF9">
      <w:pPr>
        <w:rPr>
          <w:rFonts w:eastAsia="Times New Roman"/>
        </w:rPr>
      </w:pPr>
    </w:p>
    <w:p w14:paraId="51F655BF" w14:textId="77777777" w:rsidR="00454CF9" w:rsidRDefault="00454CF9"/>
    <w:p w14:paraId="6F8BF227" w14:textId="77777777" w:rsidR="00A960F0" w:rsidRDefault="00A960F0"/>
    <w:p w14:paraId="2EF3A643" w14:textId="77777777" w:rsidR="00A960F0" w:rsidRDefault="00A960F0"/>
    <w:p w14:paraId="719EFA4D" w14:textId="77777777" w:rsidR="00A960F0" w:rsidRDefault="00A960F0"/>
    <w:p w14:paraId="3184E008" w14:textId="77777777" w:rsidR="00A960F0" w:rsidRDefault="00A960F0"/>
    <w:p w14:paraId="1BD75A11" w14:textId="77777777" w:rsidR="00A960F0" w:rsidRDefault="00A960F0"/>
    <w:p w14:paraId="34B38CC5" w14:textId="77777777" w:rsidR="00A960F0" w:rsidRDefault="00A960F0"/>
    <w:p w14:paraId="2482F264" w14:textId="77777777" w:rsidR="00A960F0" w:rsidRDefault="00A960F0"/>
    <w:p w14:paraId="76C7F8D5" w14:textId="77777777" w:rsidR="00A960F0" w:rsidRDefault="00A960F0"/>
    <w:p w14:paraId="0F56E093" w14:textId="77777777" w:rsidR="00A960F0" w:rsidRDefault="00A960F0"/>
    <w:p w14:paraId="6BF5874E" w14:textId="77777777" w:rsidR="00A960F0" w:rsidRDefault="00A960F0"/>
    <w:p w14:paraId="5DEDB76A" w14:textId="77777777" w:rsidR="00A960F0" w:rsidRDefault="00A960F0"/>
    <w:p w14:paraId="02B071CF" w14:textId="77777777" w:rsidR="00A960F0" w:rsidRDefault="00A960F0"/>
    <w:p w14:paraId="24968350" w14:textId="77777777" w:rsidR="00A960F0" w:rsidRDefault="00A960F0"/>
    <w:p w14:paraId="333FC941" w14:textId="77777777" w:rsidR="00A960F0" w:rsidRDefault="00A960F0"/>
    <w:p w14:paraId="167C33BB" w14:textId="77777777" w:rsidR="00A960F0" w:rsidRDefault="00A960F0"/>
    <w:p w14:paraId="6D96AAA3" w14:textId="77777777" w:rsidR="00A960F0" w:rsidRDefault="00A960F0"/>
    <w:p w14:paraId="215DBCE1" w14:textId="77777777" w:rsidR="00A960F0" w:rsidRDefault="00A960F0"/>
    <w:p w14:paraId="0E1532A8" w14:textId="77777777" w:rsidR="00A960F0" w:rsidRDefault="00A960F0"/>
    <w:p w14:paraId="1C6B6F7A" w14:textId="77777777" w:rsidR="00A960F0" w:rsidRDefault="00A960F0"/>
    <w:p w14:paraId="0052216A" w14:textId="77777777" w:rsidR="00A960F0" w:rsidRDefault="00A960F0"/>
    <w:p w14:paraId="366BA9A0" w14:textId="77777777" w:rsidR="00A960F0" w:rsidRDefault="00A960F0"/>
    <w:p w14:paraId="7BFBFC45" w14:textId="77777777" w:rsidR="00A960F0" w:rsidRDefault="00A960F0"/>
    <w:p w14:paraId="6885493F" w14:textId="77777777" w:rsidR="00A960F0" w:rsidRDefault="00A960F0">
      <w:pPr>
        <w:pStyle w:val="Heading2"/>
        <w:rPr>
          <w:rFonts w:eastAsia="Times New Roman"/>
          <w:kern w:val="0"/>
          <w:sz w:val="30"/>
          <w:szCs w:val="30"/>
          <w14:ligatures w14:val="none"/>
        </w:rPr>
      </w:pPr>
      <w:r>
        <w:rPr>
          <w:rFonts w:eastAsia="Times New Roman"/>
          <w:sz w:val="30"/>
          <w:szCs w:val="30"/>
        </w:rPr>
        <w:lastRenderedPageBreak/>
        <w:t>The Architectonics of Global Stability: A Spatial Mechanism Design for Superpower Bipolarity</w:t>
      </w:r>
    </w:p>
    <w:p w14:paraId="5C57DA5D" w14:textId="77777777" w:rsidR="00A960F0" w:rsidRDefault="00A960F0">
      <w:pPr>
        <w:rPr>
          <w:rFonts w:eastAsia="Times New Roman"/>
        </w:rPr>
      </w:pPr>
      <w:r>
        <w:rPr>
          <w:rFonts w:eastAsia="Times New Roman"/>
          <w:b/>
          <w:bCs/>
        </w:rPr>
        <w:t>Date:</w:t>
      </w:r>
      <w:r>
        <w:rPr>
          <w:rFonts w:eastAsia="Times New Roman"/>
        </w:rPr>
        <w:t xml:space="preserve"> April 29, 2026</w:t>
      </w:r>
      <w:r>
        <w:rPr>
          <w:rFonts w:eastAsia="Times New Roman"/>
        </w:rPr>
        <w:br/>
      </w:r>
      <w:r>
        <w:rPr>
          <w:rFonts w:eastAsia="Times New Roman"/>
          <w:b/>
          <w:bCs/>
        </w:rPr>
        <w:t>Classification:</w:t>
      </w:r>
      <w:r>
        <w:rPr>
          <w:rFonts w:eastAsia="Times New Roman"/>
        </w:rPr>
        <w:t xml:space="preserve"> Strategic Policy Paper</w:t>
      </w:r>
      <w:r>
        <w:rPr>
          <w:rFonts w:eastAsia="Times New Roman"/>
        </w:rPr>
        <w:br/>
      </w:r>
      <w:r>
        <w:rPr>
          <w:rFonts w:eastAsia="Times New Roman"/>
          <w:b/>
          <w:bCs/>
        </w:rPr>
        <w:t>Framework:</w:t>
      </w:r>
      <w:r>
        <w:rPr>
          <w:rFonts w:eastAsia="Times New Roman"/>
        </w:rPr>
        <w:t xml:space="preserve"> Neorealist Spatial Competition &amp; Computational Game Theory</w:t>
      </w:r>
    </w:p>
    <w:p w14:paraId="316111E1" w14:textId="77777777" w:rsidR="00A960F0" w:rsidRDefault="00A960F0">
      <w:pPr>
        <w:rPr>
          <w:rFonts w:eastAsia="Times New Roman"/>
        </w:rPr>
      </w:pPr>
      <w:r>
        <w:rPr>
          <w:rFonts w:eastAsia="Times New Roman"/>
          <w:noProof/>
        </w:rPr>
        <mc:AlternateContent>
          <mc:Choice Requires="wps">
            <w:drawing>
              <wp:inline distT="0" distB="0" distL="0" distR="0" wp14:anchorId="06E61F3F" wp14:editId="454976B9">
                <wp:extent cx="5943600" cy="4445"/>
                <wp:effectExtent l="0" t="31750" r="0" b="36830"/>
                <wp:docPr id="84437109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9742F6" id="Rectangle 9"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73F7B462" w14:textId="77777777" w:rsidR="00A960F0" w:rsidRDefault="00A960F0">
      <w:pPr>
        <w:pStyle w:val="Heading2"/>
        <w:rPr>
          <w:rFonts w:eastAsia="Times New Roman"/>
          <w:sz w:val="24"/>
          <w:szCs w:val="24"/>
        </w:rPr>
      </w:pPr>
      <w:r>
        <w:rPr>
          <w:rFonts w:eastAsia="Times New Roman"/>
          <w:sz w:val="24"/>
          <w:szCs w:val="24"/>
        </w:rPr>
        <w:t>I. Abstract</w:t>
      </w:r>
    </w:p>
    <w:p w14:paraId="00D01708" w14:textId="77777777" w:rsidR="00A960F0" w:rsidRDefault="00A960F0">
      <w:pPr>
        <w:rPr>
          <w:rFonts w:eastAsia="Times New Roman"/>
        </w:rPr>
      </w:pPr>
      <w:r>
        <w:rPr>
          <w:rFonts w:eastAsia="Times New Roman"/>
        </w:rPr>
        <w:t>This paper proposes a formal resolution to the contemporary global "War Equilibrium"—specifically the prolonged theaters in Ukraine and the Persian Gulf—by synthesizing Harold Hotelling’s Model of Spatial Competition (1929) with modern algorithmic game theory. We argue that the current global instability is a result of "Spatial Chaos" arising from the computational intractability (</w:t>
      </w:r>
      <w:hyperlink r:id="rId27" w:history="1">
        <w:r>
          <w:rPr>
            <w:rStyle w:val="Hyperlink"/>
            <w:rFonts w:eastAsia="Times New Roman"/>
          </w:rPr>
          <w:t>PPAD-completeness</w:t>
        </w:r>
      </w:hyperlink>
      <w:r>
        <w:rPr>
          <w:rFonts w:eastAsia="Times New Roman"/>
        </w:rPr>
        <w:t>) of finding a stable multi-player Nash Equilibrium (NE) in an unconstrained multi-node grid. By applying the "Principle of Minimum Differentiation" at the superpower level, we demonstrate that a collusive U.S.-Russia bilateral cartel can "prune" redundant conflict nodes and establish a stable, bipolar hegemony (East vs. West). This transition replaces high-entropy "Search and Confusion" tactics with a low-entropy "Planned Development" equilibrium, effectively ending the systemic attrition of the mid-2020s.</w:t>
      </w:r>
    </w:p>
    <w:p w14:paraId="4A1031F2" w14:textId="77777777" w:rsidR="00A960F0" w:rsidRDefault="00A960F0">
      <w:pPr>
        <w:rPr>
          <w:rFonts w:eastAsia="Times New Roman"/>
        </w:rPr>
      </w:pPr>
      <w:r>
        <w:rPr>
          <w:rFonts w:eastAsia="Times New Roman"/>
          <w:noProof/>
        </w:rPr>
        <mc:AlternateContent>
          <mc:Choice Requires="wps">
            <w:drawing>
              <wp:inline distT="0" distB="0" distL="0" distR="0" wp14:anchorId="2E5C71F2" wp14:editId="2B8C297B">
                <wp:extent cx="5943600" cy="4445"/>
                <wp:effectExtent l="0" t="31750" r="0" b="36830"/>
                <wp:docPr id="110403528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9B981FA" id="Rectangle 8"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6A58F8EA" w14:textId="77777777" w:rsidR="00A960F0" w:rsidRDefault="00A960F0">
      <w:pPr>
        <w:pStyle w:val="Heading2"/>
        <w:rPr>
          <w:rFonts w:eastAsia="Times New Roman"/>
          <w:sz w:val="24"/>
          <w:szCs w:val="24"/>
        </w:rPr>
      </w:pPr>
      <w:r>
        <w:rPr>
          <w:rFonts w:eastAsia="Times New Roman"/>
          <w:sz w:val="24"/>
          <w:szCs w:val="24"/>
        </w:rPr>
        <w:t>II. The Spatial Taxonomy of Conflict: From "Linear Cities" to Global Grids</w:t>
      </w:r>
    </w:p>
    <w:p w14:paraId="725212CE" w14:textId="77777777" w:rsidR="00A960F0" w:rsidRDefault="00A960F0">
      <w:pPr>
        <w:rPr>
          <w:rFonts w:eastAsia="Times New Roman"/>
        </w:rPr>
      </w:pPr>
      <w:r>
        <w:rPr>
          <w:rFonts w:eastAsia="Times New Roman"/>
        </w:rPr>
        <w:t xml:space="preserve">In traditional industrial organization, the Hotelling model illustrates that two firms selling identical products will locate back-to-back at the center of a linear market to maximize capture. We expand this from 1D "attribute space" to a 2D </w:t>
      </w:r>
      <w:r>
        <w:rPr>
          <w:rFonts w:eastAsia="Times New Roman"/>
          <w:b/>
          <w:bCs/>
        </w:rPr>
        <w:t>Geopolitical Lattice</w:t>
      </w:r>
      <w:r>
        <w:rPr>
          <w:rFonts w:eastAsia="Times New Roman"/>
        </w:rPr>
        <w:t>.</w:t>
      </w:r>
    </w:p>
    <w:p w14:paraId="51A854F5" w14:textId="77777777" w:rsidR="00A960F0" w:rsidRDefault="00A960F0" w:rsidP="00A960F0">
      <w:pPr>
        <w:numPr>
          <w:ilvl w:val="0"/>
          <w:numId w:val="8"/>
        </w:numPr>
        <w:spacing w:before="100" w:beforeAutospacing="1" w:after="100" w:afterAutospacing="1" w:line="240" w:lineRule="auto"/>
        <w:rPr>
          <w:rFonts w:eastAsia="Times New Roman"/>
        </w:rPr>
      </w:pPr>
      <w:r>
        <w:rPr>
          <w:rFonts w:eastAsia="Times New Roman"/>
          <w:b/>
          <w:bCs/>
        </w:rPr>
        <w:t>Node Discretization:</w:t>
      </w:r>
      <w:r>
        <w:rPr>
          <w:rFonts w:eastAsia="Times New Roman"/>
        </w:rPr>
        <w:t xml:space="preserve"> Territorial regions (e.g., the Donbas, the Strait of Hormuz) are treated as discretized nodes $x_i$ where superpowers allocate </w:t>
      </w:r>
      <w:r>
        <w:rPr>
          <w:rFonts w:eastAsia="Times New Roman"/>
          <w:b/>
          <w:bCs/>
        </w:rPr>
        <w:t>Probability Mass</w:t>
      </w:r>
      <w:r>
        <w:rPr>
          <w:rFonts w:eastAsia="Times New Roman"/>
        </w:rPr>
        <w:t xml:space="preserve"> (military posture).</w:t>
      </w:r>
    </w:p>
    <w:p w14:paraId="675D6CE5" w14:textId="77777777" w:rsidR="00A960F0" w:rsidRDefault="00A960F0">
      <w:pPr>
        <w:spacing w:after="0"/>
        <w:rPr>
          <w:rFonts w:eastAsia="Times New Roman"/>
        </w:rPr>
      </w:pPr>
      <w:r>
        <w:rPr>
          <w:rFonts w:eastAsia="Times New Roman"/>
          <w:noProof/>
        </w:rPr>
        <mc:AlternateContent>
          <mc:Choice Requires="wps">
            <w:drawing>
              <wp:inline distT="0" distB="0" distL="0" distR="0" wp14:anchorId="3B2021FC" wp14:editId="5AC49344">
                <wp:extent cx="5943600" cy="4445"/>
                <wp:effectExtent l="0" t="31750" r="0" b="36830"/>
                <wp:docPr id="191005905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9E51A4" id="Rectangle 7"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06278C59" w14:textId="77777777" w:rsidR="00A960F0" w:rsidRDefault="00A960F0">
      <w:pPr>
        <w:pStyle w:val="Heading2"/>
        <w:rPr>
          <w:rFonts w:eastAsia="Times New Roman"/>
          <w:sz w:val="24"/>
          <w:szCs w:val="24"/>
        </w:rPr>
      </w:pPr>
      <w:r>
        <w:rPr>
          <w:rFonts w:eastAsia="Times New Roman"/>
          <w:sz w:val="24"/>
          <w:szCs w:val="24"/>
        </w:rPr>
        <w:t>III. The Complexity Tax: PPAD-Completeness and the "Search-Confusion" Cycle</w:t>
      </w:r>
    </w:p>
    <w:p w14:paraId="363FEF2D" w14:textId="77777777" w:rsidR="00A960F0" w:rsidRDefault="00A960F0">
      <w:pPr>
        <w:rPr>
          <w:rFonts w:eastAsia="Times New Roman"/>
        </w:rPr>
      </w:pPr>
      <w:r>
        <w:rPr>
          <w:rFonts w:eastAsia="Times New Roman"/>
        </w:rPr>
        <w:t xml:space="preserve">The primary driver of modern military spending is not just tactical hardware, but the </w:t>
      </w:r>
      <w:r>
        <w:rPr>
          <w:rFonts w:eastAsia="Times New Roman"/>
          <w:b/>
          <w:bCs/>
        </w:rPr>
        <w:t>computational cost of uncertainty</w:t>
      </w:r>
      <w:r>
        <w:rPr>
          <w:rFonts w:eastAsia="Times New Roman"/>
        </w:rPr>
        <w:t>.</w:t>
      </w:r>
    </w:p>
    <w:p w14:paraId="4DC757B4" w14:textId="77777777" w:rsidR="00A960F0" w:rsidRDefault="00A960F0" w:rsidP="00A960F0">
      <w:pPr>
        <w:numPr>
          <w:ilvl w:val="0"/>
          <w:numId w:val="9"/>
        </w:numPr>
        <w:spacing w:before="100" w:beforeAutospacing="1" w:after="100" w:afterAutospacing="1" w:line="240" w:lineRule="auto"/>
        <w:rPr>
          <w:rFonts w:eastAsia="Times New Roman"/>
        </w:rPr>
      </w:pPr>
      <w:r>
        <w:rPr>
          <w:rFonts w:eastAsia="Times New Roman"/>
          <w:b/>
          <w:bCs/>
        </w:rPr>
        <w:lastRenderedPageBreak/>
        <w:t>Algorithmic Intractability:</w:t>
      </w:r>
      <w:r>
        <w:rPr>
          <w:rFonts w:eastAsia="Times New Roman"/>
        </w:rPr>
        <w:t xml:space="preserve"> Finding a Mixed Strategy Nash Equilibrium (MSNE) in a multi-node grid is PPAD-complete, meaning it is computationally impossible to "win" through pure calculation.</w:t>
      </w:r>
    </w:p>
    <w:p w14:paraId="737C83BB" w14:textId="77777777" w:rsidR="00A960F0" w:rsidRDefault="00A960F0" w:rsidP="00A960F0">
      <w:pPr>
        <w:numPr>
          <w:ilvl w:val="0"/>
          <w:numId w:val="9"/>
        </w:numPr>
        <w:spacing w:before="100" w:beforeAutospacing="1" w:after="100" w:afterAutospacing="1" w:line="240" w:lineRule="auto"/>
        <w:rPr>
          <w:rFonts w:eastAsia="Times New Roman"/>
        </w:rPr>
      </w:pPr>
      <w:r>
        <w:rPr>
          <w:rFonts w:eastAsia="Times New Roman"/>
          <w:b/>
          <w:bCs/>
        </w:rPr>
        <w:t>Confusion as Defense:</w:t>
      </w:r>
      <w:r>
        <w:rPr>
          <w:rFonts w:eastAsia="Times New Roman"/>
        </w:rPr>
        <w:t xml:space="preserve"> To exploit this, actors utilize </w:t>
      </w:r>
      <w:r>
        <w:rPr>
          <w:rFonts w:eastAsia="Times New Roman"/>
          <w:b/>
          <w:bCs/>
        </w:rPr>
        <w:t>"Confusion Tactics"</w:t>
      </w:r>
      <w:r>
        <w:rPr>
          <w:rFonts w:eastAsia="Times New Roman"/>
        </w:rPr>
        <w:t xml:space="preserve">—such as the deployment of decoys (e.g., the SAAF’s "cardboard jets" in the Border War) or mobile, hidden launchers in Iran. These tactics artificially inflate the "Search Cost" for the rival, forcing them to over-allocate their </w:t>
      </w:r>
      <w:r>
        <w:rPr>
          <w:rFonts w:eastAsia="Times New Roman"/>
          <w:b/>
          <w:bCs/>
        </w:rPr>
        <w:t>Global Budget ($B_i$)</w:t>
      </w:r>
      <w:r>
        <w:rPr>
          <w:rFonts w:eastAsia="Times New Roman"/>
        </w:rPr>
        <w:t xml:space="preserve"> to scouts rather than shooters.</w:t>
      </w:r>
    </w:p>
    <w:p w14:paraId="0AD699FE" w14:textId="77777777" w:rsidR="00A960F0" w:rsidRDefault="00A960F0" w:rsidP="00A960F0">
      <w:pPr>
        <w:numPr>
          <w:ilvl w:val="0"/>
          <w:numId w:val="9"/>
        </w:numPr>
        <w:spacing w:before="100" w:beforeAutospacing="1" w:after="100" w:afterAutospacing="1" w:line="240" w:lineRule="auto"/>
        <w:rPr>
          <w:rFonts w:eastAsia="Times New Roman"/>
        </w:rPr>
      </w:pPr>
      <w:r>
        <w:rPr>
          <w:rFonts w:eastAsia="Times New Roman"/>
          <w:b/>
          <w:bCs/>
        </w:rPr>
        <w:t>AI Intervention &amp; Algorithmic Optimization:</w:t>
      </w:r>
      <w:r>
        <w:rPr>
          <w:rFonts w:eastAsia="Times New Roman"/>
        </w:rPr>
        <w:t xml:space="preserve"> Modern entities, such as the </w:t>
      </w:r>
      <w:hyperlink r:id="rId28" w:history="1">
        <w:r>
          <w:rPr>
            <w:rStyle w:val="Hyperlink"/>
            <w:rFonts w:eastAsia="Times New Roman"/>
          </w:rPr>
          <w:t>CIA and U.S. military</w:t>
        </w:r>
      </w:hyperlink>
      <w:r>
        <w:rPr>
          <w:rFonts w:eastAsia="Times New Roman"/>
        </w:rPr>
        <w:t xml:space="preserve">, utilize Generative AI and </w:t>
      </w:r>
      <w:hyperlink r:id="rId29" w:history="1">
        <w:r>
          <w:rPr>
            <w:rStyle w:val="Hyperlink"/>
            <w:rFonts w:eastAsia="Times New Roman"/>
          </w:rPr>
          <w:t>Logit models</w:t>
        </w:r>
      </w:hyperlink>
      <w:r>
        <w:rPr>
          <w:rFonts w:eastAsia="Times New Roman"/>
        </w:rPr>
        <w:t xml:space="preserve"> to triage this entropy. Specifically, </w:t>
      </w:r>
      <w:r>
        <w:rPr>
          <w:rFonts w:eastAsia="Times New Roman"/>
          <w:b/>
          <w:bCs/>
        </w:rPr>
        <w:t>Logit-derived risk coefficients</w:t>
      </w:r>
      <w:r>
        <w:rPr>
          <w:rFonts w:eastAsia="Times New Roman"/>
        </w:rPr>
        <w:t xml:space="preserve">—predicting the probability of an attack based on variables like "distance to strategic minerals"—serve as the objective function for </w:t>
      </w:r>
      <w:r>
        <w:rPr>
          <w:rFonts w:eastAsia="Times New Roman"/>
          <w:b/>
          <w:bCs/>
        </w:rPr>
        <w:t>Ant Colony Optimization (ACO) algorithms</w:t>
      </w:r>
      <w:r>
        <w:rPr>
          <w:rFonts w:eastAsia="Times New Roman"/>
        </w:rPr>
        <w:t xml:space="preserve">. By treating risk as a "pheromone strength" across the grid, the AI generates optimized, stochastic patrol routes. This maximizes the projection of </w:t>
      </w:r>
      <w:r>
        <w:rPr>
          <w:rFonts w:eastAsia="Times New Roman"/>
          <w:b/>
          <w:bCs/>
        </w:rPr>
        <w:t>Prominence</w:t>
      </w:r>
      <w:r>
        <w:rPr>
          <w:rFonts w:eastAsia="Times New Roman"/>
        </w:rPr>
        <w:t xml:space="preserve"> while minimizing </w:t>
      </w:r>
      <w:r>
        <w:rPr>
          <w:rFonts w:eastAsia="Times New Roman"/>
          <w:b/>
          <w:bCs/>
        </w:rPr>
        <w:t>Transportation Costs ($t$)</w:t>
      </w:r>
      <w:r>
        <w:rPr>
          <w:rFonts w:eastAsia="Times New Roman"/>
        </w:rPr>
        <w:t>, creating a deterrent that is mathematically rigorous yet strategically unpredictable to the rival.</w:t>
      </w:r>
    </w:p>
    <w:p w14:paraId="5DB819DC" w14:textId="1700FDE3" w:rsidR="00A978E0" w:rsidRPr="00A978E0" w:rsidRDefault="00A978E0" w:rsidP="00A978E0">
      <w:pPr>
        <w:numPr>
          <w:ilvl w:val="0"/>
          <w:numId w:val="9"/>
        </w:numPr>
        <w:spacing w:before="100" w:beforeAutospacing="1" w:after="100" w:afterAutospacing="1" w:line="240" w:lineRule="auto"/>
        <w:rPr>
          <w:rFonts w:eastAsia="Times New Roman"/>
        </w:rPr>
      </w:pPr>
      <w:r>
        <w:rPr>
          <w:rFonts w:eastAsia="Times New Roman"/>
          <w:b/>
          <w:bCs/>
        </w:rPr>
        <w:t>The Problem of Endogeneity:</w:t>
      </w:r>
      <w:r>
        <w:rPr>
          <w:rFonts w:eastAsia="Times New Roman"/>
        </w:rPr>
        <w:t xml:space="preserve"> Superpower intervention at a node alters the node's underlying risk profile. This creates a feedback loop that obscures the true "latent utility" of a territory, leading to the </w:t>
      </w:r>
      <w:r>
        <w:rPr>
          <w:rFonts w:eastAsia="Times New Roman"/>
          <w:b/>
          <w:bCs/>
        </w:rPr>
        <w:t>Stalemate Approach</w:t>
      </w:r>
      <w:r>
        <w:rPr>
          <w:rFonts w:eastAsia="Times New Roman"/>
        </w:rPr>
        <w:t xml:space="preserve"> where neither side can "solve" the grid without total escalation</w:t>
      </w:r>
      <w:r w:rsidR="001A3378">
        <w:rPr>
          <w:rFonts w:eastAsia="Times New Roman"/>
        </w:rPr>
        <w:t xml:space="preserve">. Other solutions </w:t>
      </w:r>
      <w:r w:rsidR="00156D19">
        <w:rPr>
          <w:rFonts w:eastAsia="Times New Roman"/>
        </w:rPr>
        <w:t>l</w:t>
      </w:r>
      <w:r w:rsidR="000F7B62">
        <w:rPr>
          <w:rFonts w:eastAsia="Times New Roman"/>
        </w:rPr>
        <w:t>ike covert/clandestine operations,</w:t>
      </w:r>
      <w:r w:rsidR="00156D19">
        <w:rPr>
          <w:rFonts w:eastAsia="Times New Roman"/>
        </w:rPr>
        <w:t xml:space="preserve"> double blind </w:t>
      </w:r>
      <w:r w:rsidR="002C3DB3">
        <w:rPr>
          <w:rFonts w:eastAsia="Times New Roman"/>
        </w:rPr>
        <w:t>experiments and instrumental variables might</w:t>
      </w:r>
      <w:r w:rsidR="00FC1E37">
        <w:rPr>
          <w:rFonts w:eastAsia="Times New Roman"/>
        </w:rPr>
        <w:t xml:space="preserve"> exist but could be too </w:t>
      </w:r>
      <w:r w:rsidR="008F3F4D">
        <w:rPr>
          <w:rFonts w:eastAsia="Times New Roman"/>
        </w:rPr>
        <w:t>costly or complicated.</w:t>
      </w:r>
    </w:p>
    <w:p w14:paraId="65DE5EE4" w14:textId="77777777" w:rsidR="00A960F0" w:rsidRDefault="00A960F0">
      <w:pPr>
        <w:spacing w:after="0"/>
        <w:rPr>
          <w:rFonts w:eastAsia="Times New Roman"/>
        </w:rPr>
      </w:pPr>
      <w:r>
        <w:rPr>
          <w:rFonts w:eastAsia="Times New Roman"/>
          <w:noProof/>
        </w:rPr>
        <mc:AlternateContent>
          <mc:Choice Requires="wps">
            <w:drawing>
              <wp:inline distT="0" distB="0" distL="0" distR="0" wp14:anchorId="425285EC" wp14:editId="72E88FFD">
                <wp:extent cx="5943600" cy="4445"/>
                <wp:effectExtent l="0" t="31750" r="0" b="36830"/>
                <wp:docPr id="72477864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0572C3" id="Rectangle 6"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1EEB44D2" w14:textId="77777777" w:rsidR="00A960F0" w:rsidRDefault="00A960F0">
      <w:pPr>
        <w:pStyle w:val="Heading2"/>
        <w:rPr>
          <w:rFonts w:eastAsia="Times New Roman"/>
          <w:sz w:val="24"/>
          <w:szCs w:val="24"/>
        </w:rPr>
      </w:pPr>
      <w:r>
        <w:rPr>
          <w:rFonts w:eastAsia="Times New Roman"/>
          <w:sz w:val="24"/>
          <w:szCs w:val="24"/>
        </w:rPr>
        <w:t>IV. Case Study: The South African "Buffer" and Selective Pruning</w:t>
      </w:r>
    </w:p>
    <w:p w14:paraId="42BBE6A9" w14:textId="77777777" w:rsidR="00A960F0" w:rsidRDefault="00A960F0">
      <w:pPr>
        <w:rPr>
          <w:rFonts w:eastAsia="Times New Roman"/>
        </w:rPr>
      </w:pPr>
      <w:r>
        <w:rPr>
          <w:rFonts w:eastAsia="Times New Roman"/>
        </w:rPr>
        <w:t xml:space="preserve">The historical transition of South Africa (1989–1994) offers a master-level proof of concept for </w:t>
      </w:r>
      <w:r>
        <w:rPr>
          <w:rFonts w:eastAsia="Times New Roman"/>
          <w:b/>
          <w:bCs/>
        </w:rPr>
        <w:t>Mechanism Design over Attrition</w:t>
      </w:r>
      <w:r>
        <w:rPr>
          <w:rFonts w:eastAsia="Times New Roman"/>
        </w:rPr>
        <w:t>.</w:t>
      </w:r>
    </w:p>
    <w:p w14:paraId="3D8CA7FA" w14:textId="77777777" w:rsidR="00A960F0" w:rsidRDefault="00A960F0" w:rsidP="00A960F0">
      <w:pPr>
        <w:numPr>
          <w:ilvl w:val="0"/>
          <w:numId w:val="10"/>
        </w:numPr>
        <w:spacing w:before="100" w:beforeAutospacing="1" w:after="100" w:afterAutospacing="1" w:line="240" w:lineRule="auto"/>
        <w:rPr>
          <w:rFonts w:eastAsia="Times New Roman"/>
        </w:rPr>
      </w:pPr>
      <w:r>
        <w:rPr>
          <w:rFonts w:eastAsia="Times New Roman"/>
          <w:b/>
          <w:bCs/>
        </w:rPr>
        <w:t>Defensive Nodes:</w:t>
      </w:r>
      <w:r>
        <w:rPr>
          <w:rFonts w:eastAsia="Times New Roman"/>
        </w:rPr>
        <w:t xml:space="preserve"> The SADF maintained Namibia as a "sub-profitable node" purely to deny the Soviet "firm" a direct border with their primary market.</w:t>
      </w:r>
    </w:p>
    <w:p w14:paraId="5814FFB4" w14:textId="77777777" w:rsidR="00A960F0" w:rsidRDefault="00A960F0" w:rsidP="00A960F0">
      <w:pPr>
        <w:numPr>
          <w:ilvl w:val="0"/>
          <w:numId w:val="10"/>
        </w:numPr>
        <w:spacing w:before="100" w:beforeAutospacing="1" w:after="100" w:afterAutospacing="1" w:line="240" w:lineRule="auto"/>
        <w:rPr>
          <w:rFonts w:eastAsia="Times New Roman"/>
        </w:rPr>
      </w:pPr>
      <w:r>
        <w:rPr>
          <w:rFonts w:eastAsia="Times New Roman"/>
          <w:b/>
          <w:bCs/>
        </w:rPr>
        <w:t>Information Asymmetry &amp; Nuclear Signaling:</w:t>
      </w:r>
      <w:r>
        <w:rPr>
          <w:rFonts w:eastAsia="Times New Roman"/>
        </w:rPr>
        <w:t xml:space="preserve"> South Africa’s nuclear program was not a "Winner-Takes-All" tool but a </w:t>
      </w:r>
      <w:r>
        <w:rPr>
          <w:rFonts w:eastAsia="Times New Roman"/>
          <w:b/>
          <w:bCs/>
        </w:rPr>
        <w:t>"Catalytic Deterrent"</w:t>
      </w:r>
      <w:r>
        <w:rPr>
          <w:rFonts w:eastAsia="Times New Roman"/>
        </w:rPr>
        <w:t xml:space="preserve"> designed to force the U.S. (the Principal) to intervene in the local game.</w:t>
      </w:r>
    </w:p>
    <w:p w14:paraId="38A28D15" w14:textId="77777777" w:rsidR="00A960F0" w:rsidRDefault="00A960F0" w:rsidP="00A960F0">
      <w:pPr>
        <w:numPr>
          <w:ilvl w:val="0"/>
          <w:numId w:val="10"/>
        </w:numPr>
        <w:spacing w:before="100" w:beforeAutospacing="1" w:after="100" w:afterAutospacing="1" w:line="240" w:lineRule="auto"/>
        <w:rPr>
          <w:rFonts w:eastAsia="Times New Roman"/>
        </w:rPr>
      </w:pPr>
      <w:r>
        <w:rPr>
          <w:rFonts w:eastAsia="Times New Roman"/>
          <w:b/>
          <w:bCs/>
        </w:rPr>
        <w:t>The Consensus Equilibrium:</w:t>
      </w:r>
      <w:r>
        <w:rPr>
          <w:rFonts w:eastAsia="Times New Roman"/>
        </w:rPr>
        <w:t xml:space="preserve"> The </w:t>
      </w:r>
      <w:hyperlink r:id="rId30" w:history="1">
        <w:r>
          <w:rPr>
            <w:rStyle w:val="Hyperlink"/>
            <w:rFonts w:eastAsia="Times New Roman"/>
          </w:rPr>
          <w:t>Mandela-de Klerk transition</w:t>
        </w:r>
      </w:hyperlink>
      <w:r>
        <w:rPr>
          <w:rFonts w:eastAsia="Times New Roman"/>
        </w:rPr>
        <w:t xml:space="preserve"> occurred only when both parties realized that the "Utility of a Dead Node" (a destroyed South Africa) was zero. They negotiated a </w:t>
      </w:r>
      <w:r>
        <w:rPr>
          <w:rFonts w:eastAsia="Times New Roman"/>
          <w:b/>
          <w:bCs/>
        </w:rPr>
        <w:t>participation-constrained merger</w:t>
      </w:r>
      <w:r>
        <w:rPr>
          <w:rFonts w:eastAsia="Times New Roman"/>
        </w:rPr>
        <w:t xml:space="preserve"> that satisfied the median voter while protecting the "Internal Cartel’s" assets.</w:t>
      </w:r>
    </w:p>
    <w:p w14:paraId="4F0B3FA9" w14:textId="77777777" w:rsidR="00A960F0" w:rsidRDefault="00A960F0">
      <w:pPr>
        <w:spacing w:after="0"/>
        <w:rPr>
          <w:rFonts w:eastAsia="Times New Roman"/>
        </w:rPr>
      </w:pPr>
      <w:r>
        <w:rPr>
          <w:rFonts w:eastAsia="Times New Roman"/>
          <w:noProof/>
        </w:rPr>
        <mc:AlternateContent>
          <mc:Choice Requires="wps">
            <w:drawing>
              <wp:inline distT="0" distB="0" distL="0" distR="0" wp14:anchorId="5EE8D445" wp14:editId="2524428B">
                <wp:extent cx="5943600" cy="4445"/>
                <wp:effectExtent l="0" t="31750" r="0" b="36830"/>
                <wp:docPr id="161292167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48F2D1" id="Rectangle 5"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7D9618D9" w14:textId="77777777" w:rsidR="00A960F0" w:rsidRDefault="00A960F0">
      <w:pPr>
        <w:pStyle w:val="Heading2"/>
        <w:rPr>
          <w:rFonts w:eastAsia="Times New Roman"/>
          <w:sz w:val="24"/>
          <w:szCs w:val="24"/>
        </w:rPr>
      </w:pPr>
      <w:r>
        <w:rPr>
          <w:rFonts w:eastAsia="Times New Roman"/>
          <w:sz w:val="24"/>
          <w:szCs w:val="24"/>
        </w:rPr>
        <w:lastRenderedPageBreak/>
        <w:t>V. The Escalation Ladder and "Price Sweep" Instability</w:t>
      </w:r>
    </w:p>
    <w:p w14:paraId="0244309A" w14:textId="77777777" w:rsidR="00A960F0" w:rsidRDefault="00A960F0">
      <w:pPr>
        <w:rPr>
          <w:rFonts w:eastAsia="Times New Roman"/>
        </w:rPr>
      </w:pPr>
      <w:r>
        <w:rPr>
          <w:rFonts w:eastAsia="Times New Roman"/>
        </w:rPr>
        <w:t xml:space="preserve">In the 2026 Iranian theater, the U.S. attempted a </w:t>
      </w:r>
      <w:r>
        <w:rPr>
          <w:rFonts w:eastAsia="Times New Roman"/>
          <w:b/>
          <w:bCs/>
        </w:rPr>
        <w:t>"Price Sweep"</w:t>
      </w:r>
      <w:r>
        <w:rPr>
          <w:rFonts w:eastAsia="Times New Roman"/>
        </w:rPr>
        <w:t xml:space="preserve"> (Operation Epic Fury) to destroy the centralized Iranian navy. However, Iran’s shift to </w:t>
      </w:r>
      <w:r>
        <w:rPr>
          <w:rFonts w:eastAsia="Times New Roman"/>
          <w:b/>
          <w:bCs/>
        </w:rPr>
        <w:t>asymmetric attrition</w:t>
      </w:r>
      <w:r>
        <w:rPr>
          <w:rFonts w:eastAsia="Times New Roman"/>
        </w:rPr>
        <w:t xml:space="preserve"> (mobile drone/missile launchers) successfully raised the </w:t>
      </w:r>
      <w:r>
        <w:rPr>
          <w:rFonts w:eastAsia="Times New Roman"/>
          <w:b/>
          <w:bCs/>
        </w:rPr>
        <w:t>"Transportation Cost" ($t$)</w:t>
      </w:r>
      <w:r>
        <w:rPr>
          <w:rFonts w:eastAsia="Times New Roman"/>
        </w:rPr>
        <w:t xml:space="preserve"> of global trade to unsustainable levels.</w:t>
      </w:r>
    </w:p>
    <w:p w14:paraId="0D09297D" w14:textId="77777777" w:rsidR="00A960F0" w:rsidRDefault="00A960F0" w:rsidP="00A960F0">
      <w:pPr>
        <w:numPr>
          <w:ilvl w:val="0"/>
          <w:numId w:val="11"/>
        </w:numPr>
        <w:spacing w:before="100" w:beforeAutospacing="1" w:after="100" w:afterAutospacing="1" w:line="240" w:lineRule="auto"/>
        <w:rPr>
          <w:rFonts w:eastAsia="Times New Roman"/>
        </w:rPr>
      </w:pPr>
      <w:r>
        <w:rPr>
          <w:rFonts w:eastAsia="Times New Roman"/>
          <w:b/>
          <w:bCs/>
        </w:rPr>
        <w:t>Dual Blockade Dynamics:</w:t>
      </w:r>
      <w:r>
        <w:rPr>
          <w:rFonts w:eastAsia="Times New Roman"/>
        </w:rPr>
        <w:t xml:space="preserve"> The U.S. responded with a naval blockade, creating a </w:t>
      </w:r>
      <w:r>
        <w:rPr>
          <w:rFonts w:eastAsia="Times New Roman"/>
          <w:b/>
          <w:bCs/>
        </w:rPr>
        <w:t>War of Attrition</w:t>
      </w:r>
      <w:r>
        <w:rPr>
          <w:rFonts w:eastAsia="Times New Roman"/>
        </w:rPr>
        <w:t xml:space="preserve"> where the global economy faces a "Sunk Cost" crisis.</w:t>
      </w:r>
    </w:p>
    <w:p w14:paraId="338953F7" w14:textId="77777777" w:rsidR="00A960F0" w:rsidRDefault="00A960F0" w:rsidP="00A960F0">
      <w:pPr>
        <w:numPr>
          <w:ilvl w:val="0"/>
          <w:numId w:val="11"/>
        </w:numPr>
        <w:spacing w:before="100" w:beforeAutospacing="1" w:after="100" w:afterAutospacing="1" w:line="240" w:lineRule="auto"/>
        <w:rPr>
          <w:rFonts w:eastAsia="Times New Roman"/>
        </w:rPr>
      </w:pPr>
      <w:r>
        <w:rPr>
          <w:rFonts w:eastAsia="Times New Roman"/>
          <w:b/>
          <w:bCs/>
        </w:rPr>
        <w:t>The Trigger:</w:t>
      </w:r>
      <w:r>
        <w:rPr>
          <w:rFonts w:eastAsia="Times New Roman"/>
        </w:rPr>
        <w:t xml:space="preserve"> For peace to occur, the U.S. must exit this high-cost theater. This requires a "side-payment" to Russia to act as the regional "security manager."</w:t>
      </w:r>
    </w:p>
    <w:p w14:paraId="3666F400" w14:textId="77777777" w:rsidR="00A960F0" w:rsidRDefault="00A960F0">
      <w:pPr>
        <w:spacing w:after="0"/>
        <w:rPr>
          <w:rFonts w:eastAsia="Times New Roman"/>
        </w:rPr>
      </w:pPr>
      <w:r>
        <w:rPr>
          <w:rFonts w:eastAsia="Times New Roman"/>
          <w:noProof/>
        </w:rPr>
        <mc:AlternateContent>
          <mc:Choice Requires="wps">
            <w:drawing>
              <wp:inline distT="0" distB="0" distL="0" distR="0" wp14:anchorId="7B19A26A" wp14:editId="2178A722">
                <wp:extent cx="5943600" cy="4445"/>
                <wp:effectExtent l="0" t="31750" r="0" b="36830"/>
                <wp:docPr id="164271804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170EB0F" id="Rectangle 4"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26AB8752" w14:textId="77777777" w:rsidR="00A960F0" w:rsidRDefault="00A960F0">
      <w:pPr>
        <w:pStyle w:val="Heading2"/>
        <w:rPr>
          <w:rFonts w:eastAsia="Times New Roman"/>
          <w:sz w:val="24"/>
          <w:szCs w:val="24"/>
        </w:rPr>
      </w:pPr>
      <w:r>
        <w:rPr>
          <w:rFonts w:eastAsia="Times New Roman"/>
          <w:sz w:val="24"/>
          <w:szCs w:val="24"/>
        </w:rPr>
        <w:t>VI. The Resolution: A Bilateral "Cartelization" of Peace</w:t>
      </w:r>
    </w:p>
    <w:p w14:paraId="1D731275" w14:textId="77777777" w:rsidR="00A960F0" w:rsidRDefault="00A960F0">
      <w:pPr>
        <w:rPr>
          <w:rFonts w:eastAsia="Times New Roman"/>
        </w:rPr>
      </w:pPr>
      <w:r>
        <w:rPr>
          <w:rFonts w:eastAsia="Times New Roman"/>
        </w:rPr>
        <w:t xml:space="preserve">We propose that the U.S. and Russia return to their </w:t>
      </w:r>
      <w:r>
        <w:rPr>
          <w:rFonts w:eastAsia="Times New Roman"/>
          <w:b/>
          <w:bCs/>
        </w:rPr>
        <w:t>WWII Alliance roots</w:t>
      </w:r>
      <w:r>
        <w:rPr>
          <w:rFonts w:eastAsia="Times New Roman"/>
        </w:rPr>
        <w:t xml:space="preserve"> to act as a </w:t>
      </w:r>
      <w:r>
        <w:rPr>
          <w:rFonts w:eastAsia="Times New Roman"/>
          <w:b/>
          <w:bCs/>
        </w:rPr>
        <w:t>Bipolar Hegemony</w:t>
      </w:r>
      <w:r>
        <w:rPr>
          <w:rFonts w:eastAsia="Times New Roman"/>
        </w:rPr>
        <w:t>. This "Grand Bargain" stabilizes the grid through two key shifts:</w:t>
      </w:r>
    </w:p>
    <w:p w14:paraId="6297D8C9" w14:textId="77777777" w:rsidR="00A960F0" w:rsidRDefault="00A960F0" w:rsidP="00A960F0">
      <w:pPr>
        <w:numPr>
          <w:ilvl w:val="0"/>
          <w:numId w:val="12"/>
        </w:numPr>
        <w:spacing w:before="100" w:beforeAutospacing="1" w:after="100" w:afterAutospacing="1" w:line="240" w:lineRule="auto"/>
        <w:rPr>
          <w:rFonts w:eastAsia="Times New Roman"/>
        </w:rPr>
      </w:pPr>
      <w:r>
        <w:rPr>
          <w:rFonts w:eastAsia="Times New Roman"/>
          <w:b/>
          <w:bCs/>
        </w:rPr>
        <w:t>Spheres of Influence as Market Partitioning:</w:t>
      </w:r>
      <w:r>
        <w:rPr>
          <w:rFonts w:eastAsia="Times New Roman"/>
        </w:rPr>
        <w:t xml:space="preserve"> The world is split into stable "West" and "East" zones. This eliminates the "Search Problem" for smaller nodes. If the U.S. cedes Ukraine to a Russian niche in exchange for Russia enforcing the reopening of the </w:t>
      </w:r>
      <w:hyperlink r:id="rId31" w:history="1">
        <w:r>
          <w:rPr>
            <w:rStyle w:val="Hyperlink"/>
            <w:rFonts w:eastAsia="Times New Roman"/>
          </w:rPr>
          <w:t>Strait of Hormuz</w:t>
        </w:r>
      </w:hyperlink>
      <w:r>
        <w:rPr>
          <w:rFonts w:eastAsia="Times New Roman"/>
        </w:rPr>
        <w:t xml:space="preserve">, the </w:t>
      </w:r>
      <w:r>
        <w:rPr>
          <w:rFonts w:eastAsia="Times New Roman"/>
          <w:b/>
          <w:bCs/>
        </w:rPr>
        <w:t>Global Budget</w:t>
      </w:r>
      <w:r>
        <w:rPr>
          <w:rFonts w:eastAsia="Times New Roman"/>
        </w:rPr>
        <w:t xml:space="preserve"> is stabilized.</w:t>
      </w:r>
    </w:p>
    <w:p w14:paraId="76647F64" w14:textId="77777777" w:rsidR="00A960F0" w:rsidRDefault="00A960F0" w:rsidP="00A960F0">
      <w:pPr>
        <w:numPr>
          <w:ilvl w:val="0"/>
          <w:numId w:val="12"/>
        </w:numPr>
        <w:spacing w:before="100" w:beforeAutospacing="1" w:after="100" w:afterAutospacing="1" w:line="240" w:lineRule="auto"/>
        <w:rPr>
          <w:rFonts w:eastAsia="Times New Roman"/>
        </w:rPr>
      </w:pPr>
      <w:r>
        <w:rPr>
          <w:rFonts w:eastAsia="Times New Roman"/>
          <w:b/>
          <w:bCs/>
        </w:rPr>
        <w:t>Enforced Transparency:</w:t>
      </w:r>
      <w:r>
        <w:rPr>
          <w:rFonts w:eastAsia="Times New Roman"/>
        </w:rPr>
        <w:t xml:space="preserve"> Utilizing shared </w:t>
      </w:r>
      <w:r>
        <w:rPr>
          <w:rFonts w:eastAsia="Times New Roman"/>
          <w:b/>
          <w:bCs/>
        </w:rPr>
        <w:t>AI-driven GIS tools</w:t>
      </w:r>
      <w:r>
        <w:rPr>
          <w:rFonts w:eastAsia="Times New Roman"/>
        </w:rPr>
        <w:t xml:space="preserve"> (the "Military Calendar" + Logit Risk Map), the two superpowers can verify each other's "Military Posture" in real-time. This turns a "Hidden Information" game into a </w:t>
      </w:r>
      <w:r>
        <w:rPr>
          <w:rFonts w:eastAsia="Times New Roman"/>
          <w:b/>
          <w:bCs/>
        </w:rPr>
        <w:t>"Perfect Information"</w:t>
      </w:r>
      <w:r>
        <w:rPr>
          <w:rFonts w:eastAsia="Times New Roman"/>
        </w:rPr>
        <w:t xml:space="preserve"> game, where the incentive to cheat is neutralized by an automated </w:t>
      </w:r>
      <w:r>
        <w:rPr>
          <w:rFonts w:eastAsia="Times New Roman"/>
          <w:b/>
          <w:bCs/>
        </w:rPr>
        <w:t>Grim Trigger</w:t>
      </w:r>
      <w:r>
        <w:rPr>
          <w:rFonts w:eastAsia="Times New Roman"/>
        </w:rPr>
        <w:t xml:space="preserve"> (e.g., total energy lockout).</w:t>
      </w:r>
    </w:p>
    <w:p w14:paraId="08782082" w14:textId="77777777" w:rsidR="00A960F0" w:rsidRDefault="00A960F0">
      <w:pPr>
        <w:spacing w:after="0"/>
        <w:rPr>
          <w:rFonts w:eastAsia="Times New Roman"/>
        </w:rPr>
      </w:pPr>
      <w:r>
        <w:rPr>
          <w:rFonts w:eastAsia="Times New Roman"/>
          <w:noProof/>
        </w:rPr>
        <mc:AlternateContent>
          <mc:Choice Requires="wps">
            <w:drawing>
              <wp:inline distT="0" distB="0" distL="0" distR="0" wp14:anchorId="2CB0891C" wp14:editId="0B88D523">
                <wp:extent cx="5943600" cy="4445"/>
                <wp:effectExtent l="0" t="31750" r="0" b="36830"/>
                <wp:docPr id="41287760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1AE183" id="Rectangle 3"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0383D467" w14:textId="77777777" w:rsidR="00A960F0" w:rsidRDefault="00A960F0">
      <w:pPr>
        <w:pStyle w:val="Heading2"/>
        <w:rPr>
          <w:rFonts w:eastAsia="Times New Roman"/>
          <w:sz w:val="24"/>
          <w:szCs w:val="24"/>
        </w:rPr>
      </w:pPr>
      <w:r>
        <w:rPr>
          <w:rFonts w:eastAsia="Times New Roman"/>
          <w:sz w:val="24"/>
          <w:szCs w:val="24"/>
        </w:rPr>
        <w:t>VII. Conclusion</w:t>
      </w:r>
    </w:p>
    <w:p w14:paraId="7378173B" w14:textId="77777777" w:rsidR="00A960F0" w:rsidRDefault="00A960F0">
      <w:pPr>
        <w:rPr>
          <w:rFonts w:eastAsia="Times New Roman"/>
        </w:rPr>
      </w:pPr>
      <w:r>
        <w:rPr>
          <w:rFonts w:eastAsia="Times New Roman"/>
        </w:rPr>
        <w:t xml:space="preserve">The path to global stability lies in acknowledging that uninhibited competition in a PPAD-complete grid is a "Bad Nash Equilibrium." By adopting a </w:t>
      </w:r>
      <w:r>
        <w:rPr>
          <w:rFonts w:eastAsia="Times New Roman"/>
          <w:b/>
          <w:bCs/>
        </w:rPr>
        <w:t>Planned Development</w:t>
      </w:r>
      <w:r>
        <w:rPr>
          <w:rFonts w:eastAsia="Times New Roman"/>
        </w:rPr>
        <w:t xml:space="preserve"> approach, the U.S. and Russia can fulfill their roles as system managers. This "managed stalemate"—reminiscent of the </w:t>
      </w:r>
      <w:r>
        <w:rPr>
          <w:rFonts w:eastAsia="Times New Roman"/>
          <w:b/>
          <w:bCs/>
        </w:rPr>
        <w:t>RAND Corporation’s Cold War logic</w:t>
      </w:r>
      <w:r>
        <w:rPr>
          <w:rFonts w:eastAsia="Times New Roman"/>
        </w:rPr>
        <w:t xml:space="preserve">—is the only mechanism capable of satisfying the </w:t>
      </w:r>
      <w:r>
        <w:rPr>
          <w:rFonts w:eastAsia="Times New Roman"/>
          <w:b/>
          <w:bCs/>
        </w:rPr>
        <w:t>Incentive Compatibility</w:t>
      </w:r>
      <w:r>
        <w:rPr>
          <w:rFonts w:eastAsia="Times New Roman"/>
        </w:rPr>
        <w:t xml:space="preserve"> of the superpowers while delivering the "Dividend of Peace" to the global economy.</w:t>
      </w:r>
    </w:p>
    <w:p w14:paraId="61202BE4" w14:textId="77777777" w:rsidR="00A960F0" w:rsidRDefault="00A960F0">
      <w:pPr>
        <w:rPr>
          <w:rFonts w:eastAsia="Times New Roman"/>
        </w:rPr>
      </w:pPr>
      <w:r>
        <w:rPr>
          <w:rFonts w:eastAsia="Times New Roman"/>
          <w:noProof/>
        </w:rPr>
        <mc:AlternateContent>
          <mc:Choice Requires="wps">
            <w:drawing>
              <wp:inline distT="0" distB="0" distL="0" distR="0" wp14:anchorId="1B654AA7" wp14:editId="17ED9F38">
                <wp:extent cx="5943600" cy="4445"/>
                <wp:effectExtent l="0" t="31750" r="0" b="36830"/>
                <wp:docPr id="11626857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FD107D" id="Rectangle 2"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" filled="f">
                <w10:anchorlock/>
              </v:rect>
            </w:pict>
          </mc:Fallback>
        </mc:AlternateContent>
      </w:r>
    </w:p>
    <w:p w14:paraId="7C9DD3C3" w14:textId="33CFC1F2" w:rsidR="00A960F0" w:rsidRDefault="00A960F0">
      <w:pPr>
        <w:rPr>
          <w:rFonts w:eastAsia="Times New Roman"/>
        </w:rPr>
      </w:pPr>
    </w:p>
    <w:p w14:paraId="4DD1DBB2" w14:textId="77777777" w:rsidR="00A960F0" w:rsidRDefault="00A960F0">
      <w:pPr>
        <w:rPr>
          <w:rFonts w:eastAsia="Times New Roman"/>
        </w:rPr>
      </w:pPr>
    </w:p>
    <w:p w14:paraId="1D6C332F" w14:textId="77777777" w:rsidR="00A960F0" w:rsidRDefault="00A960F0"/>
    <w:sectPr w:rsidR="00A960F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01D4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A565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4256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5A18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C516D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563F2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886A2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F26A5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E365B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81582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7847E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430C6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9485934">
    <w:abstractNumId w:val="2"/>
  </w:num>
  <w:num w:numId="2" w16cid:durableId="376782876">
    <w:abstractNumId w:val="1"/>
  </w:num>
  <w:num w:numId="3" w16cid:durableId="99253992">
    <w:abstractNumId w:val="3"/>
  </w:num>
  <w:num w:numId="4" w16cid:durableId="1366521296">
    <w:abstractNumId w:val="10"/>
  </w:num>
  <w:num w:numId="5" w16cid:durableId="1814788766">
    <w:abstractNumId w:val="11"/>
  </w:num>
  <w:num w:numId="6" w16cid:durableId="1547066493">
    <w:abstractNumId w:val="8"/>
  </w:num>
  <w:num w:numId="7" w16cid:durableId="1344043608">
    <w:abstractNumId w:val="0"/>
  </w:num>
  <w:num w:numId="8" w16cid:durableId="1912959779">
    <w:abstractNumId w:val="6"/>
  </w:num>
  <w:num w:numId="9" w16cid:durableId="1199274598">
    <w:abstractNumId w:val="7"/>
  </w:num>
  <w:num w:numId="10" w16cid:durableId="1407647761">
    <w:abstractNumId w:val="9"/>
  </w:num>
  <w:num w:numId="11" w16cid:durableId="205718906">
    <w:abstractNumId w:val="5"/>
  </w:num>
  <w:num w:numId="12" w16cid:durableId="12985310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621"/>
    <w:rsid w:val="00061CF5"/>
    <w:rsid w:val="000F7B62"/>
    <w:rsid w:val="00156D19"/>
    <w:rsid w:val="001A3378"/>
    <w:rsid w:val="0026140D"/>
    <w:rsid w:val="002C3DB3"/>
    <w:rsid w:val="00454CF9"/>
    <w:rsid w:val="00506006"/>
    <w:rsid w:val="00515621"/>
    <w:rsid w:val="00683C01"/>
    <w:rsid w:val="006B3EF1"/>
    <w:rsid w:val="006C3D83"/>
    <w:rsid w:val="007373D4"/>
    <w:rsid w:val="008E3F8F"/>
    <w:rsid w:val="008F3F4D"/>
    <w:rsid w:val="00910E43"/>
    <w:rsid w:val="009A5409"/>
    <w:rsid w:val="00A45B58"/>
    <w:rsid w:val="00A7161B"/>
    <w:rsid w:val="00A960F0"/>
    <w:rsid w:val="00A978E0"/>
    <w:rsid w:val="00FC1E37"/>
  </w:rsids>
  <m:mathPr>
    <m:mathFont m:val="Cambria Math"/>
    <m:brkBin m:val="before"/>
    <m:brkBinSub m:val="--"/>
    <m:smallFrac m:val="0"/>
    <m:dispDef/>
    <m:lMargin m:val="0"/>
    <m:rMargin m:val="0"/>
    <m:defJc m:val="centerGroup"/>
    <m:wrapIndent m:val="1440"/>
    <m:intLim m:val="subSup"/>
    <m:naryLim m:val="undOvr"/>
  </m:mathPr>
  <w:themeFontLang w:va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97A3F"/>
  <w15:chartTrackingRefBased/>
  <w15:docId w15:val="{51A3BFED-A4A1-0043-B8B6-7987EE3D3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56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56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56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56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56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56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6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6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6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6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56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56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56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56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56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6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6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621"/>
    <w:rPr>
      <w:rFonts w:eastAsiaTheme="majorEastAsia" w:cstheme="majorBidi"/>
      <w:color w:val="272727" w:themeColor="text1" w:themeTint="D8"/>
    </w:rPr>
  </w:style>
  <w:style w:type="paragraph" w:styleId="Title">
    <w:name w:val="Title"/>
    <w:basedOn w:val="Normal"/>
    <w:next w:val="Normal"/>
    <w:link w:val="TitleChar"/>
    <w:uiPriority w:val="10"/>
    <w:qFormat/>
    <w:rsid w:val="005156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6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6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6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621"/>
    <w:pPr>
      <w:spacing w:before="160"/>
      <w:jc w:val="center"/>
    </w:pPr>
    <w:rPr>
      <w:i/>
      <w:iCs/>
      <w:color w:val="404040" w:themeColor="text1" w:themeTint="BF"/>
    </w:rPr>
  </w:style>
  <w:style w:type="character" w:customStyle="1" w:styleId="QuoteChar">
    <w:name w:val="Quote Char"/>
    <w:basedOn w:val="DefaultParagraphFont"/>
    <w:link w:val="Quote"/>
    <w:uiPriority w:val="29"/>
    <w:rsid w:val="00515621"/>
    <w:rPr>
      <w:i/>
      <w:iCs/>
      <w:color w:val="404040" w:themeColor="text1" w:themeTint="BF"/>
    </w:rPr>
  </w:style>
  <w:style w:type="paragraph" w:styleId="ListParagraph">
    <w:name w:val="List Paragraph"/>
    <w:basedOn w:val="Normal"/>
    <w:uiPriority w:val="34"/>
    <w:qFormat/>
    <w:rsid w:val="00515621"/>
    <w:pPr>
      <w:ind w:left="720"/>
      <w:contextualSpacing/>
    </w:pPr>
  </w:style>
  <w:style w:type="character" w:styleId="IntenseEmphasis">
    <w:name w:val="Intense Emphasis"/>
    <w:basedOn w:val="DefaultParagraphFont"/>
    <w:uiPriority w:val="21"/>
    <w:qFormat/>
    <w:rsid w:val="00515621"/>
    <w:rPr>
      <w:i/>
      <w:iCs/>
      <w:color w:val="0F4761" w:themeColor="accent1" w:themeShade="BF"/>
    </w:rPr>
  </w:style>
  <w:style w:type="paragraph" w:styleId="IntenseQuote">
    <w:name w:val="Intense Quote"/>
    <w:basedOn w:val="Normal"/>
    <w:next w:val="Normal"/>
    <w:link w:val="IntenseQuoteChar"/>
    <w:uiPriority w:val="30"/>
    <w:qFormat/>
    <w:rsid w:val="005156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5621"/>
    <w:rPr>
      <w:i/>
      <w:iCs/>
      <w:color w:val="0F4761" w:themeColor="accent1" w:themeShade="BF"/>
    </w:rPr>
  </w:style>
  <w:style w:type="character" w:styleId="IntenseReference">
    <w:name w:val="Intense Reference"/>
    <w:basedOn w:val="DefaultParagraphFont"/>
    <w:uiPriority w:val="32"/>
    <w:qFormat/>
    <w:rsid w:val="00515621"/>
    <w:rPr>
      <w:b/>
      <w:bCs/>
      <w:smallCaps/>
      <w:color w:val="0F4761" w:themeColor="accent1" w:themeShade="BF"/>
      <w:spacing w:val="5"/>
    </w:rPr>
  </w:style>
  <w:style w:type="character" w:styleId="Hyperlink">
    <w:name w:val="Hyperlink"/>
    <w:basedOn w:val="DefaultParagraphFont"/>
    <w:uiPriority w:val="99"/>
    <w:semiHidden/>
    <w:unhideWhenUsed/>
    <w:rsid w:val="00454CF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toyota+rav4&amp;kgmid=/m/04tnkz" TargetMode="External" /><Relationship Id="rId13" Type="http://schemas.openxmlformats.org/officeDocument/2006/relationships/hyperlink" Target="https://www.google.com/search?q=bronco&amp;kgmid=/m/04rnsz" TargetMode="External" /><Relationship Id="rId18" Type="http://schemas.openxmlformats.org/officeDocument/2006/relationships/hyperlink" Target="https://www.google.com/search?q=bronco&amp;kgmid=/m/04rnsz" TargetMode="External" /><Relationship Id="rId26" Type="http://schemas.openxmlformats.org/officeDocument/2006/relationships/hyperlink" Target="https://www.google.com/search?q=ford+bronco&amp;kgmid=/m/04rnsz" TargetMode="External" /><Relationship Id="rId3" Type="http://schemas.openxmlformats.org/officeDocument/2006/relationships/settings" Target="settings.xml" /><Relationship Id="rId21" Type="http://schemas.openxmlformats.org/officeDocument/2006/relationships/hyperlink" Target="https://www.google.com/search?q=Duster&amp;kgmid=/hkb/-1320459553" TargetMode="External" /><Relationship Id="rId7" Type="http://schemas.openxmlformats.org/officeDocument/2006/relationships/hyperlink" Target="https://www.google.com/search?q=dacia+duster&amp;kgmid=/m/05n02ml" TargetMode="External" /><Relationship Id="rId12" Type="http://schemas.openxmlformats.org/officeDocument/2006/relationships/hyperlink" Target="https://www.google.com/search?q=bronco&amp;kgmid=/m/04rnsz" TargetMode="External" /><Relationship Id="rId17" Type="http://schemas.openxmlformats.org/officeDocument/2006/relationships/hyperlink" Target="https://www.google.com/search?q=ford+f-150&amp;kgmid=/g/120p4ddh" TargetMode="External" /><Relationship Id="rId25" Type="http://schemas.openxmlformats.org/officeDocument/2006/relationships/hyperlink" Target="https://www.google.com/search?q=bronco&amp;kgmid=/m/04rnsz" TargetMode="External" /><Relationship Id="rId33"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hyperlink" Target="https://www.google.com/search?q=ford+explorer&amp;kgmid=/m/02n3c4" TargetMode="External" /><Relationship Id="rId20" Type="http://schemas.openxmlformats.org/officeDocument/2006/relationships/hyperlink" Target="https://www.google.com/search?q=bronco&amp;kgmid=/m/04rnsz" TargetMode="External" /><Relationship Id="rId29" Type="http://schemas.openxmlformats.org/officeDocument/2006/relationships/hyperlink" Target="https://pmc.ncbi.nlm.nih.gov/articles/PMC7362151/" TargetMode="External" /><Relationship Id="rId1" Type="http://schemas.openxmlformats.org/officeDocument/2006/relationships/numbering" Target="numbering.xml" /><Relationship Id="rId6" Type="http://schemas.openxmlformats.org/officeDocument/2006/relationships/hyperlink" Target="https://www.google.com/search?q=bronco&amp;kgmid=/m/04rnsz" TargetMode="External" /><Relationship Id="rId11" Type="http://schemas.openxmlformats.org/officeDocument/2006/relationships/hyperlink" Target="https://www.google.com/search?q=ford+bronco&amp;kgmid=/m/04rnsz" TargetMode="External" /><Relationship Id="rId24" Type="http://schemas.openxmlformats.org/officeDocument/2006/relationships/hyperlink" Target="https://www.google.com/search?q=bronco&amp;kgmid=/m/04rnsz" TargetMode="External" /><Relationship Id="rId32" Type="http://schemas.openxmlformats.org/officeDocument/2006/relationships/fontTable" Target="fontTable.xml" /><Relationship Id="rId5" Type="http://schemas.openxmlformats.org/officeDocument/2006/relationships/hyperlink" Target="https://www.google.com/search?q=ford+bronco&amp;kgmid=/m/04rnsz" TargetMode="External" /><Relationship Id="rId15" Type="http://schemas.openxmlformats.org/officeDocument/2006/relationships/hyperlink" Target="https://www.google.com/search?q=bronco&amp;kgmid=/m/04rnsz" TargetMode="External" /><Relationship Id="rId23" Type="http://schemas.openxmlformats.org/officeDocument/2006/relationships/hyperlink" Target="https://www.google.com/search?q=bronco&amp;kgmid=/m/04rnsz" TargetMode="External" /><Relationship Id="rId28" Type="http://schemas.openxmlformats.org/officeDocument/2006/relationships/hyperlink" Target="https://anonhaven.com/en/news/cia-ai-coworkers-ellis-scsp-april-2026/" TargetMode="External" /><Relationship Id="rId10" Type="http://schemas.openxmlformats.org/officeDocument/2006/relationships/hyperlink" Target="https://www.google.com/search?q=Land+Rover+Defender&amp;kgmid=/hkb/35381074" TargetMode="External" /><Relationship Id="rId19" Type="http://schemas.openxmlformats.org/officeDocument/2006/relationships/hyperlink" Target="https://www.google.com/search?q=bronco&amp;kgmid=/m/04rnsz" TargetMode="External" /><Relationship Id="rId31" Type="http://schemas.openxmlformats.org/officeDocument/2006/relationships/hyperlink" Target="https://www.ajc.org/news/the-iran-strikes-explained-how-we-got-here-and-what-it-means" TargetMode="External" /><Relationship Id="rId4" Type="http://schemas.openxmlformats.org/officeDocument/2006/relationships/webSettings" Target="webSettings.xml" /><Relationship Id="rId9" Type="http://schemas.openxmlformats.org/officeDocument/2006/relationships/hyperlink" Target="https://www.google.com/search?q=land+cruiser&amp;kgmid=/m/01qh13" TargetMode="External" /><Relationship Id="rId14" Type="http://schemas.openxmlformats.org/officeDocument/2006/relationships/hyperlink" Target="https://www.google.com/search?q=bronco&amp;kgmid=/m/04rnsz" TargetMode="External" /><Relationship Id="rId22" Type="http://schemas.openxmlformats.org/officeDocument/2006/relationships/hyperlink" Target="https://www.google.com/search?q=Defender&amp;kgmid=/hkb/647758307" TargetMode="External" /><Relationship Id="rId27" Type="http://schemas.openxmlformats.org/officeDocument/2006/relationships/hyperlink" Target="https://arxiv.org/abs/1103.2709" TargetMode="External" /><Relationship Id="rId30" Type="http://schemas.openxmlformats.org/officeDocument/2006/relationships/hyperlink" Target="https://www.nobelprize.org/prizes/peace/1993/summ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14</Pages>
  <Words>6316</Words>
  <Characters>36003</Characters>
  <Application>Microsoft Office Word</Application>
  <DocSecurity>0</DocSecurity>
  <Lines>300</Lines>
  <Paragraphs>84</Paragraphs>
  <ScaleCrop>false</ScaleCrop>
  <Company/>
  <LinksUpToDate>false</LinksUpToDate>
  <CharactersWithSpaces>42235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Eerik Nieminen</dc:creator>
  <cp:keywords/>
  <dc:description/>
  <cp:lastModifiedBy>Eerik Nieminen</cp:lastModifiedBy>
  <cp:revision>20</cp:revision>
  <dcterms:created xsi:type="dcterms:W3CDTF">2026-04-28T22:16:00Z</dcterms:created>
  <dcterms:modified xsi:type="dcterms:W3CDTF">2026-04-29T19:07:00Z</dcterms:modified>
</cp:coreProperties>
</file>