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MATCHLEARN: A Mobile Peer Collaboration System Based on Learning Preferences and Academic Needs</w:t>
      </w:r>
    </w:p>
    <w:p>
      <w:r>
        <w:rPr>
          <w:b/>
          <w:sz w:val="28"/>
        </w:rPr>
        <w:t>A Capstone Project Documentation</w:t>
      </w:r>
    </w:p>
    <w:p>
      <w:r>
        <w:rPr>
          <w:b w:val="0"/>
          <w:sz w:val="22"/>
        </w:rPr>
        <w:t>Presented to the Faculty of the College of Computing and Information Sciences</w:t>
      </w:r>
    </w:p>
    <w:p>
      <w:r>
        <w:rPr>
          <w:b w:val="0"/>
          <w:sz w:val="22"/>
        </w:rPr>
        <w:t>Surigao del Norte State University</w:t>
      </w:r>
    </w:p>
    <w:p>
      <w:r>
        <w:rPr>
          <w:b w:val="0"/>
          <w:sz w:val="22"/>
        </w:rPr>
        <w:t>In Partial Fulfillment of the Requirements</w:t>
      </w:r>
    </w:p>
    <w:p>
      <w:r>
        <w:rPr>
          <w:b w:val="0"/>
          <w:sz w:val="22"/>
        </w:rPr>
        <w:t>for the Degree of Bachelor of Science in Information Technology</w:t>
      </w:r>
    </w:p>
    <w:p>
      <w:r>
        <w:rPr>
          <w:b w:val="0"/>
          <w:sz w:val="22"/>
        </w:rPr>
        <w:t>Academic Year 2024-2025</w:t>
      </w:r>
    </w:p>
    <w:p>
      <w:r>
        <w:rPr>
          <w:b w:val="0"/>
          <w:sz w:val="22"/>
        </w:rPr>
        <w:t>Submitted by:</w:t>
      </w:r>
    </w:p>
    <w:p>
      <w:r>
        <w:rPr>
          <w:b w:val="0"/>
          <w:sz w:val="22"/>
        </w:rPr>
        <w:t>Erial Dearv Escatin</w:t>
      </w:r>
    </w:p>
    <w:p>
      <w:r>
        <w:rPr>
          <w:b w:val="0"/>
          <w:sz w:val="22"/>
        </w:rPr>
        <w:t>Jefrell Garcia</w:t>
      </w:r>
    </w:p>
    <w:p>
      <w:r>
        <w:br w:type="page"/>
      </w:r>
    </w:p>
    <w:p>
      <w:pPr>
        <w:pStyle w:val="Heading1"/>
      </w:pPr>
      <w:r>
        <w:t>ABSTRACT</w:t>
      </w:r>
    </w:p>
    <w:p>
      <w:r>
        <w:rPr>
          <w:b w:val="0"/>
          <w:sz w:val="22"/>
        </w:rPr>
        <w:t>MatchLearn is a mobile peer-collaboration system for students using verified SNSU or SSCT Google accounts. The implemented application combines student profiles, study-buddy recommendations, buddy requests, study groups, direct and group messaging, scheduled study sessions, notifications, reviews, and user reports. The mobile client is built with Expo and React Native and communicates with a Laravel REST API. The backend verifies Google identity tokens, checks institutional email domains, issues authenticated API tokens, and stores application data in PostgreSQL. Match recommendations use a weighted compatibility score based on study courses, academic complementarity, program, learning style, schedule, year level, and study mode. This document describes the current implementation and its boundaries. No participant survey, usability score, or formal ISO/IEC 25010 evaluation result was supplied, so none is claimed.</w:t>
      </w:r>
    </w:p>
    <w:p>
      <w:r>
        <w:rPr>
          <w:b w:val="0"/>
          <w:sz w:val="22"/>
        </w:rPr>
        <w:t>Keywords: academic collaboration, mobile application, study-buddy matching, Google sign-in, Laravel API</w:t>
      </w:r>
    </w:p>
    <w:p>
      <w:r>
        <w:br w:type="page"/>
      </w:r>
    </w:p>
    <w:p>
      <w:pPr>
        <w:pStyle w:val="Heading1"/>
      </w:pPr>
      <w:r>
        <w:t>1. INTRODUCTION</w:t>
      </w:r>
    </w:p>
    <w:p>
      <w:r>
        <w:rPr>
          <w:b w:val="0"/>
          <w:sz w:val="22"/>
        </w:rPr>
        <w:t>Students often need help finding peers with compatible courses, academic interests, schedules, and study preferences. General-purpose social media platforms can support communication, but they do not organize these academic details into a dedicated peer-discovery and study-coordination workflow. MatchLearn provides an institutional student community with tools to find potential study partners and coordinate collaborative activity.</w:t>
      </w:r>
    </w:p>
    <w:p>
      <w:r>
        <w:rPr>
          <w:b w:val="0"/>
          <w:sz w:val="22"/>
        </w:rPr>
        <w:t>MatchLearn is the current implementation of a mobile peer-collaboration system for students associated with SSCT and SNSU. The application centers on student-provided profile information and study preferences. Students can review match recommendations, exchange buddy requests, organize study groups, communicate through direct or group conversations, and schedule study sessions. The platform is intended to support organized peer-study activity; it does not measure or guarantee academic improvement.</w:t>
      </w:r>
    </w:p>
    <w:p>
      <w:pPr>
        <w:pStyle w:val="Heading2"/>
      </w:pPr>
      <w:r>
        <w:t>1.1 Project Context</w:t>
      </w:r>
    </w:p>
    <w:p>
      <w:r>
        <w:rPr>
          <w:b w:val="0"/>
          <w:sz w:val="22"/>
        </w:rPr>
        <w:t>The project originated from the need to help students connect with peers who are compatible in courses, study habits, and schedule availability. In practice, many students rely on informal messaging platforms to find classmates or coordinate review sessions. MatchLearn formalizes this process into a dedicated mobile application designed for the SSCT and SNSU student community.</w:t>
      </w:r>
    </w:p>
    <w:p>
      <w:pPr>
        <w:pStyle w:val="Heading2"/>
      </w:pPr>
      <w:r>
        <w:t>1.2 Purpose and Description</w:t>
      </w:r>
    </w:p>
    <w:p>
      <w:r>
        <w:rPr>
          <w:b w:val="0"/>
          <w:sz w:val="22"/>
        </w:rPr>
        <w:t>The purpose of MatchLearn is to help eligible students discover potential study partners and coordinate study activity through one mobile application. A student signs in using Google with an institutional email address. New users provide a full name during account creation and complete a study profile. The profile can include program, year level, courses, learning style, study mode, academic strengths and needs, availability, and other profile details.</w:t>
      </w:r>
    </w:p>
    <w:p>
      <w:r>
        <w:rPr>
          <w:b w:val="0"/>
          <w:sz w:val="22"/>
        </w:rPr>
        <w:t>The application presents recommendations ranked by a compatibility score and explanatory match information. Students can send or respond to buddy requests, discover or create study groups, request to join groups, message other users, schedule sessions with an accepted buddy or joined group, receive in-app notifications, submit reviews, and report users. Administrator functions are provided through a separate web dashboard and are not exposed as a mobile-app role.</w:t>
      </w:r>
    </w:p>
    <w:p>
      <w:pPr>
        <w:pStyle w:val="Heading2"/>
      </w:pPr>
      <w:r>
        <w:t>1.3 General Objectives of the Study</w:t>
      </w:r>
    </w:p>
    <w:p>
      <w:r>
        <w:rPr>
          <w:b w:val="0"/>
          <w:sz w:val="22"/>
        </w:rPr>
        <w:t>The project aims to implement and document a mobile system for student peer discovery and study coordination. Its specific objectives are:</w:t>
      </w:r>
    </w:p>
    <w:p>
      <w:r>
        <w:rPr>
          <w:b w:val="0"/>
          <w:sz w:val="22"/>
        </w:rPr>
        <w:t>1. Provide Google sign-in and account creation for users with verified @snsu.edu.ph or @ssct.edu.ph addresses.</w:t>
        <w:br/>
        <w:t>2. Provide study profiles and ranked buddy recommendations based on configurable academic and study-preference criteria.</w:t>
        <w:br/>
        <w:t>3. Support buddy requests, study groups, messaging, scheduled study sessions, notifications, reviews, and user reports.</w:t>
        <w:br/>
        <w:t>4. Describe the implemented client, API, data model, access boundaries, and verification status without presenting unperformed user research as a result.</w:t>
      </w:r>
    </w:p>
    <w:p>
      <w:pPr>
        <w:pStyle w:val="Heading2"/>
      </w:pPr>
      <w:r>
        <w:t>1.4 Scope and Limitations</w:t>
      </w:r>
    </w:p>
    <w:p>
      <w:r>
        <w:rPr>
          <w:b w:val="0"/>
          <w:sz w:val="22"/>
        </w:rPr>
        <w:t>Scope of the system:</w:t>
      </w:r>
    </w:p>
    <w:p>
      <w:r>
        <w:rPr>
          <w:b w:val="0"/>
          <w:sz w:val="22"/>
        </w:rPr>
        <w:t>1. Google-based sign-in and account creation for eligible institutional email addresses.</w:t>
        <w:br/>
        <w:t>2. Student profile creation, editing, and profile-photo management.</w:t>
        <w:br/>
        <w:t>3. Match recommendations with compatibility scores, shared-course information, and match reasons.</w:t>
        <w:br/>
        <w:t>4. Buddy requests, accepted buddy connections, and buddy reviews.</w:t>
        <w:br/>
        <w:t>5. Study-group discovery, group creation and editing, membership, join requests, and group reviews.</w:t>
        <w:br/>
        <w:t>6. Direct and group messaging, including message and conversation state managed by the API.</w:t>
        <w:br/>
        <w:t>7. Study-session creation and management for an accepted buddy or a group the student has joined.</w:t>
        <w:br/>
        <w:t>8. In-app notifications, user reports, and account controls such as sign-out and account deletion.</w:t>
        <w:br/>
        <w:t>9. A separate administrator dashboard for account status, report handling, and match-weight configuration.</w:t>
      </w:r>
    </w:p>
    <w:p>
      <w:r>
        <w:rPr>
          <w:b w:val="0"/>
          <w:sz w:val="22"/>
        </w:rPr>
        <w:t>Limitations:</w:t>
      </w:r>
    </w:p>
    <w:p>
      <w:r>
        <w:rPr>
          <w:b w:val="0"/>
          <w:sz w:val="22"/>
        </w:rPr>
        <w:t>1. Access is limited to Google accounts with the configured @snsu.edu.ph or @ssct.edu.ph domains; the app does not provide password sign-in or password setup.</w:t>
        <w:br/>
        <w:t>2. The system does not access official enrollment, transcript, grade, or student-information-system records. Profile and study-preference details are provided by users.</w:t>
        <w:br/>
        <w:t>3. Match scores are compatibility indicators based on configured profile criteria, not validated predictions of academic success or personal compatibility.</w:t>
        <w:br/>
        <w:t>4. MatchLearn coordinates study activity but does not provide video conferencing, course delivery, grading, or academic advising.</w:t>
        <w:br/>
        <w:t>5. The app requires network access to authenticate and use backend-supported features. Availability also depends on the deployed API and database.</w:t>
        <w:br/>
        <w:t>6. Formal participant-based usability, performance, and educational-outcome evaluation results were not supplied for this revision.</w:t>
      </w:r>
    </w:p>
    <w:p>
      <w:pPr>
        <w:pStyle w:val="Heading1"/>
      </w:pPr>
      <w:r>
        <w:t>2. RELATED LITERATURE</w:t>
      </w:r>
    </w:p>
    <w:p>
      <w:r>
        <w:rPr>
          <w:b w:val="0"/>
          <w:sz w:val="22"/>
        </w:rPr>
        <w:t>The development of MatchLearn is grounded in research on collaborative learning, mobile educational technology, peer-matching, and student support in higher education. Peer learning has long been associated with stronger subject retention, improved confidence, and more active engagement in academic work. Prior work also shows that collaborative systems are more useful when they reflect students' actual schedules, courses, and learning preferences rather than treating social connection as a generic communication feature.</w:t>
      </w:r>
    </w:p>
    <w:p>
      <w:r>
        <w:rPr>
          <w:b w:val="0"/>
          <w:sz w:val="22"/>
        </w:rPr>
        <w:t>Topping (2005) reviewed peer-assisted learning and noted its positive influence on academic performance and learner confidence. Johnson, Johnson, and Smith (2014) argued that cooperative learning structures can improve both academic outcomes and the quality of interaction among students. Dillenbourg (1999) emphasized that collaboration requires mutual engagement around a shared task, not simply parallel participation. Research in higher education and educational technology also suggests that well-designed digital tools can increase student communication, coordination, and engagement when they are aligned with actual learning needs.</w:t>
      </w:r>
    </w:p>
    <w:p>
      <w:r>
        <w:rPr>
          <w:b w:val="0"/>
          <w:sz w:val="22"/>
        </w:rPr>
        <w:t>The local literature in the Philippines highlights the importance of peer support, academic connectedness, and student support systems in improving persistence and learning outcomes. Studies on student engagement and retention emphasize that learning environments should support collaboration, communication, and access to timely academic support. This literature establishes the rationale for a mobile, institutionally bounded system that helps students find peers on the basis of academic and schedule compatibility, while keeping the system focused on student collaboration rather than administrative records or grading workflows.</w:t>
      </w:r>
    </w:p>
    <w:p>
      <w:pPr>
        <w:pStyle w:val="Heading1"/>
      </w:pPr>
      <w:r>
        <w:t>3. TECHNICAL BACKGROUND</w:t>
      </w:r>
    </w:p>
    <w:p>
      <w:r>
        <w:rPr>
          <w:b w:val="0"/>
          <w:sz w:val="22"/>
        </w:rPr>
        <w:t>MatchLearn is implemented as a mobile client backed by a versioned HTTP API and a relational database. The architecture separates the student-facing mobile application from server-side authentication, authorization, matching, and collaboration workflows.</w:t>
      </w:r>
    </w:p>
    <w:p>
      <w:r>
        <w:rPr>
          <w:b w:val="0"/>
          <w:sz w:val="22"/>
        </w:rPr>
        <w:t>The client uses Expo SDK 57 and React Native 0.86, with TypeScript. The application uses React Navigation for screen navigation, TanStack Query for server-state handling, Axios for API requests, and Expo SecureStore for access-token storage. The mobile interface is organized into Home, Discover, Study Sessions, Messages, Buddies, and Profile areas. The backend uses Laravel 12 and exposes mobile routes under /api/v1. Public authentication begins with POST /api/v1/auth/google. The API verifies the submitted Google ID token, checks that the email domain is ssct.edu.ph or snsu.edu.ph, finds an existing account or creates a new account when the registration flow supplies a name, and returns a Laravel Sanctum personal access token. Authenticated mobile routes require that token.</w:t>
      </w:r>
    </w:p>
    <w:p>
      <w:r>
        <w:rPr>
          <w:b w:val="0"/>
          <w:sz w:val="22"/>
        </w:rPr>
        <w:t>The production deployment configuration targets PostgreSQL on Render. Laravel migrations define the user, profile, matching, buddy, group, messaging, session, notification, review, and report data structures. The API is the authority for access checks and persistent changes; the mobile interface communicates with it using JSON over HTTP.</w:t>
      </w:r>
    </w:p>
    <w:p>
      <w:r>
        <w:rPr>
          <w:b w:val="0"/>
          <w:sz w:val="22"/>
        </w:rPr>
        <w:t>The backend matching service evaluates active candidate users with profiles. The default weights total 100 points: courses (25), academic complementarity (25), program (20), learning style (10), schedule (10), year level (5), and study mode (5). Each criterion is scored by the corresponding service method and scaled to its configured weight. Administrators can change the weights through the separate administrator interface, provided the values total 100. The API stores nonzero match results, associated shared-course information and explanatory reasons, then orders recommendations by score. These values describe the implemented algorithm; they are not empirical evidence that the score predicts study outcomes.</w:t>
      </w:r>
    </w:p>
    <w:p>
      <w:pPr>
        <w:pStyle w:val="Heading2"/>
      </w:pPr>
      <w:r>
        <w:t>3.1 Conceptual Framework</w:t>
      </w:r>
    </w:p>
    <w:p>
      <w:r>
        <w:t>```mermaid</w:t>
        <w:br/>
        <w:t>flowchart LR</w:t>
        <w:br/>
        <w:t xml:space="preserve">    Student["Student</w:t>
        <w:br/>
        <w:t>Android / iOS"] --&gt; App["MatchLearn mobile app</w:t>
        <w:br/>
        <w:t>Expo + React Native"]</w:t>
        <w:br/>
        <w:t xml:space="preserve">    App &lt;--&gt; API["Laravel REST API</w:t>
        <w:br/>
        <w:t>/api/v1"]</w:t>
        <w:br/>
        <w:t xml:space="preserve">    API --&gt; Auth["Google verification</w:t>
        <w:br/>
        <w:t>and domain check"]</w:t>
        <w:br/>
        <w:t xml:space="preserve">    API --&gt; Services["Profile, matching, buddy,</w:t>
        <w:br/>
        <w:t>group, session and report services"]</w:t>
        <w:br/>
        <w:t xml:space="preserve">    Services &lt;--&gt; DB[("PostgreSQL")]</w:t>
        <w:br/>
        <w:t xml:space="preserve">    App --&gt; Output["Ranked matches,</w:t>
        <w:br/>
        <w:t>messages, sessions</w:t>
        <w:br/>
        <w:t>and notifications"]</w:t>
        <w:br/>
        <w:t>```</w:t>
      </w:r>
    </w:p>
    <w:p/>
    <w:p>
      <w:pPr>
        <w:pStyle w:val="Heading1"/>
      </w:pPr>
      <w:r>
        <w:t>4. METHODOLOGY</w:t>
      </w:r>
    </w:p>
    <w:p>
      <w:r>
        <w:rPr>
          <w:b w:val="0"/>
          <w:sz w:val="22"/>
        </w:rPr>
        <w:t>This document reports the implemented application and backend behavior visible in the current project, rather than presenting a future proposal. The feature descriptions and architecture were checked against the mobile package configuration, user-facing app manual, Laravel routes, authentication controller, matching service, data models, and deployment configuration. No interview transcript, participant dataset, or formal evaluation report was provided as source evidence.</w:t>
      </w:r>
    </w:p>
    <w:p>
      <w:r>
        <w:rPr>
          <w:b w:val="0"/>
          <w:sz w:val="22"/>
        </w:rPr>
        <w:t>The implemented workflows cover Google authentication, profile setup and editing, recommendation discovery, buddy requests, study groups and join requests, direct and group messaging, study sessions, notifications, reviews, user reports, and account controls. The API applies authenticated access to student resources and validates key inputs such as session time ranges and group membership. An administrator dashboard separately supports protected administration operations, including user-status controls, report handling, and match-weight configuration.</w:t>
      </w:r>
    </w:p>
    <w:p>
      <w:r>
        <w:rPr>
          <w:b w:val="0"/>
          <w:sz w:val="22"/>
        </w:rPr>
        <w:t>This revision verifies descriptive claims against the current source configuration and implementation files. It does not claim a completed participant study, System Usability Scale (SUS) score, ISO/IEC 25010 rating, load-test result, or measured learning outcome. Such results should be added only after the corresponding protocol is approved, testing is performed, and results are documented.</w:t>
      </w:r>
    </w:p>
    <w:p>
      <w:pPr>
        <w:pStyle w:val="Heading2"/>
      </w:pPr>
      <w:r>
        <w:t>4.1 Functional Requirements and Implemented Features</w:t>
      </w:r>
    </w:p>
    <w:p>
      <w:r>
        <w:rPr>
          <w:b w:val="0"/>
          <w:sz w:val="22"/>
        </w:rPr>
        <w:t>The design decisions in MatchLearn follow the actual system that has been implemented, not the original proposal language. The app supports Google sign-in, account creation, profile editing, study-buddy discovery, group management, direct and group messaging, scheduling, notifications, reviews, reports, and account controls. The system maintains institutional boundaries through Google email validation and does not claim to access official grade or enrollment records.</w:t>
      </w:r>
    </w:p>
    <w:p>
      <w:pPr>
        <w:pStyle w:val="Heading2"/>
      </w:pPr>
      <w:r>
        <w:t>4.2 Verification and Evaluation Status</w:t>
      </w:r>
    </w:p>
    <w:p>
      <w:r>
        <w:rPr>
          <w:b w:val="0"/>
          <w:sz w:val="22"/>
        </w:rPr>
        <w:t>This revision confirms descriptive claims against the current project implementation. It does not claim improved academic performance, higher retention, or a measured usability score because those outcomes were not supplied. Future evaluation work should include task-based usability testing, supported-device testing, API reliability measurement, and a documented assessment against selected ISO/IEC 25010 characteristics.</w:t>
      </w:r>
    </w:p>
    <w:p>
      <w:pPr>
        <w:pStyle w:val="Heading1"/>
      </w:pPr>
      <w:r>
        <w:t>5. RESULTS AND DISCUSSION</w:t>
      </w:r>
    </w:p>
    <w:p>
      <w:r>
        <w:rPr>
          <w:b w:val="0"/>
          <w:sz w:val="22"/>
        </w:rPr>
        <w:t>The project currently contains a functional mobile client and Laravel API for the described student collaboration workflows. The following discussion summarizes implemented system capabilities. It is not a report of educational impact or a controlled user evaluation.</w:t>
      </w:r>
    </w:p>
    <w:p>
      <w:r>
        <w:rPr>
          <w:b w:val="0"/>
          <w:sz w:val="22"/>
        </w:rPr>
        <w:t>The mobile app uses Google sign-in for both returning users and new account creation. New users provide a name before continuing with Google; returning users authenticate with the Google account associated with their existing MatchLearn record. After authentication, users can complete or edit their study profiles and use the app's primary areas: Home, Discover, Study Sessions, Messages, Buddies, and Profile.</w:t>
      </w:r>
    </w:p>
    <w:p>
      <w:r>
        <w:rPr>
          <w:b w:val="0"/>
          <w:sz w:val="22"/>
        </w:rPr>
        <w:t>Discover returns match recommendations calculated from available profile information. Buddy requests support pending and accepted states. Study groups support discovery, creation, updates, membership, join-request decisions, and group reviews. Messaging supports direct conversations and group messages. Session records include a topic, start and end times, location, and a buddy or group association. The API also provides notifications, reviews, user reporting, and account-management routes.</w:t>
      </w:r>
    </w:p>
    <w:p>
      <w:r>
        <w:rPr>
          <w:b w:val="0"/>
          <w:sz w:val="22"/>
        </w:rPr>
        <w:t>The matching score combines seven profile-based criteria using configurable weights. A missing or incomplete profile can limit the information available for comparison; the match result should therefore be interpreted as a discovery aid. Users control the accuracy and completeness of their own profile details. Because no external academic records or evaluation dataset are used in the supplied implementation evidence, the score must not be described as a validated measure of student performance.</w:t>
      </w:r>
    </w:p>
    <w:p>
      <w:pPr>
        <w:pStyle w:val="Heading2"/>
      </w:pPr>
      <w:r>
        <w:t>Table 1. Implemented technology stack</w:t>
      </w:r>
    </w:p>
    <w:tbl>
      <w:tblPr>
        <w:tblStyle w:val="TableGrid"/>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Implementation</w:t>
            </w:r>
          </w:p>
        </w:tc>
      </w:tr>
      <w:tr>
        <w:tc>
          <w:tcPr>
            <w:tcW w:type="dxa" w:w="4320"/>
          </w:tcPr>
          <w:p>
            <w:r>
              <w:t>Mobile client</w:t>
            </w:r>
          </w:p>
        </w:tc>
        <w:tc>
          <w:tcPr>
            <w:tcW w:type="dxa" w:w="4320"/>
          </w:tcPr>
          <w:p>
            <w:r>
              <w:t>Expo SDK 57, React Native 0.86, TypeScript</w:t>
            </w:r>
          </w:p>
        </w:tc>
      </w:tr>
      <w:tr>
        <w:tc>
          <w:tcPr>
            <w:tcW w:type="dxa" w:w="4320"/>
          </w:tcPr>
          <w:p>
            <w:r>
              <w:t>Navigation and server state</w:t>
            </w:r>
          </w:p>
        </w:tc>
        <w:tc>
          <w:tcPr>
            <w:tcW w:type="dxa" w:w="4320"/>
          </w:tcPr>
          <w:p>
            <w:r>
              <w:t>React Navigation and TanStack Query</w:t>
            </w:r>
          </w:p>
        </w:tc>
      </w:tr>
      <w:tr>
        <w:tc>
          <w:tcPr>
            <w:tcW w:type="dxa" w:w="4320"/>
          </w:tcPr>
          <w:p>
            <w:r>
              <w:t>API transport and token storage</w:t>
            </w:r>
          </w:p>
        </w:tc>
        <w:tc>
          <w:tcPr>
            <w:tcW w:type="dxa" w:w="4320"/>
          </w:tcPr>
          <w:p>
            <w:r>
              <w:t>Axios and Expo SecureStore</w:t>
            </w:r>
          </w:p>
        </w:tc>
      </w:tr>
      <w:tr>
        <w:tc>
          <w:tcPr>
            <w:tcW w:type="dxa" w:w="4320"/>
          </w:tcPr>
          <w:p>
            <w:r>
              <w:t>Backend</w:t>
            </w:r>
          </w:p>
        </w:tc>
        <w:tc>
          <w:tcPr>
            <w:tcW w:type="dxa" w:w="4320"/>
          </w:tcPr>
          <w:p>
            <w:r>
              <w:t>Laravel 12 REST API under /api/v1</w:t>
            </w:r>
          </w:p>
        </w:tc>
      </w:tr>
      <w:tr>
        <w:tc>
          <w:tcPr>
            <w:tcW w:type="dxa" w:w="4320"/>
          </w:tcPr>
          <w:p>
            <w:r>
              <w:t>Authentication</w:t>
            </w:r>
          </w:p>
        </w:tc>
        <w:tc>
          <w:tcPr>
            <w:tcW w:type="dxa" w:w="4320"/>
          </w:tcPr>
          <w:p>
            <w:r>
              <w:t>Google ID-token verification and Laravel Sanctum</w:t>
            </w:r>
          </w:p>
        </w:tc>
      </w:tr>
      <w:tr>
        <w:tc>
          <w:tcPr>
            <w:tcW w:type="dxa" w:w="4320"/>
          </w:tcPr>
          <w:p>
            <w:r>
              <w:t>Database and deployment</w:t>
            </w:r>
          </w:p>
        </w:tc>
        <w:tc>
          <w:tcPr>
            <w:tcW w:type="dxa" w:w="4320"/>
          </w:tcPr>
          <w:p>
            <w:r>
              <w:t>PostgreSQL with Render deployment configuration</w:t>
            </w:r>
          </w:p>
        </w:tc>
      </w:tr>
    </w:tbl>
    <w:p/>
    <w:p>
      <w:pPr>
        <w:pStyle w:val="Heading2"/>
      </w:pPr>
      <w:r>
        <w:t>Table 2. User roles and access surfaces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Interface</w:t>
            </w:r>
          </w:p>
        </w:tc>
        <w:tc>
          <w:tcPr>
            <w:tcW w:type="dxa" w:w="2880"/>
          </w:tcPr>
          <w:p>
            <w:r>
              <w:rPr>
                <w:b/>
              </w:rPr>
              <w:t>Principal access</w:t>
            </w:r>
          </w:p>
        </w:tc>
      </w:tr>
      <w:tr>
        <w:tc>
          <w:tcPr>
            <w:tcW w:type="dxa" w:w="2880"/>
          </w:tcPr>
          <w:p>
            <w:r>
              <w:t>Student</w:t>
            </w:r>
          </w:p>
        </w:tc>
        <w:tc>
          <w:tcPr>
            <w:tcW w:type="dxa" w:w="2880"/>
          </w:tcPr>
          <w:p>
            <w:r>
              <w:t>MatchLearn mobile app</w:t>
            </w:r>
          </w:p>
        </w:tc>
        <w:tc>
          <w:tcPr>
            <w:tcW w:type="dxa" w:w="2880"/>
          </w:tcPr>
          <w:p>
            <w:r>
              <w:t>Profile, matched recommendations, buddy requests, groups, messages, sessions, reviews, notifications, and reports.</w:t>
            </w:r>
          </w:p>
        </w:tc>
      </w:tr>
      <w:tr>
        <w:tc>
          <w:tcPr>
            <w:tcW w:type="dxa" w:w="2880"/>
          </w:tcPr>
          <w:p>
            <w:r>
              <w:t>Administrator</w:t>
            </w:r>
          </w:p>
        </w:tc>
        <w:tc>
          <w:tcPr>
            <w:tcW w:type="dxa" w:w="2880"/>
          </w:tcPr>
          <w:p>
            <w:r>
              <w:t>Separate web dashboard</w:t>
            </w:r>
          </w:p>
        </w:tc>
        <w:tc>
          <w:tcPr>
            <w:tcW w:type="dxa" w:w="2880"/>
          </w:tcPr>
          <w:p>
            <w:r>
              <w:t>Account-status management, report handling, and match-weight configuration.</w:t>
            </w:r>
          </w:p>
        </w:tc>
      </w:tr>
    </w:tbl>
    <w:p/>
    <w:p>
      <w:pPr>
        <w:pStyle w:val="Heading2"/>
      </w:pPr>
      <w:r>
        <w:t>Table 3. Student-facing functional modules</w:t>
      </w:r>
    </w:p>
    <w:tbl>
      <w:tblPr>
        <w:tblStyle w:val="TableGrid"/>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Implemented capability</w:t>
            </w:r>
          </w:p>
        </w:tc>
      </w:tr>
      <w:tr>
        <w:tc>
          <w:tcPr>
            <w:tcW w:type="dxa" w:w="4320"/>
          </w:tcPr>
          <w:p>
            <w:r>
              <w:t>Authentication and profile</w:t>
            </w:r>
          </w:p>
        </w:tc>
        <w:tc>
          <w:tcPr>
            <w:tcW w:type="dxa" w:w="4320"/>
          </w:tcPr>
          <w:p>
            <w:r>
              <w:t>Google sign-in, account creation, profile editing, and profile photo management.</w:t>
            </w:r>
          </w:p>
        </w:tc>
      </w:tr>
      <w:tr>
        <w:tc>
          <w:tcPr>
            <w:tcW w:type="dxa" w:w="4320"/>
          </w:tcPr>
          <w:p>
            <w:r>
              <w:t>Discover and buddies</w:t>
            </w:r>
          </w:p>
        </w:tc>
        <w:tc>
          <w:tcPr>
            <w:tcW w:type="dxa" w:w="4320"/>
          </w:tcPr>
          <w:p>
            <w:r>
              <w:t>Ranked match recommendations, buddy requests, accepted connections, and buddy reviews.</w:t>
            </w:r>
          </w:p>
        </w:tc>
      </w:tr>
      <w:tr>
        <w:tc>
          <w:tcPr>
            <w:tcW w:type="dxa" w:w="4320"/>
          </w:tcPr>
          <w:p>
            <w:r>
              <w:t>Study groups</w:t>
            </w:r>
          </w:p>
        </w:tc>
        <w:tc>
          <w:tcPr>
            <w:tcW w:type="dxa" w:w="4320"/>
          </w:tcPr>
          <w:p>
            <w:r>
              <w:t>Discover/create/update groups, request to join, membership management, and group reviews.</w:t>
            </w:r>
          </w:p>
        </w:tc>
      </w:tr>
      <w:tr>
        <w:tc>
          <w:tcPr>
            <w:tcW w:type="dxa" w:w="4320"/>
          </w:tcPr>
          <w:p>
            <w:r>
              <w:t>Messaging</w:t>
            </w:r>
          </w:p>
        </w:tc>
        <w:tc>
          <w:tcPr>
            <w:tcW w:type="dxa" w:w="4320"/>
          </w:tcPr>
          <w:p>
            <w:r>
              <w:t>Direct conversations and group messages.</w:t>
            </w:r>
          </w:p>
        </w:tc>
      </w:tr>
      <w:tr>
        <w:tc>
          <w:tcPr>
            <w:tcW w:type="dxa" w:w="4320"/>
          </w:tcPr>
          <w:p>
            <w:r>
              <w:t>Study sessions</w:t>
            </w:r>
          </w:p>
        </w:tc>
        <w:tc>
          <w:tcPr>
            <w:tcW w:type="dxa" w:w="4320"/>
          </w:tcPr>
          <w:p>
            <w:r>
              <w:t>Create and manage a scheduled session with an accepted buddy or joined group.</w:t>
            </w:r>
          </w:p>
        </w:tc>
      </w:tr>
      <w:tr>
        <w:tc>
          <w:tcPr>
            <w:tcW w:type="dxa" w:w="4320"/>
          </w:tcPr>
          <w:p>
            <w:r>
              <w:t>Activity and account</w:t>
            </w:r>
          </w:p>
        </w:tc>
        <w:tc>
          <w:tcPr>
            <w:tcW w:type="dxa" w:w="4320"/>
          </w:tcPr>
          <w:p>
            <w:r>
              <w:t>Notifications, user reports, sign-out, and account deletion.</w:t>
            </w:r>
          </w:p>
        </w:tc>
      </w:tr>
    </w:tbl>
    <w:p/>
    <w:p>
      <w:pPr>
        <w:pStyle w:val="Heading2"/>
      </w:pPr>
      <w:r>
        <w:t>Table 4. Inputs considered by the matching service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Criterion</w:t>
            </w:r>
          </w:p>
        </w:tc>
        <w:tc>
          <w:tcPr>
            <w:tcW w:type="dxa" w:w="2880"/>
          </w:tcPr>
          <w:p>
            <w:r>
              <w:rPr>
                <w:b/>
              </w:rPr>
              <w:t>Profile data</w:t>
            </w:r>
          </w:p>
        </w:tc>
        <w:tc>
          <w:tcPr>
            <w:tcW w:type="dxa" w:w="2880"/>
          </w:tcPr>
          <w:p>
            <w:r>
              <w:rPr>
                <w:b/>
              </w:rPr>
              <w:t>Default maximum weight</w:t>
            </w:r>
          </w:p>
        </w:tc>
      </w:tr>
      <w:tr>
        <w:tc>
          <w:tcPr>
            <w:tcW w:type="dxa" w:w="2880"/>
          </w:tcPr>
          <w:p>
            <w:r>
              <w:t>Courses</w:t>
            </w:r>
          </w:p>
        </w:tc>
        <w:tc>
          <w:tcPr>
            <w:tcW w:type="dxa" w:w="2880"/>
          </w:tcPr>
          <w:p>
            <w:r>
              <w:t>Shared or compatible study-course information</w:t>
            </w:r>
          </w:p>
        </w:tc>
        <w:tc>
          <w:tcPr>
            <w:tcW w:type="dxa" w:w="2880"/>
          </w:tcPr>
          <w:p>
            <w:r>
              <w:t>25</w:t>
            </w:r>
          </w:p>
        </w:tc>
      </w:tr>
      <w:tr>
        <w:tc>
          <w:tcPr>
            <w:tcW w:type="dxa" w:w="2880"/>
          </w:tcPr>
          <w:p>
            <w:r>
              <w:t>Academic complementarity</w:t>
            </w:r>
          </w:p>
        </w:tc>
        <w:tc>
          <w:tcPr>
            <w:tcW w:type="dxa" w:w="2880"/>
          </w:tcPr>
          <w:p>
            <w:r>
              <w:t>Academic strengths and needs</w:t>
            </w:r>
          </w:p>
        </w:tc>
        <w:tc>
          <w:tcPr>
            <w:tcW w:type="dxa" w:w="2880"/>
          </w:tcPr>
          <w:p>
            <w:r>
              <w:t>25</w:t>
            </w:r>
          </w:p>
        </w:tc>
      </w:tr>
      <w:tr>
        <w:tc>
          <w:tcPr>
            <w:tcW w:type="dxa" w:w="2880"/>
          </w:tcPr>
          <w:p>
            <w:r>
              <w:t>Program</w:t>
            </w:r>
          </w:p>
        </w:tc>
        <w:tc>
          <w:tcPr>
            <w:tcW w:type="dxa" w:w="2880"/>
          </w:tcPr>
          <w:p>
            <w:r>
              <w:t>Program and department compatibility</w:t>
            </w:r>
          </w:p>
        </w:tc>
        <w:tc>
          <w:tcPr>
            <w:tcW w:type="dxa" w:w="2880"/>
          </w:tcPr>
          <w:p>
            <w:r>
              <w:t>20</w:t>
            </w:r>
          </w:p>
        </w:tc>
      </w:tr>
      <w:tr>
        <w:tc>
          <w:tcPr>
            <w:tcW w:type="dxa" w:w="2880"/>
          </w:tcPr>
          <w:p>
            <w:r>
              <w:t>Learning style</w:t>
            </w:r>
          </w:p>
        </w:tc>
        <w:tc>
          <w:tcPr>
            <w:tcW w:type="dxa" w:w="2880"/>
          </w:tcPr>
          <w:p>
            <w:r>
              <w:t>Selected learning-style preference</w:t>
            </w:r>
          </w:p>
        </w:tc>
        <w:tc>
          <w:tcPr>
            <w:tcW w:type="dxa" w:w="2880"/>
          </w:tcPr>
          <w:p>
            <w:r>
              <w:t>10</w:t>
            </w:r>
          </w:p>
        </w:tc>
      </w:tr>
      <w:tr>
        <w:tc>
          <w:tcPr>
            <w:tcW w:type="dxa" w:w="2880"/>
          </w:tcPr>
          <w:p>
            <w:r>
              <w:t>Schedule</w:t>
            </w:r>
          </w:p>
        </w:tc>
        <w:tc>
          <w:tcPr>
            <w:tcW w:type="dxa" w:w="2880"/>
          </w:tcPr>
          <w:p>
            <w:r>
              <w:t>Availability overlap</w:t>
            </w:r>
          </w:p>
        </w:tc>
        <w:tc>
          <w:tcPr>
            <w:tcW w:type="dxa" w:w="2880"/>
          </w:tcPr>
          <w:p>
            <w:r>
              <w:t>10</w:t>
            </w:r>
          </w:p>
        </w:tc>
      </w:tr>
      <w:tr>
        <w:tc>
          <w:tcPr>
            <w:tcW w:type="dxa" w:w="2880"/>
          </w:tcPr>
          <w:p>
            <w:r>
              <w:t>Year level</w:t>
            </w:r>
          </w:p>
        </w:tc>
        <w:tc>
          <w:tcPr>
            <w:tcW w:type="dxa" w:w="2880"/>
          </w:tcPr>
          <w:p>
            <w:r>
              <w:t>Proximity of year level</w:t>
            </w:r>
          </w:p>
        </w:tc>
        <w:tc>
          <w:tcPr>
            <w:tcW w:type="dxa" w:w="2880"/>
          </w:tcPr>
          <w:p>
            <w:r>
              <w:t>5</w:t>
            </w:r>
          </w:p>
        </w:tc>
      </w:tr>
      <w:tr>
        <w:tc>
          <w:tcPr>
            <w:tcW w:type="dxa" w:w="2880"/>
          </w:tcPr>
          <w:p>
            <w:r>
              <w:t>Study mode</w:t>
            </w:r>
          </w:p>
        </w:tc>
        <w:tc>
          <w:tcPr>
            <w:tcW w:type="dxa" w:w="2880"/>
          </w:tcPr>
          <w:p>
            <w:r>
              <w:t>Compatibility of study mode</w:t>
            </w:r>
          </w:p>
        </w:tc>
        <w:tc>
          <w:tcPr>
            <w:tcW w:type="dxa" w:w="2880"/>
          </w:tcPr>
          <w:p>
            <w:r>
              <w:t>5</w:t>
            </w:r>
          </w:p>
        </w:tc>
      </w:tr>
    </w:tbl>
    <w:p/>
    <w:p>
      <w:pPr>
        <w:pStyle w:val="Heading2"/>
      </w:pPr>
      <w:r>
        <w:t>Table 5. Default match weights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Criterion</w:t>
            </w:r>
          </w:p>
        </w:tc>
        <w:tc>
          <w:tcPr>
            <w:tcW w:type="dxa" w:w="2880"/>
          </w:tcPr>
          <w:p>
            <w:r>
              <w:rPr>
                <w:b/>
              </w:rPr>
              <w:t>Default weight</w:t>
            </w:r>
          </w:p>
        </w:tc>
        <w:tc>
          <w:tcPr>
            <w:tcW w:type="dxa" w:w="2880"/>
          </w:tcPr>
          <w:p>
            <w:r>
              <w:rPr>
                <w:b/>
              </w:rPr>
              <w:t>Share of 100-point total</w:t>
            </w:r>
          </w:p>
        </w:tc>
      </w:tr>
      <w:tr>
        <w:tc>
          <w:tcPr>
            <w:tcW w:type="dxa" w:w="2880"/>
          </w:tcPr>
          <w:p>
            <w:r>
              <w:t>Courses</w:t>
            </w:r>
          </w:p>
        </w:tc>
        <w:tc>
          <w:tcPr>
            <w:tcW w:type="dxa" w:w="2880"/>
          </w:tcPr>
          <w:p>
            <w:r>
              <w:t>25</w:t>
            </w:r>
          </w:p>
        </w:tc>
        <w:tc>
          <w:tcPr>
            <w:tcW w:type="dxa" w:w="2880"/>
          </w:tcPr>
          <w:p>
            <w:r>
              <w:t>25%</w:t>
            </w:r>
          </w:p>
        </w:tc>
      </w:tr>
      <w:tr>
        <w:tc>
          <w:tcPr>
            <w:tcW w:type="dxa" w:w="2880"/>
          </w:tcPr>
          <w:p>
            <w:r>
              <w:t>Academic complementarity</w:t>
            </w:r>
          </w:p>
        </w:tc>
        <w:tc>
          <w:tcPr>
            <w:tcW w:type="dxa" w:w="2880"/>
          </w:tcPr>
          <w:p>
            <w:r>
              <w:t>25</w:t>
            </w:r>
          </w:p>
        </w:tc>
        <w:tc>
          <w:tcPr>
            <w:tcW w:type="dxa" w:w="2880"/>
          </w:tcPr>
          <w:p>
            <w:r>
              <w:t>25%</w:t>
            </w:r>
          </w:p>
        </w:tc>
      </w:tr>
      <w:tr>
        <w:tc>
          <w:tcPr>
            <w:tcW w:type="dxa" w:w="2880"/>
          </w:tcPr>
          <w:p>
            <w:r>
              <w:t>Program</w:t>
            </w:r>
          </w:p>
        </w:tc>
        <w:tc>
          <w:tcPr>
            <w:tcW w:type="dxa" w:w="2880"/>
          </w:tcPr>
          <w:p>
            <w:r>
              <w:t>20</w:t>
            </w:r>
          </w:p>
        </w:tc>
        <w:tc>
          <w:tcPr>
            <w:tcW w:type="dxa" w:w="2880"/>
          </w:tcPr>
          <w:p>
            <w:r>
              <w:t>20%</w:t>
            </w:r>
          </w:p>
        </w:tc>
      </w:tr>
      <w:tr>
        <w:tc>
          <w:tcPr>
            <w:tcW w:type="dxa" w:w="2880"/>
          </w:tcPr>
          <w:p>
            <w:r>
              <w:t>Learning style</w:t>
            </w:r>
          </w:p>
        </w:tc>
        <w:tc>
          <w:tcPr>
            <w:tcW w:type="dxa" w:w="2880"/>
          </w:tcPr>
          <w:p>
            <w:r>
              <w:t>10</w:t>
            </w:r>
          </w:p>
        </w:tc>
        <w:tc>
          <w:tcPr>
            <w:tcW w:type="dxa" w:w="2880"/>
          </w:tcPr>
          <w:p>
            <w:r>
              <w:t>10%</w:t>
            </w:r>
          </w:p>
        </w:tc>
      </w:tr>
      <w:tr>
        <w:tc>
          <w:tcPr>
            <w:tcW w:type="dxa" w:w="2880"/>
          </w:tcPr>
          <w:p>
            <w:r>
              <w:t>Schedule</w:t>
            </w:r>
          </w:p>
        </w:tc>
        <w:tc>
          <w:tcPr>
            <w:tcW w:type="dxa" w:w="2880"/>
          </w:tcPr>
          <w:p>
            <w:r>
              <w:t>10</w:t>
            </w:r>
          </w:p>
        </w:tc>
        <w:tc>
          <w:tcPr>
            <w:tcW w:type="dxa" w:w="2880"/>
          </w:tcPr>
          <w:p>
            <w:r>
              <w:t>10%</w:t>
            </w:r>
          </w:p>
        </w:tc>
      </w:tr>
      <w:tr>
        <w:tc>
          <w:tcPr>
            <w:tcW w:type="dxa" w:w="2880"/>
          </w:tcPr>
          <w:p>
            <w:r>
              <w:t>Year level</w:t>
            </w:r>
          </w:p>
        </w:tc>
        <w:tc>
          <w:tcPr>
            <w:tcW w:type="dxa" w:w="2880"/>
          </w:tcPr>
          <w:p>
            <w:r>
              <w:t>5</w:t>
            </w:r>
          </w:p>
        </w:tc>
        <w:tc>
          <w:tcPr>
            <w:tcW w:type="dxa" w:w="2880"/>
          </w:tcPr>
          <w:p>
            <w:r>
              <w:t>5%</w:t>
            </w:r>
          </w:p>
        </w:tc>
      </w:tr>
      <w:tr>
        <w:tc>
          <w:tcPr>
            <w:tcW w:type="dxa" w:w="2880"/>
          </w:tcPr>
          <w:p>
            <w:r>
              <w:t>Study mode</w:t>
            </w:r>
          </w:p>
        </w:tc>
        <w:tc>
          <w:tcPr>
            <w:tcW w:type="dxa" w:w="2880"/>
          </w:tcPr>
          <w:p>
            <w:r>
              <w:t>5</w:t>
            </w:r>
          </w:p>
        </w:tc>
        <w:tc>
          <w:tcPr>
            <w:tcW w:type="dxa" w:w="2880"/>
          </w:tcPr>
          <w:p>
            <w:r>
              <w:t>5%</w:t>
            </w:r>
          </w:p>
        </w:tc>
      </w:tr>
      <w:tr>
        <w:tc>
          <w:tcPr>
            <w:tcW w:type="dxa" w:w="2880"/>
          </w:tcPr>
          <w:p>
            <w:r>
              <w:t>Total</w:t>
            </w:r>
          </w:p>
        </w:tc>
        <w:tc>
          <w:tcPr>
            <w:tcW w:type="dxa" w:w="2880"/>
          </w:tcPr>
          <w:p>
            <w:r>
              <w:t>100</w:t>
            </w:r>
          </w:p>
        </w:tc>
        <w:tc>
          <w:tcPr>
            <w:tcW w:type="dxa" w:w="2880"/>
          </w:tcPr>
          <w:p>
            <w:r>
              <w:t>100%</w:t>
            </w:r>
          </w:p>
        </w:tc>
      </w:tr>
    </w:tbl>
    <w:p/>
    <w:p>
      <w:pPr>
        <w:pStyle w:val="Heading2"/>
      </w:pPr>
      <w:r>
        <w:t>Table 6. Mobile API route groups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API group</w:t>
            </w:r>
          </w:p>
        </w:tc>
        <w:tc>
          <w:tcPr>
            <w:tcW w:type="dxa" w:w="2880"/>
          </w:tcPr>
          <w:p>
            <w:r>
              <w:rPr>
                <w:b/>
              </w:rPr>
              <w:t>Example routes</w:t>
            </w:r>
          </w:p>
        </w:tc>
        <w:tc>
          <w:tcPr>
            <w:tcW w:type="dxa" w:w="2880"/>
          </w:tcPr>
          <w:p>
            <w:r>
              <w:rPr>
                <w:b/>
              </w:rPr>
              <w:t>Purpose</w:t>
            </w:r>
          </w:p>
        </w:tc>
      </w:tr>
      <w:tr>
        <w:tc>
          <w:tcPr>
            <w:tcW w:type="dxa" w:w="2880"/>
          </w:tcPr>
          <w:p>
            <w:r>
              <w:t>Authentication</w:t>
            </w:r>
          </w:p>
        </w:tc>
        <w:tc>
          <w:tcPr>
            <w:tcW w:type="dxa" w:w="2880"/>
          </w:tcPr>
          <w:p>
            <w:r>
              <w:t>POST /api/v1/auth/google; GET /api/v1/auth/me; POST /api/v1/auth/logout</w:t>
            </w:r>
          </w:p>
        </w:tc>
        <w:tc>
          <w:tcPr>
            <w:tcW w:type="dxa" w:w="2880"/>
          </w:tcPr>
          <w:p>
            <w:r>
              <w:t>Google login, current-user lookup, and sign-out.</w:t>
            </w:r>
          </w:p>
        </w:tc>
      </w:tr>
      <w:tr>
        <w:tc>
          <w:tcPr>
            <w:tcW w:type="dxa" w:w="2880"/>
          </w:tcPr>
          <w:p>
            <w:r>
              <w:t>Profiles and catalog</w:t>
            </w:r>
          </w:p>
        </w:tc>
        <w:tc>
          <w:tcPr>
            <w:tcW w:type="dxa" w:w="2880"/>
          </w:tcPr>
          <w:p>
            <w:r>
              <w:t>GET/POST/PUT /api/v1/profiles; GET /api/v1/catalog</w:t>
            </w:r>
          </w:p>
        </w:tc>
        <w:tc>
          <w:tcPr>
            <w:tcW w:type="dxa" w:w="2880"/>
          </w:tcPr>
          <w:p>
            <w:r>
              <w:t>Profile management and academic catalog data.</w:t>
            </w:r>
          </w:p>
        </w:tc>
      </w:tr>
      <w:tr>
        <w:tc>
          <w:tcPr>
            <w:tcW w:type="dxa" w:w="2880"/>
          </w:tcPr>
          <w:p>
            <w:r>
              <w:t>Matches and buddies</w:t>
            </w:r>
          </w:p>
        </w:tc>
        <w:tc>
          <w:tcPr>
            <w:tcW w:type="dxa" w:w="2880"/>
          </w:tcPr>
          <w:p>
            <w:r>
              <w:t>GET /api/v1/matches; POST /api/v1/matches/refresh; /api/v1/buddies/...</w:t>
            </w:r>
          </w:p>
        </w:tc>
        <w:tc>
          <w:tcPr>
            <w:tcW w:type="dxa" w:w="2880"/>
          </w:tcPr>
          <w:p>
            <w:r>
              <w:t>Recommendations, buddy requests, and accepted connections.</w:t>
            </w:r>
          </w:p>
        </w:tc>
      </w:tr>
      <w:tr>
        <w:tc>
          <w:tcPr>
            <w:tcW w:type="dxa" w:w="2880"/>
          </w:tcPr>
          <w:p>
            <w:r>
              <w:t>Groups and messages</w:t>
            </w:r>
          </w:p>
        </w:tc>
        <w:tc>
          <w:tcPr>
            <w:tcW w:type="dxa" w:w="2880"/>
          </w:tcPr>
          <w:p>
            <w:r>
              <w:t>/api/v1/groups/...; /api/v1/messages/...</w:t>
            </w:r>
          </w:p>
        </w:tc>
        <w:tc>
          <w:tcPr>
            <w:tcW w:type="dxa" w:w="2880"/>
          </w:tcPr>
          <w:p>
            <w:r>
              <w:t>Group management and direct or group messaging.</w:t>
            </w:r>
          </w:p>
        </w:tc>
      </w:tr>
      <w:tr>
        <w:tc>
          <w:tcPr>
            <w:tcW w:type="dxa" w:w="2880"/>
          </w:tcPr>
          <w:p>
            <w:r>
              <w:t>Sessions and activity</w:t>
            </w:r>
          </w:p>
        </w:tc>
        <w:tc>
          <w:tcPr>
            <w:tcW w:type="dxa" w:w="2880"/>
          </w:tcPr>
          <w:p>
            <w:r>
              <w:t>/api/v1/sessions; /api/v1/notifications; /api/v1/reviews</w:t>
            </w:r>
          </w:p>
        </w:tc>
        <w:tc>
          <w:tcPr>
            <w:tcW w:type="dxa" w:w="2880"/>
          </w:tcPr>
          <w:p>
            <w:r>
              <w:t>Study-session scheduling, notifications, and reviews.</w:t>
            </w:r>
          </w:p>
        </w:tc>
      </w:tr>
      <w:tr>
        <w:tc>
          <w:tcPr>
            <w:tcW w:type="dxa" w:w="2880"/>
          </w:tcPr>
          <w:p>
            <w:r>
              <w:t>User reports</w:t>
            </w:r>
          </w:p>
        </w:tc>
        <w:tc>
          <w:tcPr>
            <w:tcW w:type="dxa" w:w="2880"/>
          </w:tcPr>
          <w:p>
            <w:r>
              <w:t>/api/v1/reports/users/...</w:t>
            </w:r>
          </w:p>
        </w:tc>
        <w:tc>
          <w:tcPr>
            <w:tcW w:type="dxa" w:w="2880"/>
          </w:tcPr>
          <w:p>
            <w:r>
              <w:t>Submits and manages user reports.</w:t>
            </w:r>
          </w:p>
        </w:tc>
      </w:tr>
    </w:tbl>
    <w:p/>
    <w:p>
      <w:pPr>
        <w:pStyle w:val="Heading2"/>
      </w:pPr>
      <w:r>
        <w:t>Table 7. Principal domain records</w:t>
      </w:r>
    </w:p>
    <w:tbl>
      <w:tblPr>
        <w:tblStyle w:val="TableGrid"/>
        <w:tblW w:type="auto" w:w="0"/>
        <w:tblLook w:firstColumn="1" w:firstRow="1" w:lastColumn="0" w:lastRow="0" w:noHBand="0" w:noVBand="1" w:val="04A0"/>
      </w:tblPr>
      <w:tblGrid>
        <w:gridCol w:w="4320"/>
        <w:gridCol w:w="4320"/>
      </w:tblGrid>
      <w:tr>
        <w:tc>
          <w:tcPr>
            <w:tcW w:type="dxa" w:w="4320"/>
          </w:tcPr>
          <w:p>
            <w:r>
              <w:rPr>
                <w:b/>
              </w:rPr>
              <w:t>Domain record</w:t>
            </w:r>
          </w:p>
        </w:tc>
        <w:tc>
          <w:tcPr>
            <w:tcW w:type="dxa" w:w="4320"/>
          </w:tcPr>
          <w:p>
            <w:r>
              <w:rPr>
                <w:b/>
              </w:rPr>
              <w:t>Purpose in the application</w:t>
            </w:r>
          </w:p>
        </w:tc>
      </w:tr>
      <w:tr>
        <w:tc>
          <w:tcPr>
            <w:tcW w:type="dxa" w:w="4320"/>
          </w:tcPr>
          <w:p>
            <w:r>
              <w:t>User and Profile</w:t>
            </w:r>
          </w:p>
        </w:tc>
        <w:tc>
          <w:tcPr>
            <w:tcW w:type="dxa" w:w="4320"/>
          </w:tcPr>
          <w:p>
            <w:r>
              <w:t>Identity/account status and student-provided academic or study preferences.</w:t>
            </w:r>
          </w:p>
        </w:tc>
      </w:tr>
      <w:tr>
        <w:tc>
          <w:tcPr>
            <w:tcW w:type="dxa" w:w="4320"/>
          </w:tcPr>
          <w:p>
            <w:r>
              <w:t>StudyMatch</w:t>
            </w:r>
          </w:p>
        </w:tc>
        <w:tc>
          <w:tcPr>
            <w:tcW w:type="dxa" w:w="4320"/>
          </w:tcPr>
          <w:p>
            <w:r>
              <w:t>Candidate reference, compatibility score, shared-course count, and reasons.</w:t>
            </w:r>
          </w:p>
        </w:tc>
      </w:tr>
      <w:tr>
        <w:tc>
          <w:tcPr>
            <w:tcW w:type="dxa" w:w="4320"/>
          </w:tcPr>
          <w:p>
            <w:r>
              <w:t>BuddyRequest</w:t>
            </w:r>
          </w:p>
        </w:tc>
        <w:tc>
          <w:tcPr>
            <w:tcW w:type="dxa" w:w="4320"/>
          </w:tcPr>
          <w:p>
            <w:r>
              <w:t>Pending or accepted relationship between two students.</w:t>
            </w:r>
          </w:p>
        </w:tc>
      </w:tr>
      <w:tr>
        <w:tc>
          <w:tcPr>
            <w:tcW w:type="dxa" w:w="4320"/>
          </w:tcPr>
          <w:p>
            <w:r>
              <w:t>StudyGroup and membership</w:t>
            </w:r>
          </w:p>
        </w:tc>
        <w:tc>
          <w:tcPr>
            <w:tcW w:type="dxa" w:w="4320"/>
          </w:tcPr>
          <w:p>
            <w:r>
              <w:t>Group details, creator, members, and join-request state.</w:t>
            </w:r>
          </w:p>
        </w:tc>
      </w:tr>
      <w:tr>
        <w:tc>
          <w:tcPr>
            <w:tcW w:type="dxa" w:w="4320"/>
          </w:tcPr>
          <w:p>
            <w:r>
              <w:t>StudySession</w:t>
            </w:r>
          </w:p>
        </w:tc>
        <w:tc>
          <w:tcPr>
            <w:tcW w:type="dxa" w:w="4320"/>
          </w:tcPr>
          <w:p>
            <w:r>
              <w:t>Host, buddy or group association, topic, time, location, and status.</w:t>
            </w:r>
          </w:p>
        </w:tc>
      </w:tr>
      <w:tr>
        <w:tc>
          <w:tcPr>
            <w:tcW w:type="dxa" w:w="4320"/>
          </w:tcPr>
          <w:p>
            <w:r>
              <w:t>DirectConversation and StudyMessage</w:t>
            </w:r>
          </w:p>
        </w:tc>
        <w:tc>
          <w:tcPr>
            <w:tcW w:type="dxa" w:w="4320"/>
          </w:tcPr>
          <w:p>
            <w:r>
              <w:t>Direct/group message organization and message content.</w:t>
            </w:r>
          </w:p>
        </w:tc>
      </w:tr>
      <w:tr>
        <w:tc>
          <w:tcPr>
            <w:tcW w:type="dxa" w:w="4320"/>
          </w:tcPr>
          <w:p>
            <w:r>
              <w:t>ActivityNotification</w:t>
            </w:r>
          </w:p>
        </w:tc>
        <w:tc>
          <w:tcPr>
            <w:tcW w:type="dxa" w:w="4320"/>
          </w:tcPr>
          <w:p>
            <w:r>
              <w:t>User activity notification and read state.</w:t>
            </w:r>
          </w:p>
        </w:tc>
      </w:tr>
      <w:tr>
        <w:tc>
          <w:tcPr>
            <w:tcW w:type="dxa" w:w="4320"/>
          </w:tcPr>
          <w:p>
            <w:r>
              <w:t>Reviews and UserReport</w:t>
            </w:r>
          </w:p>
        </w:tc>
        <w:tc>
          <w:tcPr>
            <w:tcW w:type="dxa" w:w="4320"/>
          </w:tcPr>
          <w:p>
            <w:r>
              <w:t>User-submitted rating/comment and user-report records.</w:t>
            </w:r>
          </w:p>
        </w:tc>
      </w:tr>
    </w:tbl>
    <w:p/>
    <w:p>
      <w:pPr>
        <w:pStyle w:val="Heading2"/>
      </w:pPr>
      <w:r>
        <w:t>Table 8. Scope boundaries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Boundary</w:t>
            </w:r>
          </w:p>
        </w:tc>
        <w:tc>
          <w:tcPr>
            <w:tcW w:type="dxa" w:w="4320"/>
          </w:tcPr>
          <w:p>
            <w:r>
              <w:rPr>
                <w:b/>
              </w:rPr>
              <w:t>Current behavior or limitation</w:t>
            </w:r>
          </w:p>
        </w:tc>
      </w:tr>
      <w:tr>
        <w:tc>
          <w:tcPr>
            <w:tcW w:type="dxa" w:w="4320"/>
          </w:tcPr>
          <w:p>
            <w:r>
              <w:t>Identity</w:t>
            </w:r>
          </w:p>
        </w:tc>
        <w:tc>
          <w:tcPr>
            <w:tcW w:type="dxa" w:w="4320"/>
          </w:tcPr>
          <w:p>
            <w:r>
              <w:t>Only Google sign-in is offered; the API requires an eligible institutional email domain.</w:t>
            </w:r>
          </w:p>
        </w:tc>
      </w:tr>
      <w:tr>
        <w:tc>
          <w:tcPr>
            <w:tcW w:type="dxa" w:w="4320"/>
          </w:tcPr>
          <w:p>
            <w:r>
              <w:t>Profile data</w:t>
            </w:r>
          </w:p>
        </w:tc>
        <w:tc>
          <w:tcPr>
            <w:tcW w:type="dxa" w:w="4320"/>
          </w:tcPr>
          <w:p>
            <w:r>
              <w:t>Study attributes are user-provided; the app does not read official student records or grades.</w:t>
            </w:r>
          </w:p>
        </w:tc>
      </w:tr>
      <w:tr>
        <w:tc>
          <w:tcPr>
            <w:tcW w:type="dxa" w:w="4320"/>
          </w:tcPr>
          <w:p>
            <w:r>
              <w:t>Compatibility score</w:t>
            </w:r>
          </w:p>
        </w:tc>
        <w:tc>
          <w:tcPr>
            <w:tcW w:type="dxa" w:w="4320"/>
          </w:tcPr>
          <w:p>
            <w:r>
              <w:t>A configurable ranking signal; not validated as a predictor of academic outcomes.</w:t>
            </w:r>
          </w:p>
        </w:tc>
      </w:tr>
      <w:tr>
        <w:tc>
          <w:tcPr>
            <w:tcW w:type="dxa" w:w="4320"/>
          </w:tcPr>
          <w:p>
            <w:r>
              <w:t>Study activity</w:t>
            </w:r>
          </w:p>
        </w:tc>
        <w:tc>
          <w:tcPr>
            <w:tcW w:type="dxa" w:w="4320"/>
          </w:tcPr>
          <w:p>
            <w:r>
              <w:t>Coordination and communication features are included; video conferencing and course delivery are not.</w:t>
            </w:r>
          </w:p>
        </w:tc>
      </w:tr>
      <w:tr>
        <w:tc>
          <w:tcPr>
            <w:tcW w:type="dxa" w:w="4320"/>
          </w:tcPr>
          <w:p>
            <w:r>
              <w:t>Evaluation</w:t>
            </w:r>
          </w:p>
        </w:tc>
        <w:tc>
          <w:tcPr>
            <w:tcW w:type="dxa" w:w="4320"/>
          </w:tcPr>
          <w:p>
            <w:r>
              <w:t>No participant-based usability or educational-outcome result is claimed in this document.</w:t>
            </w:r>
          </w:p>
        </w:tc>
      </w:tr>
    </w:tbl>
    <w:p/>
    <w:p>
      <w:pPr>
        <w:pStyle w:val="Heading2"/>
      </w:pPr>
      <w:r>
        <w:t>Table 9. Verification and evaluation evidence</w:t>
      </w:r>
    </w:p>
    <w:tbl>
      <w:tblPr>
        <w:tblStyle w:val="TableGrid"/>
        <w:tblW w:type="auto" w:w="0"/>
        <w:tblLook w:firstColumn="1" w:firstRow="1" w:lastColumn="0" w:lastRow="0" w:noHBand="0" w:noVBand="1" w:val="04A0"/>
      </w:tblPr>
      <w:tblGrid>
        <w:gridCol w:w="4320"/>
        <w:gridCol w:w="4320"/>
      </w:tblGrid>
      <w:tr>
        <w:tc>
          <w:tcPr>
            <w:tcW w:type="dxa" w:w="4320"/>
          </w:tcPr>
          <w:p>
            <w:r>
              <w:rPr>
                <w:b/>
              </w:rPr>
              <w:t>Claim or evidence</w:t>
            </w:r>
          </w:p>
        </w:tc>
        <w:tc>
          <w:tcPr>
            <w:tcW w:type="dxa" w:w="4320"/>
          </w:tcPr>
          <w:p>
            <w:r>
              <w:rPr>
                <w:b/>
              </w:rPr>
              <w:t>Status in this revision</w:t>
            </w:r>
          </w:p>
        </w:tc>
      </w:tr>
      <w:tr>
        <w:tc>
          <w:tcPr>
            <w:tcW w:type="dxa" w:w="4320"/>
          </w:tcPr>
          <w:p>
            <w:r>
              <w:t>Mobile framework, API routes, authentication, match weights, data models, and deployment target</w:t>
            </w:r>
          </w:p>
        </w:tc>
        <w:tc>
          <w:tcPr>
            <w:tcW w:type="dxa" w:w="4320"/>
          </w:tcPr>
          <w:p>
            <w:r>
              <w:t>Checked against current project configuration and implementation.</w:t>
            </w:r>
          </w:p>
        </w:tc>
      </w:tr>
      <w:tr>
        <w:tc>
          <w:tcPr>
            <w:tcW w:type="dxa" w:w="4320"/>
          </w:tcPr>
          <w:p>
            <w:r>
              <w:t>Automated test results or device-compatibility matrix</w:t>
            </w:r>
          </w:p>
        </w:tc>
        <w:tc>
          <w:tcPr>
            <w:tcW w:type="dxa" w:w="4320"/>
          </w:tcPr>
          <w:p>
            <w:r>
              <w:t>Not provided as evidence for this document.</w:t>
            </w:r>
          </w:p>
        </w:tc>
      </w:tr>
      <w:tr>
        <w:tc>
          <w:tcPr>
            <w:tcW w:type="dxa" w:w="4320"/>
          </w:tcPr>
          <w:p>
            <w:r>
              <w:t>SUS or ISO/IEC 25010 scores</w:t>
            </w:r>
          </w:p>
        </w:tc>
        <w:tc>
          <w:tcPr>
            <w:tcW w:type="dxa" w:w="4320"/>
          </w:tcPr>
          <w:p>
            <w:r>
              <w:t>No completed evaluation dataset or report was supplied; no scores are reported.</w:t>
            </w:r>
          </w:p>
        </w:tc>
      </w:tr>
      <w:tr>
        <w:tc>
          <w:tcPr>
            <w:tcW w:type="dxa" w:w="4320"/>
          </w:tcPr>
          <w:p>
            <w:r>
              <w:t>Improved academic performance or retention</w:t>
            </w:r>
          </w:p>
        </w:tc>
        <w:tc>
          <w:tcPr>
            <w:tcW w:type="dxa" w:w="4320"/>
          </w:tcPr>
          <w:p>
            <w:r>
              <w:t>Not measured or claimed.</w:t>
            </w:r>
          </w:p>
        </w:tc>
      </w:tr>
      <w:tr>
        <w:tc>
          <w:tcPr>
            <w:tcW w:type="dxa" w:w="4320"/>
          </w:tcPr>
          <w:p>
            <w:r>
              <w:t>Future evaluation</w:t>
            </w:r>
          </w:p>
        </w:tc>
        <w:tc>
          <w:tcPr>
            <w:tcW w:type="dxa" w:w="4320"/>
          </w:tcPr>
          <w:p>
            <w:r>
              <w:t>Conduct approved, consent-based usability and quality testing; report sample, instruments, procedure, results, and limitations.</w:t>
            </w:r>
          </w:p>
        </w:tc>
      </w:tr>
    </w:tbl>
    <w:p/>
    <w:p>
      <w:pPr>
        <w:pStyle w:val="Heading2"/>
      </w:pPr>
      <w:r>
        <w:t>5.1 Use-case diagram</w:t>
      </w:r>
    </w:p>
    <w:p>
      <w:r>
        <w:t>```mermaid</w:t>
        <w:br/>
        <w:t>flowchart LR</w:t>
        <w:br/>
        <w:t xml:space="preserve">    Student["Student"]</w:t>
        <w:br/>
        <w:t xml:space="preserve">    subgraph Mobile["MatchLearn mobile application"]</w:t>
        <w:br/>
        <w:t xml:space="preserve">        LOGIN["Sign in or create account</w:t>
        <w:br/>
        <w:t>with Google"]</w:t>
        <w:br/>
        <w:t xml:space="preserve">        PROFILE["Create and edit</w:t>
        <w:br/>
        <w:t>study profile"]</w:t>
        <w:br/>
        <w:t xml:space="preserve">        DISCOVER["Discover and refresh</w:t>
        <w:br/>
        <w:t>buddy matches"]</w:t>
        <w:br/>
        <w:t xml:space="preserve">        BUDDY["Send and respond to</w:t>
        <w:br/>
        <w:t>buddy requests"]</w:t>
        <w:br/>
        <w:t xml:space="preserve">        GROUP["Discover, create and manage</w:t>
        <w:br/>
        <w:t>study groups and join requests"]</w:t>
        <w:br/>
        <w:t xml:space="preserve">        MESSAGE["Send direct and</w:t>
        <w:br/>
        <w:t>group messages"]</w:t>
        <w:br/>
        <w:t xml:space="preserve">        SESSION["Schedule and manage</w:t>
        <w:br/>
        <w:t>study sessions"]</w:t>
        <w:br/>
        <w:t xml:space="preserve">        NOTIFY["View and mark</w:t>
        <w:br/>
        <w:t>notifications"]</w:t>
        <w:br/>
        <w:t xml:space="preserve">        REVIEW["Submit and view</w:t>
        <w:br/>
        <w:t>reviews"]</w:t>
        <w:br/>
        <w:t xml:space="preserve">        REPORT["Submit user reports"]</w:t>
        <w:br/>
        <w:t xml:space="preserve">        ACCOUNT["Manage account</w:t>
        <w:br/>
        <w:t>and sign out"]</w:t>
        <w:br/>
        <w:t xml:space="preserve">    end</w:t>
        <w:br/>
        <w:t xml:space="preserve">    Student --&gt; LOGIN</w:t>
        <w:br/>
        <w:t xml:space="preserve">    Student --&gt; PROFILE</w:t>
        <w:br/>
        <w:t xml:space="preserve">    Student --&gt; DISCOVER</w:t>
        <w:br/>
        <w:t xml:space="preserve">    Student --&gt; BUDDY</w:t>
        <w:br/>
        <w:t xml:space="preserve">    Student --&gt; GROUP</w:t>
        <w:br/>
        <w:t xml:space="preserve">    Student --&gt; MESSAGE</w:t>
        <w:br/>
        <w:t xml:space="preserve">    Student --&gt; SESSION</w:t>
        <w:br/>
        <w:t xml:space="preserve">    Student --&gt; NOTIFY</w:t>
        <w:br/>
        <w:t xml:space="preserve">    Student --&gt; REVIEW</w:t>
        <w:br/>
        <w:t xml:space="preserve">    Student --&gt; REPORT</w:t>
        <w:br/>
        <w:t xml:space="preserve">    Student --&gt; ACCOUNT</w:t>
        <w:br/>
        <w:t>```</w:t>
      </w:r>
    </w:p>
    <w:p>
      <w:pPr>
        <w:pStyle w:val="Heading2"/>
      </w:pPr>
      <w:r>
        <w:t>5.2 Conceptual class diagram</w:t>
      </w:r>
    </w:p>
    <w:p>
      <w:r>
        <w:t>```mermaid</w:t>
        <w:br/>
        <w:t>classDiagram</w:t>
        <w:br/>
        <w:t xml:space="preserve">    class User { +id +name +email +isAdmin +isSuspended }</w:t>
        <w:br/>
        <w:t xml:space="preserve">    class Profile { +institution +program +yearLevel +learningStyle +studyMode +academicStrengths +academicNeeds }</w:t>
        <w:br/>
        <w:t xml:space="preserve">    class StudyMatch { +compatibilityScore +sharedCourseCount +reasons }</w:t>
        <w:br/>
        <w:t xml:space="preserve">    class BuddyRequest { +status }</w:t>
        <w:br/>
        <w:t xml:space="preserve">    class StudyGroup { +name +course +schedule +studyMode }</w:t>
        <w:br/>
        <w:t xml:space="preserve">    class GroupJoinRequest { +status }</w:t>
        <w:br/>
        <w:t xml:space="preserve">    class StudySession { +topic +startsAt +endsAt +location +status }</w:t>
        <w:br/>
        <w:t xml:space="preserve">    class StudyMessage { +content +createdAt }</w:t>
        <w:br/>
        <w:t xml:space="preserve">    class ActivityNotification { +type +readAt }</w:t>
        <w:br/>
        <w:t xml:space="preserve">    class Review { +rating +comment }</w:t>
        <w:br/>
        <w:t xml:space="preserve">    class UserReport { +reasons +status }</w:t>
        <w:br/>
        <w:t xml:space="preserve">    User "1" --&gt; "0..1" Profile : owns</w:t>
        <w:br/>
        <w:t xml:space="preserve">    User "1" --&gt; "0..*" StudyMatch : receives</w:t>
        <w:br/>
        <w:t xml:space="preserve">    User "1" --&gt; "0..*" BuddyRequest : sends or receives</w:t>
        <w:br/>
        <w:t xml:space="preserve">    User "*" -- "*" StudyGroup : membership</w:t>
        <w:br/>
        <w:t xml:space="preserve">    StudyGroup "1" --&gt; "0..*" GroupJoinRequest : receives</w:t>
        <w:br/>
        <w:t xml:space="preserve">    User "1" --&gt; "0..*" StudySession : hosts or joins</w:t>
        <w:br/>
        <w:t xml:space="preserve">    StudyGroup "1" --&gt; "0..*" StudyMessage : contains</w:t>
        <w:br/>
        <w:t xml:space="preserve">    User "1" --&gt; "0..*" StudyMessage : sends</w:t>
        <w:br/>
        <w:t xml:space="preserve">    User "1" --&gt; "0..*" ActivityNotification : receives</w:t>
        <w:br/>
        <w:t xml:space="preserve">    User "1" --&gt; "0..*" Review : writes</w:t>
        <w:br/>
        <w:t xml:space="preserve">    User "1" --&gt; "0..*" UserReport : submits</w:t>
        <w:br/>
        <w:t>```</w:t>
      </w:r>
    </w:p>
    <w:p>
      <w:pPr>
        <w:pStyle w:val="Heading2"/>
      </w:pPr>
      <w:r>
        <w:t>5.3 Authentication and account creation workflow</w:t>
      </w:r>
    </w:p>
    <w:p>
      <w:r>
        <w:t>```mermaid</w:t>
        <w:br/>
        <w:t>sequenceDiagram</w:t>
        <w:br/>
        <w:t xml:space="preserve">    actor Student</w:t>
        <w:br/>
        <w:t xml:space="preserve">    participant App as MatchLearn mobile app</w:t>
        <w:br/>
        <w:t xml:space="preserve">    participant Google as Google Sign-In</w:t>
        <w:br/>
        <w:t xml:space="preserve">    participant API as Laravel API</w:t>
        <w:br/>
        <w:t xml:space="preserve">    participant DB as PostgreSQL</w:t>
        <w:br/>
        <w:br/>
        <w:t xml:space="preserve">    Student-&gt;&gt;App: Choose sign in or create account</w:t>
        <w:br/>
        <w:t xml:space="preserve">    App-&gt;&gt;Google: Request Google authentication</w:t>
        <w:br/>
        <w:t xml:space="preserve">    Google--&gt;&gt;App: Return Google ID token</w:t>
        <w:br/>
        <w:t xml:space="preserve">    App-&gt;&gt;API: POST /api/v1/auth/google with ID token and optional name</w:t>
        <w:br/>
        <w:t xml:space="preserve">    API-&gt;&gt;Google: Verify ID token and claims</w:t>
        <w:br/>
        <w:t xml:space="preserve">    Google--&gt;&gt;API: Verified email and identity claims</w:t>
        <w:br/>
        <w:t xml:space="preserve">    API-&gt;&gt;API: Check @ssct.edu.ph or @snsu.edu.ph domain</w:t>
        <w:br/>
        <w:t xml:space="preserve">    API-&gt;&gt;DB: Find existing account or create user</w:t>
        <w:br/>
        <w:t xml:space="preserve">    DB--&gt;&gt;API: User record</w:t>
        <w:br/>
        <w:t xml:space="preserve">    API--&gt;&gt;App: Sanctum token and user data</w:t>
        <w:br/>
        <w:t xml:space="preserve">    App--&gt;&gt;Student: Open MatchLearn</w:t>
        <w:br/>
        <w:t>```</w:t>
      </w:r>
    </w:p>
    <w:p>
      <w:pPr>
        <w:pStyle w:val="Heading2"/>
      </w:pPr>
      <w:r>
        <w:t>5.4 Match-scoring workflow</w:t>
      </w:r>
    </w:p>
    <w:p>
      <w:r>
        <w:t>```mermaid</w:t>
        <w:br/>
        <w:t>flowchart TD</w:t>
        <w:br/>
        <w:t xml:space="preserve">    START["Student profile is available"] --&gt; CANDIDATES["Load other active users"]</w:t>
        <w:br/>
        <w:t xml:space="preserve">    CANDIDATES --&gt; COMPARE["Calculate criterion scores"]</w:t>
        <w:br/>
        <w:t xml:space="preserve">    COMPARE --&gt; COURSE["Course overlap"]</w:t>
        <w:br/>
        <w:t xml:space="preserve">    COMPARE --&gt; ACADEMIC["Academic complementarity"]</w:t>
        <w:br/>
        <w:t xml:space="preserve">    COMPARE --&gt; PROGRAM["Program compatibility"]</w:t>
        <w:br/>
        <w:t xml:space="preserve">    COMPARE --&gt; STYLE["Learning-style compatibility"]</w:t>
        <w:br/>
        <w:t xml:space="preserve">    COMPARE --&gt; SCHEDULE["Schedule overlap"]</w:t>
        <w:br/>
        <w:t xml:space="preserve">    COMPARE --&gt; YEAR["Year-level proximity"]</w:t>
        <w:br/>
        <w:t xml:space="preserve">    COMPARE --&gt; MODE["Study-mode compatibility"]</w:t>
        <w:br/>
        <w:t xml:space="preserve">    COURSE --&gt; WEIGHT["Apply configured weights"]</w:t>
        <w:br/>
        <w:t xml:space="preserve">    ACADEMIC --&gt; WEIGHT</w:t>
        <w:br/>
        <w:t xml:space="preserve">    PROGRAM --&gt; WEIGHT</w:t>
        <w:br/>
        <w:t xml:space="preserve">    STYLE --&gt; WEIGHT</w:t>
        <w:br/>
        <w:t xml:space="preserve">    SCHEDULE --&gt; WEIGHT</w:t>
        <w:br/>
        <w:t xml:space="preserve">    YEAR --&gt; WEIGHT</w:t>
        <w:br/>
        <w:t xml:space="preserve">    MODE --&gt; WEIGHT</w:t>
        <w:br/>
        <w:t xml:space="preserve">    WEIGHT --&gt; RESULT{"Score above zero?"}</w:t>
        <w:br/>
        <w:t xml:space="preserve">    RESULT -- No --&gt; OMIT["Do not return candidate"]</w:t>
        <w:br/>
        <w:t xml:space="preserve">    RESULT -- Yes --&gt; SAVE["Save score and reasons"]</w:t>
        <w:br/>
        <w:t xml:space="preserve">    SAVE --&gt; SORT["Sort recommendations"]</w:t>
        <w:br/>
        <w:t xml:space="preserve">    SORT --&gt; DISPLAY["Return results to Discover"]</w:t>
        <w:br/>
        <w:t>```</w:t>
      </w:r>
    </w:p>
    <w:p>
      <w:pPr>
        <w:pStyle w:val="Heading1"/>
      </w:pPr>
      <w:r>
        <w:t>6. CONCLUSION AND RECOMMENDATIONS</w:t>
      </w:r>
    </w:p>
    <w:p>
      <w:r>
        <w:rPr>
          <w:b w:val="0"/>
          <w:sz w:val="22"/>
        </w:rPr>
        <w:t>MatchLearn implements a mobile workflow for institutional Google sign-in, profile-based study-buddy discovery, buddy and group connections, messaging, scheduled study sessions, notifications, reviews, and reports. The backend applies configurable weighted criteria to generate ranked compatibility recommendations and uses authenticated API routes to support persistent operations.</w:t>
      </w:r>
    </w:p>
    <w:p>
      <w:r>
        <w:rPr>
          <w:b w:val="0"/>
          <w:sz w:val="22"/>
        </w:rPr>
        <w:t>The current implementation provides the described technical features, but this document does not establish that the application improves grades, retention, or student well-being. Future project work should document a formal evaluation plan, recruit participants only with appropriate approval and consent, test core flows on supported devices, assess usability and accessibility, and report measured results with methods and limitations. Match weights should be reviewed using transparent criteria and should not be presented as validated educational predictors without evidence.</w:t>
      </w:r>
    </w:p>
    <w:p>
      <w:pPr>
        <w:pStyle w:val="Heading1"/>
      </w:pPr>
      <w:r>
        <w:t>References</w:t>
      </w:r>
    </w:p>
    <w:p>
      <w:r>
        <w:rPr>
          <w:b w:val="0"/>
          <w:sz w:val="22"/>
        </w:rPr>
        <w:t>Topping, K. J. (2005). Trends in peer learning. Educational Psychology, 25(6), 631–645.</w:t>
      </w:r>
    </w:p>
    <w:p>
      <w:r>
        <w:rPr>
          <w:b w:val="0"/>
          <w:sz w:val="22"/>
        </w:rPr>
        <w:t>Johnson, D. W., Johnson, R. T., &amp; Smith, K. (2014). Cooperative learning: Improving university instruction by basing practice on validated theory. Journal on Excellence in College Teaching, 25(3&amp;4), 85–118.</w:t>
      </w:r>
    </w:p>
    <w:p>
      <w:r>
        <w:rPr>
          <w:b w:val="0"/>
          <w:sz w:val="22"/>
        </w:rPr>
        <w:t>Dillenbourg, P. (1999). What do you mean by collaborative learning? In P. Dillenbourg (Ed.), Collaborative-learning: Cognitive and computational approaches (pp. 1–19). Elsevier.</w:t>
      </w:r>
    </w:p>
    <w:p>
      <w:r>
        <w:rPr>
          <w:b w:val="0"/>
          <w:sz w:val="22"/>
        </w:rPr>
        <w:t>ISO/IEC. (2011). ISO/IEC 25010:2011 Systems and software engineering—Systems and software quality requirements and evaluation (SQuaRE)—System and software quality models.</w:t>
      </w:r>
    </w:p>
    <w:p>
      <w:r>
        <w:rPr>
          <w:b w:val="0"/>
          <w:sz w:val="22"/>
        </w:rPr>
        <w:t>Preece, J., Rogers, Y., &amp; Sharp, H. (2015). Interaction design: Beyond human-computer interaction (4th ed.). Wiley.</w:t>
      </w:r>
    </w:p>
    <w:p>
      <w:r>
        <w:rPr>
          <w:b w:val="0"/>
          <w:sz w:val="22"/>
        </w:rPr>
        <w:t>Vygotsky, L. S. (1978). Mind in society: The development of higher psychological processes. Harvard University Press.</w:t>
      </w:r>
    </w:p>
    <w:p>
      <w:r>
        <w:rPr>
          <w:b w:val="0"/>
          <w:sz w:val="22"/>
        </w:rPr>
        <w:t>Cabauatan, R. Q., Uy, C., &amp; Ugaddan, R. (2017). Examining student attrition and retention factors in Philippine higher education. Philippine Journal of Science, 146(2), 123–131.</w:t>
      </w:r>
    </w:p>
    <w:p>
      <w:r>
        <w:rPr>
          <w:b w:val="0"/>
          <w:sz w:val="22"/>
        </w:rPr>
        <w:t>National Economic and Development Authority. (2017). Philippine Development Plan 2017–2022.</w:t>
      </w:r>
    </w:p>
    <w:p>
      <w:r>
        <w:rPr>
          <w:b w:val="0"/>
          <w:sz w:val="22"/>
        </w:rPr>
        <w:t>Toquero, C. M. (2020). Challenges and opportunities for higher education amid the COVID-19 pandemic: The Philippine context. Pedagogical Research, 5(4), em0063.</w:t>
      </w:r>
    </w:p>
    <w:p>
      <w:r>
        <w:rPr>
          <w:b w:val="0"/>
          <w:sz w:val="22"/>
        </w:rPr>
        <w:t>Lagman, A. C., Cenas, P. V., Dueas, J. S., &amp; Vea, L. A. (2021). Mobile application for learning programming concepts: Design and usability evaluation. International Journal of Advanced Computer Science and Applications, 12(4).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