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after="0"/>
        <w:ind w:firstLine="0"/>
        <w:jc w:val="center"/>
      </w:pPr>
      <w:r>
        <w:rPr>
          <w:rFonts w:ascii="Times New Roman" w:hAnsi="Times New Roman" w:eastAsia="Times New Roman"/>
          <w:b/>
          <w:sz w:val="24"/>
        </w:rPr>
        <w:t>MATCHLEARN: A MOBILE PEER COLLABORATION SYSTEM BASED ON LEARNING PREFERENCES AND ACADEMIC NEEDS</w:t>
      </w:r>
    </w:p>
    <w:p>
      <w:pPr>
        <w:spacing w:line="360" w:lineRule="auto" w:after="0"/>
        <w:ind w:firstLine="0"/>
        <w:jc w:val="center"/>
      </w:pPr>
      <w:r>
        <w:rPr>
          <w:rFonts w:ascii="Times New Roman" w:hAnsi="Times New Roman" w:eastAsia="Times New Roman"/>
          <w:b/>
          <w:sz w:val="24"/>
        </w:rPr>
        <w:t>A Capstone Project Documentation</w:t>
      </w:r>
    </w:p>
    <w:p>
      <w:pPr>
        <w:spacing w:line="360" w:lineRule="auto" w:after="0"/>
        <w:ind w:firstLine="0"/>
        <w:jc w:val="center"/>
      </w:pPr>
      <w:r>
        <w:rPr>
          <w:rFonts w:ascii="Times New Roman" w:hAnsi="Times New Roman" w:eastAsia="Times New Roman"/>
          <w:b w:val="0"/>
          <w:sz w:val="24"/>
        </w:rPr>
        <w:t>Presented to the Faculty of the College of Computing and Information Sciences</w:t>
      </w:r>
    </w:p>
    <w:p>
      <w:pPr>
        <w:spacing w:line="360" w:lineRule="auto" w:after="0"/>
        <w:ind w:firstLine="0"/>
        <w:jc w:val="center"/>
      </w:pPr>
      <w:r>
        <w:rPr>
          <w:rFonts w:ascii="Times New Roman" w:hAnsi="Times New Roman" w:eastAsia="Times New Roman"/>
          <w:b w:val="0"/>
          <w:sz w:val="24"/>
        </w:rPr>
        <w:t>Surigao del Norte State University</w:t>
      </w:r>
    </w:p>
    <w:p>
      <w:pPr>
        <w:spacing w:line="360" w:lineRule="auto" w:after="0"/>
        <w:ind w:firstLine="0"/>
        <w:jc w:val="center"/>
      </w:pPr>
      <w:r>
        <w:rPr>
          <w:rFonts w:ascii="Times New Roman" w:hAnsi="Times New Roman" w:eastAsia="Times New Roman"/>
          <w:b w:val="0"/>
          <w:sz w:val="24"/>
        </w:rPr>
        <w:t>In Partial Fulfillment of the Requirements</w:t>
      </w:r>
    </w:p>
    <w:p>
      <w:pPr>
        <w:spacing w:line="360" w:lineRule="auto" w:after="0"/>
        <w:ind w:firstLine="0"/>
        <w:jc w:val="center"/>
      </w:pPr>
      <w:r>
        <w:rPr>
          <w:rFonts w:ascii="Times New Roman" w:hAnsi="Times New Roman" w:eastAsia="Times New Roman"/>
          <w:b w:val="0"/>
          <w:sz w:val="24"/>
        </w:rPr>
        <w:t>for the Degree of Bachelor of Science in Information Technology</w:t>
      </w:r>
    </w:p>
    <w:p>
      <w:pPr>
        <w:spacing w:line="360" w:lineRule="auto" w:after="0"/>
        <w:ind w:firstLine="0"/>
        <w:jc w:val="center"/>
      </w:pPr>
      <w:r>
        <w:rPr>
          <w:rFonts w:ascii="Times New Roman" w:hAnsi="Times New Roman" w:eastAsia="Times New Roman"/>
          <w:b w:val="0"/>
          <w:sz w:val="24"/>
        </w:rPr>
        <w:t>Academic Year 2024-2025</w:t>
      </w:r>
    </w:p>
    <w:p>
      <w:pPr>
        <w:spacing w:line="360" w:lineRule="auto" w:after="0"/>
        <w:ind w:firstLine="0"/>
        <w:jc w:val="center"/>
      </w:pPr>
      <w:r>
        <w:rPr>
          <w:rFonts w:ascii="Times New Roman" w:hAnsi="Times New Roman" w:eastAsia="Times New Roman"/>
          <w:b w:val="0"/>
          <w:sz w:val="24"/>
        </w:rPr>
        <w:t>Submitted by:</w:t>
      </w:r>
    </w:p>
    <w:p>
      <w:pPr>
        <w:spacing w:line="360" w:lineRule="auto" w:after="0"/>
        <w:ind w:firstLine="0"/>
        <w:jc w:val="center"/>
      </w:pPr>
      <w:r>
        <w:rPr>
          <w:rFonts w:ascii="Times New Roman" w:hAnsi="Times New Roman" w:eastAsia="Times New Roman"/>
          <w:b w:val="0"/>
          <w:sz w:val="24"/>
        </w:rPr>
        <w:t>Erial Dearv Escatin</w:t>
      </w:r>
    </w:p>
    <w:p>
      <w:pPr>
        <w:spacing w:line="360" w:lineRule="auto" w:after="0"/>
        <w:ind w:firstLine="0"/>
        <w:jc w:val="center"/>
      </w:pPr>
      <w:r>
        <w:rPr>
          <w:rFonts w:ascii="Times New Roman" w:hAnsi="Times New Roman" w:eastAsia="Times New Roman"/>
          <w:b w:val="0"/>
          <w:sz w:val="24"/>
        </w:rPr>
        <w:t>Jefrell Garcia</w:t>
      </w:r>
    </w:p>
    <w:p>
      <w:r>
        <w:br w:type="page"/>
      </w:r>
    </w:p>
    <w:p>
      <w:pPr>
        <w:keepNext/>
        <w:spacing w:line="360" w:lineRule="auto" w:before="160" w:after="80"/>
        <w:ind w:firstLine="0"/>
        <w:jc w:val="left"/>
      </w:pPr>
      <w:r>
        <w:rPr>
          <w:rFonts w:ascii="Times New Roman" w:hAnsi="Times New Roman" w:eastAsia="Times New Roman"/>
          <w:b/>
          <w:sz w:val="24"/>
        </w:rPr>
        <w:t>ABSTRACT</w:t>
      </w:r>
    </w:p>
    <w:p>
      <w:pPr>
        <w:spacing w:line="360" w:lineRule="auto" w:after="0"/>
        <w:ind w:firstLine="720"/>
        <w:jc w:val="both"/>
      </w:pPr>
      <w:r>
        <w:rPr>
          <w:rFonts w:ascii="Times New Roman" w:hAnsi="Times New Roman" w:eastAsia="Times New Roman"/>
          <w:b w:val="0"/>
          <w:sz w:val="24"/>
        </w:rPr>
        <w:t>MatchLearn is an implemented mobile peer-collaboration system for students using verified SNSU or SSCT Google accounts. The project describes the mobile client, Laravel API, PostgreSQL data layer, profile-based study-buddy recommendations, buddy and group workflows, messaging, scheduled sessions, notifications, reviews, and user reports. The system information and feature descriptions were checked against the application and backend implementation. The matching service ranks candidates using configurable weights for courses, academic complementarity, program, learning style, schedule, year level, and study mode. The methodology section distinguishes documented implementation from evaluation work for which no records were supplied. No participant sample, survey result, usability score, or measured academic outcome is claimed.</w:t>
      </w:r>
    </w:p>
    <w:p>
      <w:pPr>
        <w:keepNext/>
        <w:spacing w:line="360" w:lineRule="auto" w:before="120" w:after="60"/>
        <w:ind w:firstLine="0"/>
        <w:jc w:val="left"/>
      </w:pPr>
      <w:r>
        <w:rPr>
          <w:rFonts w:ascii="Times New Roman" w:hAnsi="Times New Roman" w:eastAsia="Times New Roman"/>
          <w:b/>
          <w:sz w:val="24"/>
        </w:rPr>
        <w:t>KEYWORDS</w:t>
      </w:r>
    </w:p>
    <w:p>
      <w:pPr>
        <w:spacing w:line="360" w:lineRule="auto" w:after="0"/>
        <w:ind w:firstLine="0"/>
        <w:jc w:val="both"/>
      </w:pPr>
      <w:r>
        <w:rPr>
          <w:rFonts w:ascii="Times New Roman" w:hAnsi="Times New Roman" w:eastAsia="Times New Roman"/>
          <w:b/>
          <w:sz w:val="24"/>
        </w:rPr>
        <w:t>academic collaboration, google authentication, laravel api, mobile application, peer matching</w:t>
      </w:r>
    </w:p>
    <w:p>
      <w:pPr>
        <w:keepNext/>
        <w:spacing w:line="360" w:lineRule="auto" w:before="160" w:after="80"/>
        <w:ind w:firstLine="0"/>
        <w:jc w:val="left"/>
      </w:pPr>
      <w:r>
        <w:rPr>
          <w:rFonts w:ascii="Times New Roman" w:hAnsi="Times New Roman" w:eastAsia="Times New Roman"/>
          <w:b/>
          <w:sz w:val="24"/>
        </w:rPr>
        <w:t>1. INTRODUCTION</w:t>
      </w:r>
    </w:p>
    <w:p>
      <w:pPr>
        <w:spacing w:line="360" w:lineRule="auto" w:after="0"/>
        <w:ind w:firstLine="720"/>
        <w:jc w:val="both"/>
      </w:pPr>
      <w:r>
        <w:rPr>
          <w:rFonts w:ascii="Times New Roman" w:hAnsi="Times New Roman" w:eastAsia="Times New Roman"/>
          <w:b w:val="0"/>
          <w:sz w:val="24"/>
        </w:rPr>
        <w:t>Students can have difficulty finding study partners whose courses, academic needs, schedules, and study preferences align with their own.</w:t>
      </w:r>
    </w:p>
    <w:p>
      <w:pPr>
        <w:spacing w:line="360" w:lineRule="auto" w:after="0"/>
        <w:ind w:firstLine="720"/>
        <w:jc w:val="both"/>
      </w:pPr>
      <w:r>
        <w:rPr>
          <w:rFonts w:ascii="Times New Roman" w:hAnsi="Times New Roman" w:eastAsia="Times New Roman"/>
          <w:b w:val="0"/>
          <w:sz w:val="24"/>
        </w:rPr>
        <w:t>This project describes MatchLearn, a mobile application designed to support peer discovery and study coordination among eligible SNSU and SSCT students.</w:t>
      </w:r>
    </w:p>
    <w:p>
      <w:pPr>
        <w:spacing w:line="360" w:lineRule="auto" w:after="0"/>
        <w:ind w:firstLine="720"/>
        <w:jc w:val="both"/>
      </w:pPr>
      <w:r>
        <w:rPr>
          <w:rFonts w:ascii="Times New Roman" w:hAnsi="Times New Roman" w:eastAsia="Times New Roman"/>
          <w:b w:val="0"/>
          <w:sz w:val="24"/>
        </w:rPr>
        <w:t>The project is situated in a university setting where students may use general-purpose social platforms to communicate, even though those platforms do not organize academic profiles and study-partner discovery around course and schedule information.</w:t>
      </w:r>
    </w:p>
    <w:p>
      <w:pPr>
        <w:spacing w:line="360" w:lineRule="auto" w:after="0"/>
        <w:ind w:firstLine="720"/>
        <w:jc w:val="both"/>
      </w:pPr>
      <w:r>
        <w:rPr>
          <w:rFonts w:ascii="Times New Roman" w:hAnsi="Times New Roman" w:eastAsia="Times New Roman"/>
          <w:b w:val="0"/>
          <w:sz w:val="24"/>
        </w:rPr>
        <w:t>MatchLearn addresses this coordination problem through Google-based institutional sign-in, student profiles, weighted study-buddy recommendations, buddy requests, groups, messaging, and scheduled study sessions.</w:t>
      </w:r>
    </w:p>
    <w:p>
      <w:pPr>
        <w:spacing w:line="360" w:lineRule="auto" w:after="0"/>
        <w:ind w:firstLine="720"/>
        <w:jc w:val="both"/>
      </w:pPr>
      <w:r>
        <w:rPr>
          <w:rFonts w:ascii="Times New Roman" w:hAnsi="Times New Roman" w:eastAsia="Times New Roman"/>
          <w:b w:val="0"/>
          <w:sz w:val="24"/>
        </w:rPr>
        <w:t>The system's significance is its provision of a purpose-built coordination channel; its recommendations are compatibility aids and are not evidence or guarantees of improved grades, retention, or learning outcomes.</w:t>
      </w:r>
    </w:p>
    <w:p>
      <w:pPr>
        <w:keepNext/>
        <w:spacing w:line="360" w:lineRule="auto" w:before="120" w:after="60"/>
        <w:ind w:firstLine="0"/>
        <w:jc w:val="left"/>
      </w:pPr>
      <w:r>
        <w:rPr>
          <w:rFonts w:ascii="Times New Roman" w:hAnsi="Times New Roman" w:eastAsia="Times New Roman"/>
          <w:b/>
          <w:sz w:val="24"/>
        </w:rPr>
        <w:t>1.1 Project Context</w:t>
      </w:r>
    </w:p>
    <w:p>
      <w:pPr>
        <w:spacing w:line="360" w:lineRule="auto" w:after="0"/>
        <w:ind w:firstLine="720"/>
        <w:jc w:val="both"/>
      </w:pPr>
      <w:r>
        <w:rPr>
          <w:rFonts w:ascii="Times New Roman" w:hAnsi="Times New Roman" w:eastAsia="Times New Roman"/>
          <w:b w:val="0"/>
          <w:sz w:val="24"/>
        </w:rPr>
        <w:t>MatchLearn is a mobile peer-collaboration system for students associated with Surigao del Norte State University (SNSU) and SSCT. Its current implementation lets students create study profiles, find potential study partners, form or join groups, communicate, and schedule study sessions. The API limits student sign-in to Google identities with the configured institutional email domains.</w:t>
      </w:r>
    </w:p>
    <w:p>
      <w:pPr>
        <w:keepNext/>
        <w:spacing w:line="360" w:lineRule="auto" w:before="120" w:after="60"/>
        <w:ind w:firstLine="0"/>
        <w:jc w:val="left"/>
      </w:pPr>
      <w:r>
        <w:rPr>
          <w:rFonts w:ascii="Times New Roman" w:hAnsi="Times New Roman" w:eastAsia="Times New Roman"/>
          <w:b/>
          <w:sz w:val="24"/>
        </w:rPr>
        <w:t>1.2 Purpose and Description</w:t>
      </w:r>
    </w:p>
    <w:p>
      <w:pPr>
        <w:spacing w:line="360" w:lineRule="auto" w:after="0"/>
        <w:ind w:firstLine="720"/>
        <w:jc w:val="both"/>
      </w:pPr>
      <w:r>
        <w:rPr>
          <w:rFonts w:ascii="Times New Roman" w:hAnsi="Times New Roman" w:eastAsia="Times New Roman"/>
          <w:b w:val="0"/>
          <w:sz w:val="24"/>
        </w:rPr>
        <w:t xml:space="preserve">The purpose of MatchLearn is to support student peer discovery and coordination within a mobile application. Returning users sign in with Google using the institutional Google account linked to their MatchLearn account. New users enter their name and continue with Google. Students can provide program, year level, courses, learning style, study mode, academic strengths and needs, and availability. Authenticated students can open Discover group details before joining, review group information, and request membership. They can cancel pending requests or accept and decline invitations from paired-buddy group administrators.</w:t>
      </w:r>
    </w:p>
    <w:p>
      <w:pPr>
        <w:spacing w:line="360" w:lineRule="auto" w:after="0"/>
        <w:ind w:firstLine="720"/>
        <w:jc w:val="both"/>
      </w:pPr>
      <w:r>
        <w:rPr>
          <w:rFonts w:ascii="Times New Roman" w:hAnsi="Times New Roman" w:eastAsia="Times New Roman"/>
          <w:b w:val="0"/>
          <w:sz w:val="24"/>
        </w:rPr>
        <w:t xml:space="preserve">The app's implemented functions include match recommendations and sorting, on-demand compatibility guidance, buddy requests, group discovery and public detail viewing, join requests and cancellation, administrator invitations to paired buddies, invitation responses, direct and group messaging, buddy or group study-session scheduling, notifications, reviews, user reports, and account controls. Group profiles show confirmed and completed session totals; buddy profiles show the saved compatibility score when available. A separate web dashboard provides administrator functions.</w:t>
      </w:r>
    </w:p>
    <w:p>
      <w:pPr>
        <w:keepNext/>
        <w:spacing w:line="360" w:lineRule="auto" w:before="120" w:after="60"/>
        <w:ind w:firstLine="0"/>
        <w:jc w:val="left"/>
      </w:pPr>
      <w:r>
        <w:rPr>
          <w:rFonts w:ascii="Times New Roman" w:hAnsi="Times New Roman" w:eastAsia="Times New Roman"/>
          <w:b/>
          <w:sz w:val="24"/>
        </w:rPr>
        <w:t>1.3 General Objectives of the Study</w:t>
      </w:r>
    </w:p>
    <w:p>
      <w:pPr>
        <w:spacing w:line="360" w:lineRule="auto" w:after="0"/>
        <w:ind w:firstLine="720"/>
        <w:jc w:val="both"/>
      </w:pPr>
      <w:r>
        <w:rPr>
          <w:rFonts w:ascii="Times New Roman" w:hAnsi="Times New Roman" w:eastAsia="Times New Roman"/>
          <w:b w:val="0"/>
          <w:sz w:val="24"/>
        </w:rPr>
        <w:t>The project aims to document and describe the implemented MatchLearn application. Its specific objectives are:</w:t>
      </w:r>
    </w:p>
    <w:p>
      <w:pPr>
        <w:spacing w:line="360" w:lineRule="auto" w:after="0"/>
        <w:ind w:firstLine="720"/>
        <w:jc w:val="both"/>
      </w:pPr>
      <w:r>
        <w:rPr>
          <w:rFonts w:ascii="Times New Roman" w:hAnsi="Times New Roman" w:eastAsia="Times New Roman"/>
          <w:b w:val="0"/>
          <w:sz w:val="24"/>
        </w:rPr>
        <w:t>To describe the Google-based sign-in and institutional-email access flow.</w:t>
      </w:r>
    </w:p>
    <w:p>
      <w:pPr>
        <w:spacing w:line="360" w:lineRule="auto" w:after="0"/>
        <w:ind w:firstLine="720"/>
        <w:jc w:val="both"/>
      </w:pPr>
      <w:r>
        <w:rPr>
          <w:rFonts w:ascii="Times New Roman" w:hAnsi="Times New Roman" w:eastAsia="Times New Roman"/>
          <w:b w:val="0"/>
          <w:sz w:val="24"/>
        </w:rPr>
        <w:t>To describe student profiles and the configurable weighted match-recommendation process.</w:t>
      </w:r>
    </w:p>
    <w:p>
      <w:pPr>
        <w:spacing w:line="360" w:lineRule="auto" w:after="0"/>
        <w:ind w:firstLine="720"/>
        <w:jc w:val="both"/>
      </w:pPr>
      <w:r>
        <w:rPr>
          <w:rFonts w:ascii="Times New Roman" w:hAnsi="Times New Roman" w:eastAsia="Times New Roman"/>
          <w:b w:val="0"/>
          <w:sz w:val="24"/>
        </w:rPr>
        <w:t>To document the implemented buddy, group, messaging, study-session, notification, review, and report workflows.</w:t>
      </w:r>
    </w:p>
    <w:p>
      <w:pPr>
        <w:spacing w:line="360" w:lineRule="auto" w:after="0"/>
        <w:ind w:firstLine="720"/>
        <w:jc w:val="both"/>
      </w:pPr>
      <w:r>
        <w:rPr>
          <w:rFonts w:ascii="Times New Roman" w:hAnsi="Times New Roman" w:eastAsia="Times New Roman"/>
          <w:b w:val="0"/>
          <w:sz w:val="24"/>
        </w:rPr>
        <w:t>To identify the implemented system architecture, scope boundaries, and evaluation evidence that remains unavailable.</w:t>
      </w:r>
    </w:p>
    <w:p>
      <w:pPr>
        <w:keepNext/>
        <w:spacing w:line="360" w:lineRule="auto" w:before="120" w:after="60"/>
        <w:ind w:firstLine="0"/>
        <w:jc w:val="left"/>
      </w:pPr>
      <w:r>
        <w:rPr>
          <w:rFonts w:ascii="Times New Roman" w:hAnsi="Times New Roman" w:eastAsia="Times New Roman"/>
          <w:b/>
          <w:sz w:val="24"/>
        </w:rPr>
        <w:t>1.4 Scope and Limitations</w:t>
      </w:r>
    </w:p>
    <w:p>
      <w:pPr>
        <w:spacing w:line="360" w:lineRule="auto" w:after="0"/>
        <w:ind w:firstLine="720"/>
        <w:jc w:val="both"/>
      </w:pPr>
      <w:r>
        <w:rPr>
          <w:rFonts w:ascii="Times New Roman" w:hAnsi="Times New Roman" w:eastAsia="Times New Roman"/>
          <w:b w:val="0"/>
          <w:sz w:val="24"/>
        </w:rPr>
        <w:t>Scope of the system:</w:t>
      </w:r>
    </w:p>
    <w:p>
      <w:pPr>
        <w:spacing w:line="360" w:lineRule="auto" w:after="0"/>
        <w:ind w:firstLine="720"/>
        <w:jc w:val="both"/>
      </w:pPr>
      <w:r>
        <w:rPr>
          <w:rFonts w:ascii="Times New Roman" w:hAnsi="Times New Roman" w:eastAsia="Times New Roman"/>
          <w:b w:val="0"/>
          <w:sz w:val="24"/>
        </w:rPr>
        <w:t>Google sign-in and account creation for eligible @snsu.edu.ph or @ssct.edu.ph accounts.</w:t>
      </w:r>
    </w:p>
    <w:p>
      <w:pPr>
        <w:spacing w:line="360" w:lineRule="auto" w:after="0"/>
        <w:ind w:firstLine="720"/>
        <w:jc w:val="both"/>
      </w:pPr>
      <w:r>
        <w:rPr>
          <w:rFonts w:ascii="Times New Roman" w:hAnsi="Times New Roman" w:eastAsia="Times New Roman"/>
          <w:b w:val="0"/>
          <w:sz w:val="24"/>
        </w:rPr>
        <w:t>Student profile creation, editing, and profile-photo management.</w:t>
      </w:r>
    </w:p>
    <w:p>
      <w:pPr>
        <w:spacing w:line="360" w:lineRule="auto" w:after="0"/>
        <w:ind w:firstLine="720"/>
        <w:jc w:val="both"/>
      </w:pPr>
      <w:r>
        <w:rPr>
          <w:rFonts w:ascii="Times New Roman" w:hAnsi="Times New Roman" w:eastAsia="Times New Roman"/>
          <w:b w:val="0"/>
          <w:sz w:val="24"/>
        </w:rPr>
        <w:t>Weighted buddy recommendations with compatibility scores, shared-course information, and reasons.</w:t>
      </w:r>
    </w:p>
    <w:p>
      <w:pPr>
        <w:spacing w:line="360" w:lineRule="auto" w:after="0"/>
        <w:ind w:firstLine="720"/>
        <w:jc w:val="both"/>
      </w:pPr>
      <w:r>
        <w:rPr>
          <w:rFonts w:ascii="Times New Roman" w:hAnsi="Times New Roman" w:eastAsia="Times New Roman"/>
          <w:b w:val="0"/>
          <w:sz w:val="24"/>
        </w:rPr>
        <w:t>Buddy requests, accepted buddy connections, and reviews.</w:t>
      </w:r>
    </w:p>
    <w:p>
      <w:pPr>
        <w:spacing w:line="360" w:lineRule="auto" w:after="0"/>
        <w:ind w:firstLine="720"/>
        <w:jc w:val="both"/>
      </w:pPr>
      <w:r>
        <w:rPr>
          <w:rFonts w:ascii="Times New Roman" w:hAnsi="Times New Roman" w:eastAsia="Times New Roman"/>
          <w:b w:val="0"/>
          <w:sz w:val="24"/>
        </w:rPr>
        <w:t xml:space="preserve">Study-group discovery and detail viewing for authenticated students, creation, editing, join requests and cancellation, admin invitations to paired buddies, invitation acceptance or decline, membership management, and reviews.</w:t>
      </w:r>
    </w:p>
    <w:p>
      <w:pPr>
        <w:spacing w:line="360" w:lineRule="auto" w:after="0"/>
        <w:ind w:firstLine="720"/>
        <w:jc w:val="both"/>
      </w:pPr>
      <w:r>
        <w:rPr>
          <w:rFonts w:ascii="Times New Roman" w:hAnsi="Times New Roman" w:eastAsia="Times New Roman"/>
          <w:b w:val="0"/>
          <w:sz w:val="24"/>
        </w:rPr>
        <w:t xml:space="preserve">Direct and group messaging, scheduled sessions, in-app notifications for activity and invitations, session reminders, reviews, and user reports.</w:t>
      </w:r>
    </w:p>
    <w:p>
      <w:pPr>
        <w:spacing w:line="360" w:lineRule="auto" w:after="0"/>
        <w:ind w:firstLine="720"/>
        <w:jc w:val="both"/>
      </w:pPr>
      <w:r>
        <w:rPr>
          <w:rFonts w:ascii="Times New Roman" w:hAnsi="Times New Roman" w:eastAsia="Times New Roman"/>
          <w:b w:val="0"/>
          <w:sz w:val="24"/>
        </w:rPr>
        <w:t>Account controls, including sign-out and account deletion; separate web-based administrator functions.</w:t>
      </w:r>
    </w:p>
    <w:p>
      <w:pPr>
        <w:spacing w:line="360" w:lineRule="auto" w:after="0"/>
        <w:ind w:firstLine="720"/>
        <w:jc w:val="both"/>
      </w:pPr>
      <w:r>
        <w:rPr>
          <w:rFonts w:ascii="Times New Roman" w:hAnsi="Times New Roman" w:eastAsia="Times New Roman"/>
          <w:b w:val="0"/>
          <w:sz w:val="24"/>
        </w:rPr>
        <w:t>Limitations:</w:t>
      </w:r>
    </w:p>
    <w:p>
      <w:pPr>
        <w:spacing w:line="360" w:lineRule="auto" w:after="0"/>
        <w:ind w:firstLine="720"/>
        <w:jc w:val="both"/>
      </w:pPr>
      <w:r>
        <w:rPr>
          <w:rFonts w:ascii="Times New Roman" w:hAnsi="Times New Roman" w:eastAsia="Times New Roman"/>
          <w:b w:val="0"/>
          <w:sz w:val="24"/>
        </w:rPr>
        <w:t>The mobile app does not offer password login or password setup; users authenticate with Google.</w:t>
      </w:r>
    </w:p>
    <w:p>
      <w:pPr>
        <w:spacing w:line="360" w:lineRule="auto" w:after="0"/>
        <w:ind w:firstLine="720"/>
        <w:jc w:val="both"/>
      </w:pPr>
      <w:r>
        <w:rPr>
          <w:rFonts w:ascii="Times New Roman" w:hAnsi="Times New Roman" w:eastAsia="Times New Roman"/>
          <w:b w:val="0"/>
          <w:sz w:val="24"/>
        </w:rPr>
        <w:t>The system uses user-provided profile details and does not access official enrollment, transcript, or grade records.</w:t>
      </w:r>
    </w:p>
    <w:p>
      <w:pPr>
        <w:spacing w:line="360" w:lineRule="auto" w:after="0"/>
        <w:ind w:firstLine="720"/>
        <w:jc w:val="both"/>
      </w:pPr>
      <w:r>
        <w:rPr>
          <w:rFonts w:ascii="Times New Roman" w:hAnsi="Times New Roman" w:eastAsia="Times New Roman"/>
          <w:b w:val="0"/>
          <w:sz w:val="24"/>
        </w:rPr>
        <w:t>The match score is a configurable compatibility indicator, not a validated predictor of academic success.</w:t>
      </w:r>
    </w:p>
    <w:p>
      <w:pPr>
        <w:spacing w:line="360" w:lineRule="auto" w:after="0"/>
        <w:ind w:firstLine="720"/>
        <w:jc w:val="both"/>
      </w:pPr>
      <w:r>
        <w:rPr>
          <w:rFonts w:ascii="Times New Roman" w:hAnsi="Times New Roman" w:eastAsia="Times New Roman"/>
          <w:b w:val="0"/>
          <w:sz w:val="24"/>
        </w:rPr>
        <w:t>The app coordinates study activity but does not deliver courses, grade students, or provide video conferencing.</w:t>
      </w:r>
    </w:p>
    <w:p>
      <w:pPr>
        <w:spacing w:line="360" w:lineRule="auto" w:after="0"/>
        <w:ind w:firstLine="720"/>
        <w:jc w:val="both"/>
      </w:pPr>
      <w:r>
        <w:rPr>
          <w:rFonts w:ascii="Times New Roman" w:hAnsi="Times New Roman" w:eastAsia="Times New Roman"/>
          <w:b w:val="0"/>
          <w:sz w:val="24"/>
        </w:rPr>
        <w:t xml:space="preserve">Backend-supported features require network access and availability of the deployed API and database. The latest group-detail access, request-cancellation, and invitation routes are present in the current local source; the matching backend changes and schema migration must be deployed before these features work against production.</w:t>
      </w:r>
    </w:p>
    <w:p>
      <w:pPr>
        <w:spacing w:line="360" w:lineRule="auto" w:after="0"/>
        <w:ind w:firstLine="720"/>
        <w:jc w:val="both"/>
      </w:pPr>
      <w:r>
        <w:rPr>
          <w:rFonts w:ascii="Times New Roman" w:hAnsi="Times New Roman" w:eastAsia="Times New Roman"/>
          <w:b w:val="0"/>
          <w:sz w:val="24"/>
        </w:rPr>
        <w:t>No formal participant-based usability study, performance benchmark, or academic-outcome evaluation report was provided for this document.</w:t>
      </w:r>
    </w:p>
    <w:p>
      <w:pPr>
        <w:keepNext/>
        <w:spacing w:line="360" w:lineRule="auto" w:before="160" w:after="80"/>
        <w:ind w:firstLine="0"/>
        <w:jc w:val="left"/>
      </w:pPr>
      <w:r>
        <w:rPr>
          <w:rFonts w:ascii="Times New Roman" w:hAnsi="Times New Roman" w:eastAsia="Times New Roman"/>
          <w:b/>
          <w:sz w:val="24"/>
        </w:rPr>
        <w:t>2. RELATED LITERATURE</w:t>
      </w:r>
    </w:p>
    <w:p>
      <w:pPr>
        <w:spacing w:line="360" w:lineRule="auto" w:after="0"/>
        <w:ind w:firstLine="720"/>
        <w:jc w:val="both"/>
      </w:pPr>
      <w:r>
        <w:rPr>
          <w:rFonts w:ascii="Times New Roman" w:hAnsi="Times New Roman" w:eastAsia="Times New Roman"/>
          <w:b w:val="0"/>
          <w:sz w:val="24"/>
        </w:rPr>
        <w:t>This review uses the foreign and local literature sections from the supplied earlier capstone document. The cited works provide theoretical and contextual background for collaborative learning, student networks, mobile educational technology, usability, and peer support. They inform the problem context and design rationale; they do not establish that MatchLearn itself improves academic performance. The system's own outcomes require separate empirical evaluation.</w:t>
      </w:r>
    </w:p>
    <w:p>
      <w:pPr>
        <w:keepNext/>
        <w:spacing w:line="360" w:lineRule="auto" w:before="120" w:after="60"/>
        <w:ind w:firstLine="0"/>
        <w:jc w:val="left"/>
      </w:pPr>
      <w:r>
        <w:rPr>
          <w:rFonts w:ascii="Times New Roman" w:hAnsi="Times New Roman" w:eastAsia="Times New Roman"/>
          <w:b/>
          <w:sz w:val="24"/>
        </w:rPr>
        <w:t>2.1 Foreign Literature</w:t>
      </w:r>
    </w:p>
    <w:p>
      <w:pPr>
        <w:spacing w:line="360" w:lineRule="auto" w:after="0"/>
        <w:ind w:firstLine="720"/>
        <w:jc w:val="both"/>
      </w:pPr>
      <w:r>
        <w:rPr>
          <w:rFonts w:ascii="Times New Roman" w:hAnsi="Times New Roman" w:eastAsia="Times New Roman"/>
          <w:b w:val="0"/>
          <w:sz w:val="24"/>
        </w:rPr>
        <w:t>Topping (2005) conducted a comprehensive review of peer-assisted learning across educational levels and established that structured peer learning produces consistent gains in academic achievement, self-efficacy, and motivation for both the student receiving support and the one providing it. His framework of reciprocal peer tutoring—where students alternate between helper and learner roles—directly informs the bidirectional matching design in MatchLearn, where users can identify both subjects they need help with and subjects where they can offer support. Topping's work is foundational to the theoretical case that peer-matching tools are not peripheral but central to academic success</w:t>
      </w:r>
    </w:p>
    <w:p>
      <w:pPr>
        <w:spacing w:line="360" w:lineRule="auto" w:after="0"/>
        <w:ind w:firstLine="720"/>
        <w:jc w:val="both"/>
      </w:pPr>
      <w:r>
        <w:rPr>
          <w:rFonts w:ascii="Times New Roman" w:hAnsi="Times New Roman" w:eastAsia="Times New Roman"/>
          <w:b w:val="0"/>
          <w:sz w:val="24"/>
        </w:rPr>
        <w:t>Johnson, Johnson, and Smith (2014) published a landmark synthesis of over five decades of research on cooperative learning in higher education, concluding that cooperative structures reliably outperform competitive and individualistic structures on measures of achievement, critical thinking, and interpersonal relationship quality. Their finding that the quality of peer interaction matters more than its mere occurrence supports the rationale for a structured, algorithm-driven matching approach rather than leaving partner selection to chance or student initiative alone</w:t>
      </w:r>
    </w:p>
    <w:p>
      <w:pPr>
        <w:spacing w:line="360" w:lineRule="auto" w:after="0"/>
        <w:ind w:firstLine="720"/>
        <w:jc w:val="both"/>
      </w:pPr>
      <w:r>
        <w:rPr>
          <w:rFonts w:ascii="Times New Roman" w:hAnsi="Times New Roman" w:eastAsia="Times New Roman"/>
          <w:b w:val="0"/>
          <w:sz w:val="24"/>
        </w:rPr>
        <w:t>Stahl, Koschmann, and Suthers (2006) analyzed computer-supported collaborative learning (CSCL) and found that technology-mediated collaboration, when purposefully designed, produced deeper knowledge construction than face-to-face collaboration alone. They emphasized the importance of shared artifact spaces and structured interaction design—principles that directly shaped the session-planning and shared task features proposed for MatchLearn</w:t>
      </w:r>
    </w:p>
    <w:p>
      <w:pPr>
        <w:spacing w:line="360" w:lineRule="auto" w:after="0"/>
        <w:ind w:firstLine="720"/>
        <w:jc w:val="both"/>
      </w:pPr>
      <w:r>
        <w:rPr>
          <w:rFonts w:ascii="Times New Roman" w:hAnsi="Times New Roman" w:eastAsia="Times New Roman"/>
          <w:b w:val="0"/>
          <w:sz w:val="24"/>
        </w:rPr>
        <w:t>Verbert et al. (2014) examined learning dashboards and data-driven features in educational applications and found that students who received feedback on their learning behavior and peer interactions were more likely to adjust their study habits productively. This finding supports the inclusion of behavioral nudges and session history tracking in MatchLearn's proposed design</w:t>
      </w:r>
    </w:p>
    <w:p>
      <w:pPr>
        <w:spacing w:line="360" w:lineRule="auto" w:after="0"/>
        <w:ind w:firstLine="720"/>
        <w:jc w:val="both"/>
      </w:pPr>
      <w:r>
        <w:rPr>
          <w:rFonts w:ascii="Times New Roman" w:hAnsi="Times New Roman" w:eastAsia="Times New Roman"/>
          <w:b w:val="0"/>
          <w:sz w:val="24"/>
        </w:rPr>
        <w:t>Garrison and Vaughan (2008) developed the Community of Inquiry framework, which identifies social presence, cognitive presence, and teaching presence as the three pillars of effective online collaborative learning. Their work highlights that students must feel psychologically safe enough to participate authentically—a condition that MatchLearn's institutional verification system is specifically designed to support</w:t>
      </w:r>
    </w:p>
    <w:p>
      <w:pPr>
        <w:spacing w:line="360" w:lineRule="auto" w:after="0"/>
        <w:ind w:firstLine="720"/>
        <w:jc w:val="both"/>
      </w:pPr>
      <w:r>
        <w:rPr>
          <w:rFonts w:ascii="Times New Roman" w:hAnsi="Times New Roman" w:eastAsia="Times New Roman"/>
          <w:b w:val="0"/>
          <w:sz w:val="24"/>
        </w:rPr>
        <w:t>Dillenbourg (1999) distinguished between group work and genuine collaborative learning, arguing that true collaboration requires mutual engagement on a shared problem—not merely parallel work. His analysis of the conditions that make collaboration productive (shared goals, balanced participation, genuine interdependence) directly informs the matching criteria built into MatchLearn's algorithm</w:t>
      </w:r>
    </w:p>
    <w:p>
      <w:pPr>
        <w:spacing w:line="360" w:lineRule="auto" w:after="0"/>
        <w:ind w:firstLine="720"/>
        <w:jc w:val="both"/>
      </w:pPr>
      <w:r>
        <w:rPr>
          <w:rFonts w:ascii="Times New Roman" w:hAnsi="Times New Roman" w:eastAsia="Times New Roman"/>
          <w:b w:val="0"/>
          <w:sz w:val="24"/>
        </w:rPr>
        <w:t>Junco, Heiberger, and Loken (2011) examined the use of social media tools in higher education and found that while platforms like Twitter and Facebook increased student engagement, they introduced significant off-task distraction. Their research highlighted a clear need for purpose-built academic platforms that retain the social connectivity of general tools while filtering out irrelevant content—precisely the design philosophy of MatchLearn</w:t>
      </w:r>
    </w:p>
    <w:p>
      <w:pPr>
        <w:spacing w:line="360" w:lineRule="auto" w:after="0"/>
        <w:ind w:firstLine="720"/>
        <w:jc w:val="both"/>
      </w:pPr>
      <w:r>
        <w:rPr>
          <w:rFonts w:ascii="Times New Roman" w:hAnsi="Times New Roman" w:eastAsia="Times New Roman"/>
          <w:b w:val="0"/>
          <w:sz w:val="24"/>
        </w:rPr>
        <w:t>ISO/IEC 25010:2011 defines the Systems and Software Quality Requirements and Evaluation (SQuaRE) model, which provides an internationally recognized framework for evaluating software product quality across eight characteristics: functional suitability, performance efficiency, compatibility, usability, reliability, security, maintainability, and portability. This framework is the standard against which MatchLearn's system quality will be assessed</w:t>
      </w:r>
    </w:p>
    <w:p>
      <w:pPr>
        <w:spacing w:line="360" w:lineRule="auto" w:after="0"/>
        <w:ind w:firstLine="720"/>
        <w:jc w:val="both"/>
      </w:pPr>
      <w:r>
        <w:rPr>
          <w:rFonts w:ascii="Times New Roman" w:hAnsi="Times New Roman" w:eastAsia="Times New Roman"/>
          <w:b w:val="0"/>
          <w:sz w:val="24"/>
        </w:rPr>
        <w:t>Preece, Rogers, and Sharp (2015) established foundational principles for interaction design, emphasizing learnability, efficiency, and user satisfaction as core usability goals. Their work directly informed the UI/UX design principles applied in MatchLearn—particularly the goal of enabling a student to find a study partner and send a session request within three taps from the home screen</w:t>
      </w:r>
    </w:p>
    <w:p>
      <w:pPr>
        <w:spacing w:line="360" w:lineRule="auto" w:after="0"/>
        <w:ind w:firstLine="720"/>
        <w:jc w:val="both"/>
      </w:pPr>
      <w:r>
        <w:rPr>
          <w:rFonts w:ascii="Times New Roman" w:hAnsi="Times New Roman" w:eastAsia="Times New Roman"/>
          <w:b w:val="0"/>
          <w:sz w:val="24"/>
        </w:rPr>
        <w:t>Putnam (2000) introduced the concept of social capital—the networks, norms, and trust that enable cooperative action—and distinguished between bonding capital (within-group connections) and bridging capital (cross-group connections). MatchLearn functions as a bridging capital instrument, helping students form academic relationships outside their existing social circles and thereby expanding the range of peers they can learn from</w:t>
      </w:r>
    </w:p>
    <w:p>
      <w:pPr>
        <w:spacing w:line="360" w:lineRule="auto" w:after="0"/>
        <w:ind w:firstLine="720"/>
        <w:jc w:val="both"/>
      </w:pPr>
      <w:r>
        <w:rPr>
          <w:rFonts w:ascii="Times New Roman" w:hAnsi="Times New Roman" w:eastAsia="Times New Roman"/>
          <w:b w:val="0"/>
          <w:sz w:val="24"/>
        </w:rPr>
        <w:t>Zimmerman (2002) developed a model of self-regulated learning that identifies help-seeking—including peer help-seeking—as a critical metacognitive strategy. His finding that students who actively seek peer support outperform those who do not, even when controlling for prior knowledge, underscores the academic value of a platform that reduces the friction involved in reaching out to peers</w:t>
      </w:r>
    </w:p>
    <w:p>
      <w:pPr>
        <w:spacing w:line="360" w:lineRule="auto" w:after="0"/>
        <w:ind w:firstLine="720"/>
        <w:jc w:val="both"/>
      </w:pPr>
      <w:r>
        <w:rPr>
          <w:rFonts w:ascii="Times New Roman" w:hAnsi="Times New Roman" w:eastAsia="Times New Roman"/>
          <w:b w:val="0"/>
          <w:sz w:val="24"/>
        </w:rPr>
        <w:t>Bransford, Brown, and Cocking (2000) synthesized cognitive science research on how people learn and found that learning is most durable when it occurs within a social context that provides explanation, elaboration, and feedback. Their work supports the argument that structured peer study—as facilitated by MatchLearn—produces richer learning outcomes than solo study (Bransford, J. D., Brown, A. L., &amp; Cocking, R. R.</w:t>
      </w:r>
    </w:p>
    <w:p>
      <w:pPr>
        <w:spacing w:line="360" w:lineRule="auto" w:after="0"/>
        <w:ind w:firstLine="720"/>
        <w:jc w:val="both"/>
      </w:pPr>
      <w:r>
        <w:rPr>
          <w:rFonts w:ascii="Times New Roman" w:hAnsi="Times New Roman" w:eastAsia="Times New Roman"/>
          <w:b w:val="0"/>
          <w:sz w:val="24"/>
        </w:rPr>
        <w:t>Selwyn (2012) critiqued the uncritical adoption of digital tools in education and called for careful evaluation of whether technology genuinely improves learning or merely adds convenience. His framework for evaluating educational technology on the basis of demonstrated learning outcomes—not novelty—informed the decision to structure this project around measurable system quality criteria and pilot evaluation rather than assumed benefit</w:t>
      </w:r>
    </w:p>
    <w:p>
      <w:pPr>
        <w:spacing w:line="360" w:lineRule="auto" w:after="0"/>
        <w:ind w:firstLine="720"/>
        <w:jc w:val="both"/>
      </w:pPr>
      <w:r>
        <w:rPr>
          <w:rFonts w:ascii="Times New Roman" w:hAnsi="Times New Roman" w:eastAsia="Times New Roman"/>
          <w:b w:val="0"/>
          <w:sz w:val="24"/>
        </w:rPr>
        <w:t>Ally (2004) proposed a framework for effective mobile learning that emphasizes contextual relevance, learner control, and just-in-time access. These principles guided the mobile-first design of MatchLearn and its emphasis on giving students meaningful control over their matching preferences and study session parameters</w:t>
      </w:r>
    </w:p>
    <w:p>
      <w:pPr>
        <w:spacing w:line="360" w:lineRule="auto" w:after="0"/>
        <w:ind w:firstLine="720"/>
        <w:jc w:val="both"/>
      </w:pPr>
      <w:r>
        <w:rPr>
          <w:rFonts w:ascii="Times New Roman" w:hAnsi="Times New Roman" w:eastAsia="Times New Roman"/>
          <w:b w:val="0"/>
          <w:sz w:val="24"/>
        </w:rPr>
        <w:t>Vygotsky's (1978) Zone of Proximal Development (ZPD) remains one of the most influential theoretical frameworks for peer learning. It holds that students learn most effectively when working just beyond their current independent capability, with the support of a more capable peer. MatchLearn's matching algorithm, which pairs students who have complementary academic strengths, operationalizes ZPD theory in a digital platform context</w:t>
      </w:r>
    </w:p>
    <w:p>
      <w:pPr>
        <w:spacing w:line="360" w:lineRule="auto" w:after="0"/>
        <w:ind w:firstLine="720"/>
        <w:jc w:val="both"/>
      </w:pPr>
      <w:r>
        <w:rPr>
          <w:rFonts w:ascii="Times New Roman" w:hAnsi="Times New Roman" w:eastAsia="Times New Roman"/>
          <w:b w:val="0"/>
          <w:sz w:val="24"/>
        </w:rPr>
        <w:t>Dabbagh and Kitsantas (2012) studied personal learning environments (PLEs) and found that students who construct self-managed digital learning ecosystems—curating tools, peers, and resources—demonstrate stronger academic self-regulation. MatchLearn contributes to this ecosystem by serving as the peer-coordination layer of a student's broader digital learning environment</w:t>
      </w:r>
    </w:p>
    <w:p>
      <w:pPr>
        <w:spacing w:line="360" w:lineRule="auto" w:after="0"/>
        <w:ind w:firstLine="720"/>
        <w:jc w:val="both"/>
      </w:pPr>
      <w:r>
        <w:rPr>
          <w:rFonts w:ascii="Times New Roman" w:hAnsi="Times New Roman" w:eastAsia="Times New Roman"/>
          <w:b w:val="0"/>
          <w:sz w:val="24"/>
        </w:rPr>
        <w:t>Lampe, Ellison, and Steinfield (2006) studied how college students used Facebook and found that while it supported the maintenance of existing relationships, it was less effective at forming new, academically productive connections. This gap—between social connection and academic coordination—is precisely the space MatchLearn is designed to fill</w:t>
      </w:r>
    </w:p>
    <w:p>
      <w:pPr>
        <w:spacing w:line="360" w:lineRule="auto" w:after="0"/>
        <w:ind w:firstLine="720"/>
        <w:jc w:val="both"/>
      </w:pPr>
      <w:r>
        <w:rPr>
          <w:rFonts w:ascii="Times New Roman" w:hAnsi="Times New Roman" w:eastAsia="Times New Roman"/>
          <w:b w:val="0"/>
          <w:sz w:val="24"/>
        </w:rPr>
        <w:t>Rienties and Tempelaar (2013) examined how social network structure within university cohorts affects academic achievement and found that students with more diverse peer networks consistently performed better. Their finding that peer diversity—not just peer quantity—predicts outcomes supports the multi-criteria matching approach of MatchLearn, which intentionally pairs students across different academic strength profiles</w:t>
      </w:r>
    </w:p>
    <w:p>
      <w:pPr>
        <w:spacing w:line="360" w:lineRule="auto" w:after="0"/>
        <w:ind w:firstLine="720"/>
        <w:jc w:val="both"/>
      </w:pPr>
      <w:r>
        <w:rPr>
          <w:rFonts w:ascii="Times New Roman" w:hAnsi="Times New Roman" w:eastAsia="Times New Roman"/>
          <w:b w:val="0"/>
          <w:sz w:val="24"/>
        </w:rPr>
        <w:t>Nicol and Macfarlane-Dick (2006) established that effective peer feedback loops—where students regularly exchange formative input on each other's work—are among the most powerful drivers of academic improvement. MatchLearn's post-session review feature, which allows matched students to rate and comment on their study experiences, is directly informed by this evidence base</w:t>
      </w:r>
    </w:p>
    <w:p>
      <w:pPr>
        <w:spacing w:line="360" w:lineRule="auto" w:after="0"/>
        <w:ind w:firstLine="720"/>
        <w:jc w:val="both"/>
      </w:pPr>
      <w:r>
        <w:rPr>
          <w:rFonts w:ascii="Times New Roman" w:hAnsi="Times New Roman" w:eastAsia="Times New Roman"/>
          <w:b w:val="0"/>
          <w:sz w:val="24"/>
        </w:rPr>
        <w:t>Greenhow and Lewin (2016) reviewed social media in education and found that while these platforms fostered informal learning and community building, their unstructured nature made them poorly suited to sustained, goal-directed academic collaboration. Their call for purpose-built academic social tools that combine the connectivity of social media with the structure of learning management systems frames the design problem that MatchLearn directly addresses</w:t>
      </w:r>
    </w:p>
    <w:p>
      <w:pPr>
        <w:spacing w:line="360" w:lineRule="auto" w:after="0"/>
        <w:ind w:firstLine="720"/>
        <w:jc w:val="both"/>
      </w:pPr>
      <w:r>
        <w:rPr>
          <w:rFonts w:ascii="Times New Roman" w:hAnsi="Times New Roman" w:eastAsia="Times New Roman"/>
          <w:b w:val="0"/>
          <w:sz w:val="24"/>
        </w:rPr>
        <w:t>Suthers and Hundhausen (2003) found that the representational format used in collaborative tools significantly affects the quality of peer interactions—structured representations produce more focused and productive dialogue than unstructured ones. This insight supports the use of structured profiles and matching criteria in MatchLearn rather than an open-ended, social-media-style interface</w:t>
      </w:r>
    </w:p>
    <w:p>
      <w:pPr>
        <w:spacing w:line="360" w:lineRule="auto" w:after="0"/>
        <w:ind w:firstLine="720"/>
        <w:jc w:val="both"/>
      </w:pPr>
      <w:r>
        <w:rPr>
          <w:rFonts w:ascii="Times New Roman" w:hAnsi="Times New Roman" w:eastAsia="Times New Roman"/>
          <w:b w:val="0"/>
          <w:sz w:val="24"/>
        </w:rPr>
        <w:t>Astin (1993) developed the theory of student involvement, which holds that the amount of physical and psychological energy a student devotes to their academic experience is the strongest predictor of educational outcomes. Peer collaboration—especially when facilitated by accessible, low-friction tools—is one of the most reliable drivers of student involvement, making platforms like MatchLearn instrumentally important to retention and academic achievement</w:t>
      </w:r>
    </w:p>
    <w:p>
      <w:pPr>
        <w:keepNext/>
        <w:spacing w:line="360" w:lineRule="auto" w:before="120" w:after="60"/>
        <w:ind w:firstLine="0"/>
        <w:jc w:val="left"/>
      </w:pPr>
      <w:r>
        <w:rPr>
          <w:rFonts w:ascii="Times New Roman" w:hAnsi="Times New Roman" w:eastAsia="Times New Roman"/>
          <w:b/>
          <w:sz w:val="24"/>
        </w:rPr>
        <w:t>2.2 Local Literature</w:t>
      </w:r>
    </w:p>
    <w:p>
      <w:pPr>
        <w:spacing w:line="360" w:lineRule="auto" w:after="0"/>
        <w:ind w:firstLine="720"/>
        <w:jc w:val="both"/>
      </w:pPr>
      <w:r>
        <w:rPr>
          <w:rFonts w:ascii="Times New Roman" w:hAnsi="Times New Roman" w:eastAsia="Times New Roman"/>
          <w:b w:val="0"/>
          <w:sz w:val="24"/>
        </w:rPr>
        <w:t>Tinto (1987) adapted to the Philippine context by Cabauatan, Uy, and Ugaddan (2017) found that Filipino university students who experienced weak social and academic integration in their first year were significantly more likely to drop out before completing their degrees. Their study, conducted across several Philippine state universities, identified peer support networks as a critical protective factor against attrition—providing strong local justification for a structured peer-matching platform at SNSU</w:t>
      </w:r>
    </w:p>
    <w:p>
      <w:pPr>
        <w:spacing w:line="360" w:lineRule="auto" w:after="0"/>
        <w:ind w:firstLine="720"/>
        <w:jc w:val="both"/>
      </w:pPr>
      <w:r>
        <w:rPr>
          <w:rFonts w:ascii="Times New Roman" w:hAnsi="Times New Roman" w:eastAsia="Times New Roman"/>
          <w:b w:val="0"/>
          <w:sz w:val="24"/>
        </w:rPr>
        <w:t>The Commission on Higher Education (CHED) issued CMO No. 46, s. 2012, which established outcomes-based education (OBE) as the national framework for Philippine higher education. OBE's emphasis on collaborative competencies as graduate outcomes directly positions tools like MatchLearn as instruments of policy implementation, not merely convenience features</w:t>
      </w:r>
    </w:p>
    <w:p>
      <w:pPr>
        <w:spacing w:line="360" w:lineRule="auto" w:after="0"/>
        <w:ind w:firstLine="720"/>
        <w:jc w:val="both"/>
      </w:pPr>
      <w:r>
        <w:rPr>
          <w:rFonts w:ascii="Times New Roman" w:hAnsi="Times New Roman" w:eastAsia="Times New Roman"/>
          <w:b w:val="0"/>
          <w:sz w:val="24"/>
        </w:rPr>
        <w:t>Boholano (2017) investigated social media practices of pre-service teachers at Philippine universities and found a significant gap between students' general social media proficiency and their ability to use digital tools for structured academic collaboration. She concluded that institutions needed to provide purpose-built academic platforms to bridge this gap—a finding that remains directly applicable to SNSU's student population</w:t>
      </w:r>
    </w:p>
    <w:p>
      <w:pPr>
        <w:spacing w:line="360" w:lineRule="auto" w:after="0"/>
        <w:ind w:firstLine="720"/>
        <w:jc w:val="both"/>
      </w:pPr>
      <w:r>
        <w:rPr>
          <w:rFonts w:ascii="Times New Roman" w:hAnsi="Times New Roman" w:eastAsia="Times New Roman"/>
          <w:b w:val="0"/>
          <w:sz w:val="24"/>
        </w:rPr>
        <w:t>Toquero (2020) studied emergency remote teaching and its impact on Filipino students during the COVID-19 pandemic and found that the sudden shift to online learning severely disrupted peer learning dynamics. Students who lacked established digital peer networks before the pandemic suffered the most significant disruption to their academic engagement—underscoring the need for proactive, technology-mediated peer connection systems in Philippine universities</w:t>
      </w:r>
    </w:p>
    <w:p>
      <w:pPr>
        <w:spacing w:line="360" w:lineRule="auto" w:after="0"/>
        <w:ind w:firstLine="720"/>
        <w:jc w:val="both"/>
      </w:pPr>
      <w:r>
        <w:rPr>
          <w:rFonts w:ascii="Times New Roman" w:hAnsi="Times New Roman" w:eastAsia="Times New Roman"/>
          <w:b w:val="0"/>
          <w:sz w:val="24"/>
        </w:rPr>
        <w:t>Buenaflor and Kim (2013) studied human-computer interaction (HCI) considerations specific to Filipino users and identified cultural factors—such as preference for group harmony, reluctance to admit academic difficulty, and high value placed on institutional affiliation—that affect how Filipinos engage with digital platforms. Their findings directly informed MatchLearn's design decisions, including the use of institutional SSO to signal trustworthiness and the framing of peer matching in terms of mutual benefit rather than academic weakness</w:t>
      </w:r>
    </w:p>
    <w:p>
      <w:pPr>
        <w:spacing w:line="360" w:lineRule="auto" w:after="0"/>
        <w:ind w:firstLine="720"/>
        <w:jc w:val="both"/>
      </w:pPr>
      <w:r>
        <w:rPr>
          <w:rFonts w:ascii="Times New Roman" w:hAnsi="Times New Roman" w:eastAsia="Times New Roman"/>
          <w:b w:val="0"/>
          <w:sz w:val="24"/>
        </w:rPr>
        <w:t>The Philippine Development Plan 2017–2022 (National Economic and Development Authority, 2017) identified digital literacy and technology-enabled learning as key pillars of the country's human capital development strategy. It explicitly called for the development of digital tools that expand access to quality education in underserved regions—framing platforms like MatchLearn as contributions to national development priorities, not just institutional projects</w:t>
      </w:r>
    </w:p>
    <w:p>
      <w:pPr>
        <w:spacing w:line="360" w:lineRule="auto" w:after="0"/>
        <w:ind w:firstLine="720"/>
        <w:jc w:val="both"/>
      </w:pPr>
      <w:r>
        <w:rPr>
          <w:rFonts w:ascii="Times New Roman" w:hAnsi="Times New Roman" w:eastAsia="Times New Roman"/>
          <w:b w:val="0"/>
          <w:sz w:val="24"/>
        </w:rPr>
        <w:t>Rodrigo (2011) reviewed educational technology research in the Philippines and found that most local edtech studies focused on content delivery rather than social or collaborative dimensions of learning. She called for research on peer interaction technologies tailored to Philippine learners—a gap that MatchLearn directly addresses by centering peer matching and collaborative session management as its primary functions</w:t>
      </w:r>
    </w:p>
    <w:p>
      <w:pPr>
        <w:spacing w:line="360" w:lineRule="auto" w:after="0"/>
        <w:ind w:firstLine="720"/>
        <w:jc w:val="both"/>
      </w:pPr>
      <w:r>
        <w:rPr>
          <w:rFonts w:ascii="Times New Roman" w:hAnsi="Times New Roman" w:eastAsia="Times New Roman"/>
          <w:b w:val="0"/>
          <w:sz w:val="24"/>
        </w:rPr>
        <w:t>Lagman et al. (2021) developed and evaluated a mobile learning application for Philippine higher education students and found that features perceived as most valuable were those enabling peer interaction and collaborative review, rather than content presentation. Their evaluation used the ISO 25010 quality model and recorded high usability scores when the interface was designed to minimize steps between login and core functionality—a design principle directly adopted in MatchLearn</w:t>
      </w:r>
    </w:p>
    <w:p>
      <w:pPr>
        <w:spacing w:line="360" w:lineRule="auto" w:after="0"/>
        <w:ind w:firstLine="720"/>
        <w:jc w:val="both"/>
      </w:pPr>
      <w:r>
        <w:rPr>
          <w:rFonts w:ascii="Times New Roman" w:hAnsi="Times New Roman" w:eastAsia="Times New Roman"/>
          <w:b w:val="0"/>
          <w:sz w:val="24"/>
        </w:rPr>
        <w:t>Andrada and Macayan (2019) examined formative assessment practices in Philippine higher education and found that peer feedback—when structured and institutionally supported—significantly improved both learning outcomes and students' sense of academic belonging. Their findings reinforce the value of MatchLearn's post-session review mechanism, which is designed to give students a channel for structured, private feedback on their study partnerships</w:t>
      </w:r>
    </w:p>
    <w:p>
      <w:pPr>
        <w:spacing w:line="360" w:lineRule="auto" w:after="0"/>
        <w:ind w:firstLine="720"/>
        <w:jc w:val="both"/>
      </w:pPr>
      <w:r>
        <w:rPr>
          <w:rFonts w:ascii="Times New Roman" w:hAnsi="Times New Roman" w:eastAsia="Times New Roman"/>
          <w:b w:val="0"/>
          <w:sz w:val="24"/>
        </w:rPr>
        <w:t>Pablos-Mendez, Chunharas, and Ramirez (2020), in a regional analysis that included Philippine universities, found that mobile health and education applications achieved significantly higher adoption and sustained use in developing-country contexts when they integrated with existing institutional infrastructure—such as university email systems—rather than requiring separate registration. This finding validates MatchLearn's SSO-based access design as a strategy for maximizing platform adoption at SNSU</w:t>
      </w:r>
    </w:p>
    <w:p>
      <w:pPr>
        <w:spacing w:line="360" w:lineRule="auto" w:after="0"/>
        <w:ind w:firstLine="720"/>
        <w:jc w:val="both"/>
      </w:pPr>
      <w:r>
        <w:rPr>
          <w:rFonts w:ascii="Times New Roman" w:hAnsi="Times New Roman" w:eastAsia="Times New Roman"/>
          <w:b w:val="0"/>
          <w:sz w:val="24"/>
        </w:rPr>
        <w:t>Belecina and Ocampo (2018) investigated collaborative problem-solving among mathematics students at a Philippine state university and found that students who engaged in regular peer collaboration performed significantly better on problem-solving assessments than those who studied alone. They recommended institutionally supported peer-learning structures as a standard component of mathematics and STEM instruction—a recommendation directly relevant to SNSU's substantial STEM enrollment</w:t>
      </w:r>
    </w:p>
    <w:p>
      <w:pPr>
        <w:spacing w:line="360" w:lineRule="auto" w:after="0"/>
        <w:ind w:firstLine="720"/>
        <w:jc w:val="both"/>
      </w:pPr>
      <w:r>
        <w:rPr>
          <w:rFonts w:ascii="Times New Roman" w:hAnsi="Times New Roman" w:eastAsia="Times New Roman"/>
          <w:b w:val="0"/>
          <w:sz w:val="24"/>
        </w:rPr>
        <w:t>Bernardo et al. (2008) studied motivation and academic achievement among Filipino undergraduates and found that students who perceived their academic environment as cooperative rather than competitive demonstrated higher intrinsic motivation and deeper learning strategies. Their finding that the structural design of the academic environment—not just individual student traits—shapes motivational outcomes provides theoretical grounding for the argument that MatchLearn can influence not just study partner access but students' broader academic motivation</w:t>
      </w:r>
    </w:p>
    <w:p>
      <w:pPr>
        <w:spacing w:line="360" w:lineRule="auto" w:after="0"/>
        <w:ind w:firstLine="720"/>
        <w:jc w:val="both"/>
      </w:pPr>
      <w:r>
        <w:rPr>
          <w:rFonts w:ascii="Times New Roman" w:hAnsi="Times New Roman" w:eastAsia="Times New Roman"/>
          <w:b w:val="0"/>
          <w:sz w:val="24"/>
        </w:rPr>
        <w:t>Reyes et al. (2019) conducted a needs assessment of student support services at selected Mindanao state universities and found that academic peer support was consistently rated as one of the most needed but least available services. Respondents reported being unaware of how to find study partners outside their immediate classmates and expressed strong interest in a digital tool that could facilitate this—providing direct empirical support for the need that MatchLearn is designed to address</w:t>
      </w:r>
    </w:p>
    <w:p>
      <w:pPr>
        <w:spacing w:line="360" w:lineRule="auto" w:after="0"/>
        <w:ind w:firstLine="720"/>
        <w:jc w:val="both"/>
      </w:pPr>
      <w:r>
        <w:rPr>
          <w:rFonts w:ascii="Times New Roman" w:hAnsi="Times New Roman" w:eastAsia="Times New Roman"/>
          <w:b w:val="0"/>
          <w:sz w:val="24"/>
        </w:rPr>
        <w:t>David and Albert (2012) documented digital divide patterns in the Philippines and found that students from lower-income and rural households were significantly less likely to have home internet access, making institutional internet provision—including campus Wi-Fi and institutionally hosted digital tools—critical for equitable access to digital academic resources. This finding supports positioning MatchLearn as an institutionally hosted platform rather than a third-party subscription service</w:t>
      </w:r>
    </w:p>
    <w:p>
      <w:pPr>
        <w:spacing w:line="360" w:lineRule="auto" w:after="0"/>
        <w:ind w:firstLine="720"/>
        <w:jc w:val="both"/>
      </w:pPr>
      <w:r>
        <w:rPr>
          <w:rFonts w:ascii="Times New Roman" w:hAnsi="Times New Roman" w:eastAsia="Times New Roman"/>
          <w:b w:val="0"/>
          <w:sz w:val="24"/>
        </w:rPr>
        <w:t>Ocampo (2020) reviewed mobile application development practices in Philippine academic institutions and found that apps developed using iterative, user-centered methodologies—such as RAD—achieved significantly higher adoption rates and user satisfaction scores than those developed using traditional waterfall approaches. This finding directly supports the choice of RAD as the development methodology for MatchLearn</w:t>
      </w:r>
    </w:p>
    <w:p>
      <w:pPr>
        <w:spacing w:line="360" w:lineRule="auto" w:after="0"/>
        <w:ind w:firstLine="720"/>
        <w:jc w:val="both"/>
      </w:pPr>
      <w:r>
        <w:rPr>
          <w:rFonts w:ascii="Times New Roman" w:hAnsi="Times New Roman" w:eastAsia="Times New Roman"/>
          <w:b w:val="0"/>
          <w:sz w:val="24"/>
        </w:rPr>
        <w:t>Lucido (2016) analyzed learning styles among Filipino college students and found significant heterogeneity—students within the same class differed substantially in their preferred modes of studying, pacing, and peer interaction. This finding supports the inclusion of learning style preferences as one of the matching criteria in MatchLearn, as pairing students without regard for these differences risks producing incompatible partnerships</w:t>
      </w:r>
    </w:p>
    <w:p>
      <w:pPr>
        <w:spacing w:line="360" w:lineRule="auto" w:after="0"/>
        <w:ind w:firstLine="720"/>
        <w:jc w:val="both"/>
      </w:pPr>
      <w:r>
        <w:rPr>
          <w:rFonts w:ascii="Times New Roman" w:hAnsi="Times New Roman" w:eastAsia="Times New Roman"/>
          <w:b w:val="0"/>
          <w:sz w:val="24"/>
        </w:rPr>
        <w:t>Aldas, Bathan, and Alieto (2020) investigated the relationship between language medium and academic collaboration among multilingual Filipino students and found that students collaborated most comfortably with peers who shared their first language or regional dialect—particularly in informal study settings. This has practical implications for MatchLearn's profile design, which may benefit from including a language/dialect field to improve the quality of peer pairings among SNSU's linguistically diverse student population</w:t>
      </w:r>
    </w:p>
    <w:p>
      <w:pPr>
        <w:spacing w:line="360" w:lineRule="auto" w:after="0"/>
        <w:ind w:firstLine="720"/>
        <w:jc w:val="both"/>
      </w:pPr>
      <w:r>
        <w:rPr>
          <w:rFonts w:ascii="Times New Roman" w:hAnsi="Times New Roman" w:eastAsia="Times New Roman"/>
          <w:b w:val="0"/>
          <w:sz w:val="24"/>
        </w:rPr>
        <w:t>Rabacal, Oducado, and Tamdang (2020) studied the impact of COVID-19 on student learning in the Philippines and found that the most resilient students—those who maintained academic performance despite pandemic disruptions—were those with strong peer support networks that had migrated to digital platforms. Students without such networks showed the steepest declines in academic engagement and outcomes, reinforcing the argument that digital peer-connection infrastructure is an essential component of a resilient university learning environment</w:t>
      </w:r>
    </w:p>
    <w:p>
      <w:pPr>
        <w:spacing w:line="360" w:lineRule="auto" w:after="0"/>
        <w:ind w:firstLine="720"/>
        <w:jc w:val="both"/>
      </w:pPr>
      <w:r>
        <w:rPr>
          <w:rFonts w:ascii="Times New Roman" w:hAnsi="Times New Roman" w:eastAsia="Times New Roman"/>
          <w:b w:val="0"/>
          <w:sz w:val="24"/>
        </w:rPr>
        <w:t>Camiling (2019) examined the role of peer tutoring in improving academic performance among engineering students at a Philippine university and found that structured peer tutoring sessions led to statistically significant improvements in exam scores and course completion rates, particularly in foundational STEM subjects. The study recommended expanding peer tutoring through scalable digital platforms rather than limiting it to formally organized in-person programs—a recommendation that MatchLearn directly operationalizes</w:t>
      </w:r>
    </w:p>
    <w:p>
      <w:pPr>
        <w:spacing w:line="360" w:lineRule="auto" w:after="0"/>
        <w:ind w:firstLine="720"/>
        <w:jc w:val="both"/>
      </w:pPr>
      <w:r>
        <w:rPr>
          <w:rFonts w:ascii="Times New Roman" w:hAnsi="Times New Roman" w:eastAsia="Times New Roman"/>
          <w:b w:val="0"/>
          <w:sz w:val="24"/>
        </w:rPr>
        <w:t>Pimentel and de Guzman (2018) surveyed Filipino university students on their preferences for academic social networking features and found that the three most desired features were the ability to find peers by course and schedule, private messaging with matched peers, and the ability to rate study partner interactions. All three features are included in MatchLearn's proposed design, indicating strong alignment between the platform's functionality and the expressed needs of Filipino university students</w:t>
      </w:r>
    </w:p>
    <w:p>
      <w:pPr>
        <w:spacing w:line="360" w:lineRule="auto" w:after="0"/>
        <w:ind w:firstLine="720"/>
        <w:jc w:val="both"/>
      </w:pPr>
      <w:r>
        <w:rPr>
          <w:rFonts w:ascii="Times New Roman" w:hAnsi="Times New Roman" w:eastAsia="Times New Roman"/>
          <w:b w:val="0"/>
          <w:sz w:val="24"/>
        </w:rPr>
        <w:t>The supplied source contains 22 foreign and 20 local literature entries, meeting the template's minimum of 20 entries in each group. The reference list below is retained from that source document.</w:t>
      </w:r>
    </w:p>
    <w:p>
      <w:pPr>
        <w:keepNext/>
        <w:spacing w:line="360" w:lineRule="auto" w:before="160" w:after="80"/>
        <w:ind w:firstLine="0"/>
        <w:jc w:val="left"/>
      </w:pPr>
      <w:r>
        <w:rPr>
          <w:rFonts w:ascii="Times New Roman" w:hAnsi="Times New Roman" w:eastAsia="Times New Roman"/>
          <w:b/>
          <w:sz w:val="24"/>
        </w:rPr>
        <w:t>3. TECHNICAL BACKGROUND</w:t>
      </w:r>
    </w:p>
    <w:p>
      <w:pPr>
        <w:spacing w:line="360" w:lineRule="auto" w:after="0"/>
        <w:ind w:firstLine="720"/>
        <w:jc w:val="both"/>
      </w:pPr>
      <w:r>
        <w:rPr>
          <w:rFonts w:ascii="Times New Roman" w:hAnsi="Times New Roman" w:eastAsia="Times New Roman"/>
          <w:b w:val="0"/>
          <w:sz w:val="24"/>
        </w:rPr>
        <w:t>The mobile client uses Expo SDK 57, React Native 0.86, and TypeScript. React Navigation provides screen navigation, TanStack Query supports server state, Axios sends API requests, and Expo SecureStore stores the mobile access token. The primary mobile areas are Home, Discover, Study Sessions, Messages, Buddies, and Profile.</w:t>
      </w:r>
    </w:p>
    <w:p>
      <w:pPr>
        <w:spacing w:line="360" w:lineRule="auto" w:after="0"/>
        <w:ind w:firstLine="720"/>
        <w:jc w:val="both"/>
      </w:pPr>
      <w:r>
        <w:rPr>
          <w:rFonts w:ascii="Times New Roman" w:hAnsi="Times New Roman" w:eastAsia="Times New Roman"/>
          <w:b w:val="0"/>
          <w:sz w:val="24"/>
        </w:rPr>
        <w:t>The backend is a Laravel 12 REST API with mobile routes under /api/v1. The public Google authentication endpoint verifies an ID token, checks the institutional email domain, and returns a Laravel Sanctum token. Protected routes provide profile, match, buddy, group, message, session, notification, review, and report functions. The deployment configuration uses PostgreSQL on Render.</w:t>
      </w:r>
    </w:p>
    <w:p>
      <w:pPr>
        <w:spacing w:line="360" w:lineRule="auto" w:after="0"/>
        <w:ind w:firstLine="720"/>
        <w:jc w:val="both"/>
      </w:pPr>
      <w:r>
        <w:rPr>
          <w:rFonts w:ascii="Times New Roman" w:hAnsi="Times New Roman" w:eastAsia="Times New Roman"/>
          <w:b w:val="0"/>
          <w:sz w:val="24"/>
        </w:rPr>
        <w:t>The matching service calculates candidate compatibility using seven criteria. Default point weights are courses 25, academic complementarity 25, program 20, learning style 10, schedule 10, year level 5, and study mode 5. Administrators can adjust these weights provided that the total equals 100. The resulting score ranks recommendations and should be interpreted as a profile-based discovery signal rather than a validated educational measure.</w:t>
      </w:r>
    </w:p>
    <w:p>
      <w:pPr>
        <w:keepNext/>
        <w:spacing w:line="360" w:lineRule="auto" w:before="120" w:after="60"/>
        <w:ind w:firstLine="0"/>
        <w:jc w:val="left"/>
      </w:pPr>
      <w:r>
        <w:rPr>
          <w:rFonts w:ascii="Times New Roman" w:hAnsi="Times New Roman" w:eastAsia="Times New Roman"/>
          <w:b/>
          <w:sz w:val="24"/>
        </w:rPr>
        <w:t>3.1 Conceptual Framework</w:t>
      </w:r>
    </w:p>
    <w:p>
      <w:pPr>
        <w:spacing w:line="360" w:lineRule="auto" w:after="0"/>
        <w:ind w:firstLine="720"/>
        <w:jc w:val="both"/>
      </w:pPr>
      <w:r>
        <w:rPr>
          <w:rFonts w:ascii="Times New Roman" w:hAnsi="Times New Roman" w:eastAsia="Times New Roman"/>
          <w:b w:val="0"/>
          <w:sz w:val="24"/>
        </w:rPr>
        <w:t>The framework relates student identity and study-profile inputs to the mobile client, authenticated API, matching and collaboration services, and the outputs shown to users. The full Mermaid source is included in Appendix A.</w:t>
      </w:r>
    </w:p>
    <w:p>
      <w:pPr>
        <w:keepNext/>
        <w:spacing w:line="360" w:lineRule="auto" w:before="160" w:after="80"/>
        <w:ind w:firstLine="0"/>
        <w:jc w:val="left"/>
      </w:pPr>
      <w:r>
        <w:rPr>
          <w:rFonts w:ascii="Times New Roman" w:hAnsi="Times New Roman" w:eastAsia="Times New Roman"/>
          <w:b/>
          <w:sz w:val="24"/>
        </w:rPr>
        <w:t>4. METHODOLOGY</w:t>
      </w:r>
    </w:p>
    <w:p>
      <w:pPr>
        <w:spacing w:line="360" w:lineRule="auto" w:after="0"/>
        <w:ind w:firstLine="720"/>
        <w:jc w:val="both"/>
      </w:pPr>
      <w:r>
        <w:rPr>
          <w:rFonts w:ascii="Times New Roman" w:hAnsi="Times New Roman" w:eastAsia="Times New Roman"/>
          <w:b w:val="0"/>
          <w:sz w:val="24"/>
        </w:rPr>
        <w:t>The document uses an implementation-documentation approach: system claims are checked against the current mobile package, app manual, API routes, authentication controller, matching service, data models, and deployment configuration. The available materials do not include project meeting minutes, interview or survey records, approved evaluation instruments, or participant results. Those activities are therefore not reported as completed.</w:t>
      </w:r>
    </w:p>
    <w:p>
      <w:pPr>
        <w:keepNext/>
        <w:spacing w:line="360" w:lineRule="auto" w:before="120" w:after="60"/>
        <w:ind w:firstLine="0"/>
        <w:jc w:val="left"/>
      </w:pPr>
      <w:r>
        <w:rPr>
          <w:rFonts w:ascii="Times New Roman" w:hAnsi="Times New Roman" w:eastAsia="Times New Roman"/>
          <w:b/>
          <w:sz w:val="24"/>
        </w:rPr>
        <w:t>4.1 Planning Requirements</w:t>
      </w:r>
    </w:p>
    <w:p>
      <w:pPr>
        <w:spacing w:line="360" w:lineRule="auto" w:after="0"/>
        <w:ind w:firstLine="720"/>
        <w:jc w:val="both"/>
      </w:pPr>
      <w:r>
        <w:rPr>
          <w:rFonts w:ascii="Times New Roman" w:hAnsi="Times New Roman" w:eastAsia="Times New Roman"/>
          <w:b w:val="0"/>
          <w:sz w:val="24"/>
        </w:rPr>
        <w:t xml:space="preserve">The documented functional requirements are derived from the implemented mobile screens and API routes. They include institutional Google sign-in, profile management, sorted buddy recommendations, group discovery and detail viewing by authenticated students, join requests and cancellation, paired-buddy invitations and responses, messaging, study sessions, notifications, reviews, reports, and account controls. The API enforces authenticated access for student operations. No interview or survey procedure is claimed because its records were not supplied.</w:t>
      </w:r>
    </w:p>
    <w:p>
      <w:pPr>
        <w:keepNext/>
        <w:spacing w:line="360" w:lineRule="auto" w:before="120" w:after="60"/>
        <w:ind w:firstLine="0"/>
        <w:jc w:val="left"/>
      </w:pPr>
      <w:r>
        <w:rPr>
          <w:rFonts w:ascii="Times New Roman" w:hAnsi="Times New Roman" w:eastAsia="Times New Roman"/>
          <w:b/>
          <w:sz w:val="24"/>
        </w:rPr>
        <w:t>4.2 Prototype</w:t>
      </w:r>
    </w:p>
    <w:p>
      <w:pPr>
        <w:spacing w:line="360" w:lineRule="auto" w:after="0"/>
        <w:ind w:firstLine="720"/>
        <w:jc w:val="both"/>
      </w:pPr>
      <w:r>
        <w:rPr>
          <w:rFonts w:ascii="Times New Roman" w:hAnsi="Times New Roman" w:eastAsia="Times New Roman"/>
          <w:b w:val="0"/>
          <w:sz w:val="24"/>
        </w:rPr>
        <w:t>The implementation provides working mobile screens for Home, Discover, Study Sessions, Messages, Buddies, and Profile, along with related dialogs and detail views. A separate Figma prototype file was not included in the supplied project materials. Actual app screenshots were also not supplied; the screenshot slots in Section 5.3 must be replaced with current screenshots before submission.</w:t>
      </w:r>
    </w:p>
    <w:p>
      <w:pPr>
        <w:keepNext/>
        <w:spacing w:line="360" w:lineRule="auto" w:before="120" w:after="60"/>
        <w:ind w:firstLine="0"/>
        <w:jc w:val="left"/>
      </w:pPr>
      <w:r>
        <w:rPr>
          <w:rFonts w:ascii="Times New Roman" w:hAnsi="Times New Roman" w:eastAsia="Times New Roman"/>
          <w:b/>
          <w:sz w:val="24"/>
        </w:rPr>
        <w:t>4.3 Receive Feedback</w:t>
      </w:r>
    </w:p>
    <w:p>
      <w:pPr>
        <w:spacing w:line="360" w:lineRule="auto" w:after="0"/>
        <w:ind w:firstLine="720"/>
        <w:jc w:val="both"/>
      </w:pPr>
      <w:r>
        <w:rPr>
          <w:rFonts w:ascii="Times New Roman" w:hAnsi="Times New Roman" w:eastAsia="Times New Roman"/>
          <w:b w:val="0"/>
          <w:sz w:val="24"/>
        </w:rPr>
        <w:t>No dated stakeholder-review notes, prototype feedback forms, or change-request records were supplied. This document therefore does not claim that a specified number of students or instructors reviewed the prototype or that particular feedback was collected. Add verified participants, feedback themes, and resulting changes here if those records are available.</w:t>
      </w:r>
    </w:p>
    <w:p>
      <w:pPr>
        <w:keepNext/>
        <w:spacing w:line="360" w:lineRule="auto" w:before="120" w:after="60"/>
        <w:ind w:firstLine="0"/>
        <w:jc w:val="left"/>
      </w:pPr>
      <w:r>
        <w:rPr>
          <w:rFonts w:ascii="Times New Roman" w:hAnsi="Times New Roman" w:eastAsia="Times New Roman"/>
          <w:b/>
          <w:sz w:val="24"/>
        </w:rPr>
        <w:t>4.4 Finalize Software</w:t>
      </w:r>
    </w:p>
    <w:p>
      <w:pPr>
        <w:spacing w:line="360" w:lineRule="auto" w:after="0"/>
        <w:ind w:firstLine="720"/>
        <w:jc w:val="both"/>
      </w:pPr>
      <w:r>
        <w:rPr>
          <w:rFonts w:ascii="Times New Roman" w:hAnsi="Times New Roman" w:eastAsia="Times New Roman"/>
          <w:b w:val="0"/>
          <w:sz w:val="24"/>
        </w:rPr>
        <w:t xml:space="preserve">The current implementation consists of an Expo and React Native mobile app using TypeScript, a Laravel 12 API, Laravel Sanctum authentication, Google identity-token verification, and PostgreSQL persistence. The local API source implements public group-detail reads for authenticated students, join-request cancellation, invitations restricted to accepted buddies by group administrators, and invitation responses, in addition to profile, match, buddy, group, messaging, session, notification, review, and report workflows. Deploy the corresponding backend changes and migration before relying on the new group flows in production. No Laravel Reverb or MySQL dependency is claimed.</w:t>
      </w:r>
    </w:p>
    <w:p>
      <w:pPr>
        <w:keepNext/>
        <w:spacing w:line="360" w:lineRule="auto" w:before="120" w:after="60"/>
        <w:ind w:firstLine="0"/>
        <w:jc w:val="left"/>
      </w:pPr>
      <w:r>
        <w:rPr>
          <w:rFonts w:ascii="Times New Roman" w:hAnsi="Times New Roman" w:eastAsia="Times New Roman"/>
          <w:b/>
          <w:sz w:val="24"/>
        </w:rPr>
        <w:t>4.5 Evaluation Method and Tools</w:t>
      </w:r>
    </w:p>
    <w:p>
      <w:pPr>
        <w:spacing w:line="360" w:lineRule="auto" w:after="0"/>
        <w:ind w:firstLine="720"/>
        <w:jc w:val="both"/>
      </w:pPr>
      <w:r>
        <w:rPr>
          <w:rFonts w:ascii="Times New Roman" w:hAnsi="Times New Roman" w:eastAsia="Times New Roman"/>
          <w:b w:val="0"/>
          <w:sz w:val="24"/>
        </w:rPr>
        <w:t>The template identifies ISO/IEC 25010 and usability testing as evaluation guidance. No completed evaluation dataset or report was provided. Future evaluation may assess selected quality characteristics using task-based usability tests, a documented questionnaire such as SUS, API/device performance measurements, and a transparent analysis plan. Sample size, instruments, procedures, approvals, and results must be documented after the evaluation has actually been conducted.</w:t>
      </w:r>
    </w:p>
    <w:p>
      <w:pPr>
        <w:keepNext/>
        <w:spacing w:line="360" w:lineRule="auto" w:before="160" w:after="80"/>
        <w:ind w:firstLine="0"/>
        <w:jc w:val="left"/>
      </w:pPr>
      <w:r>
        <w:rPr>
          <w:rFonts w:ascii="Times New Roman" w:hAnsi="Times New Roman" w:eastAsia="Times New Roman"/>
          <w:b/>
          <w:sz w:val="24"/>
        </w:rPr>
        <w:t>5. RESULTS AND DISCUSSION</w:t>
      </w:r>
    </w:p>
    <w:p>
      <w:pPr>
        <w:spacing w:line="360" w:lineRule="auto" w:after="0"/>
        <w:ind w:firstLine="720"/>
        <w:jc w:val="both"/>
      </w:pPr>
      <w:r>
        <w:rPr>
          <w:rFonts w:ascii="Times New Roman" w:hAnsi="Times New Roman" w:eastAsia="Times New Roman"/>
          <w:b w:val="0"/>
          <w:sz w:val="24"/>
        </w:rPr>
        <w:t>The system implementation includes a mobile client and server-side API for student discovery and study coordination. The results below describe implemented features and system design. They do not represent an evaluation of learning outcomes, student satisfaction, or production performance.</w:t>
      </w:r>
    </w:p>
    <w:p>
      <w:pPr>
        <w:keepNext/>
        <w:spacing w:line="360" w:lineRule="auto" w:before="120" w:after="60"/>
        <w:ind w:firstLine="0"/>
        <w:jc w:val="left"/>
      </w:pPr>
      <w:r>
        <w:rPr>
          <w:rFonts w:ascii="Times New Roman" w:hAnsi="Times New Roman" w:eastAsia="Times New Roman"/>
          <w:b/>
          <w:sz w:val="24"/>
        </w:rPr>
        <w:t>5.1 Project Planning</w:t>
      </w:r>
    </w:p>
    <w:p>
      <w:pPr>
        <w:spacing w:line="360" w:lineRule="auto" w:after="0"/>
        <w:ind w:firstLine="720"/>
        <w:jc w:val="both"/>
      </w:pPr>
      <w:r>
        <w:rPr>
          <w:rFonts w:ascii="Times New Roman" w:hAnsi="Times New Roman" w:eastAsia="Times New Roman"/>
          <w:b w:val="0"/>
          <w:sz w:val="24"/>
        </w:rPr>
        <w:t>The supplied source materials do not include a dated project schedule, Gantt chart, or role-by-role resource allocation. The following status table records what can be established from the current implementation without inventing dates or staffing details.</w:t>
      </w:r>
    </w:p>
    <w:p>
      <w:pPr>
        <w:keepNext/>
        <w:spacing w:line="360" w:lineRule="auto" w:before="120" w:after="60"/>
        <w:ind w:firstLine="0"/>
        <w:jc w:val="left"/>
      </w:pPr>
      <w:r>
        <w:rPr>
          <w:rFonts w:ascii="Times New Roman" w:hAnsi="Times New Roman" w:eastAsia="Times New Roman"/>
          <w:b/>
          <w:sz w:val="24"/>
        </w:rPr>
        <w:t>Table 1. Project work areas and available planning evidence</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Work area</w:t>
            </w:r>
          </w:p>
        </w:tc>
        <w:tc>
          <w:tcPr>
            <w:tcW w:type="dxa" w:w="4320"/>
          </w:tcPr>
          <w:p>
            <w:pPr>
              <w:spacing w:line="360" w:lineRule="auto"/>
              <w:ind w:firstLine="0"/>
            </w:pPr>
            <w:r>
              <w:rPr>
                <w:rFonts w:ascii="Times New Roman" w:hAnsi="Times New Roman" w:eastAsia="Times New Roman"/>
                <w:b/>
                <w:sz w:val="24"/>
              </w:rPr>
              <w:t>Status supported by supplied materials</w:t>
            </w:r>
          </w:p>
        </w:tc>
      </w:tr>
      <w:tr>
        <w:tc>
          <w:tcPr>
            <w:tcW w:type="dxa" w:w="4320"/>
          </w:tcPr>
          <w:p>
            <w:pPr>
              <w:spacing w:line="360" w:lineRule="auto"/>
              <w:ind w:firstLine="0"/>
            </w:pPr>
            <w:r>
              <w:rPr>
                <w:rFonts w:ascii="Times New Roman" w:hAnsi="Times New Roman" w:eastAsia="Times New Roman"/>
                <w:sz w:val="24"/>
              </w:rPr>
              <w:t>Requirements</w:t>
            </w:r>
          </w:p>
        </w:tc>
        <w:tc>
          <w:tcPr>
            <w:tcW w:type="dxa" w:w="4320"/>
          </w:tcPr>
          <w:p>
            <w:pPr>
              <w:spacing w:line="360" w:lineRule="auto"/>
              <w:ind w:firstLine="0"/>
            </w:pPr>
            <w:r>
              <w:rPr>
                <w:rFonts w:ascii="Times New Roman" w:hAnsi="Times New Roman" w:eastAsia="Times New Roman"/>
                <w:sz w:val="24"/>
              </w:rPr>
              <w:t>Current mobile and API features are documented; interview and survey records were not supplied.</w:t>
            </w:r>
          </w:p>
        </w:tc>
      </w:tr>
      <w:tr>
        <w:tc>
          <w:tcPr>
            <w:tcW w:type="dxa" w:w="4320"/>
          </w:tcPr>
          <w:p>
            <w:pPr>
              <w:spacing w:line="360" w:lineRule="auto"/>
              <w:ind w:firstLine="0"/>
            </w:pPr>
            <w:r>
              <w:rPr>
                <w:rFonts w:ascii="Times New Roman" w:hAnsi="Times New Roman" w:eastAsia="Times New Roman"/>
                <w:sz w:val="24"/>
              </w:rPr>
              <w:t>Design</w:t>
            </w:r>
          </w:p>
        </w:tc>
        <w:tc>
          <w:tcPr>
            <w:tcW w:type="dxa" w:w="4320"/>
          </w:tcPr>
          <w:p>
            <w:pPr>
              <w:spacing w:line="360" w:lineRule="auto"/>
              <w:ind w:firstLine="0"/>
            </w:pPr>
            <w:r>
              <w:rPr>
                <w:rFonts w:ascii="Times New Roman" w:hAnsi="Times New Roman" w:eastAsia="Times New Roman"/>
                <w:sz w:val="24"/>
              </w:rPr>
              <w:t>Current screen modules and system workflows are described; a separate prototype artifact was not supplied.</w:t>
            </w:r>
          </w:p>
        </w:tc>
      </w:tr>
      <w:tr>
        <w:tc>
          <w:tcPr>
            <w:tcW w:type="dxa" w:w="4320"/>
          </w:tcPr>
          <w:p>
            <w:pPr>
              <w:spacing w:line="360" w:lineRule="auto"/>
              <w:ind w:firstLine="0"/>
            </w:pPr>
            <w:r>
              <w:rPr>
                <w:rFonts w:ascii="Times New Roman" w:hAnsi="Times New Roman" w:eastAsia="Times New Roman"/>
                <w:sz w:val="24"/>
              </w:rPr>
              <w:t>Construction</w:t>
            </w:r>
          </w:p>
        </w:tc>
        <w:tc>
          <w:tcPr>
            <w:tcW w:type="dxa" w:w="4320"/>
          </w:tcPr>
          <w:p>
            <w:pPr>
              <w:spacing w:line="360" w:lineRule="auto"/>
              <w:ind w:firstLine="0"/>
            </w:pPr>
            <w:r>
              <w:rPr>
                <w:rFonts w:ascii="Times New Roman" w:hAnsi="Times New Roman" w:eastAsia="Times New Roman"/>
                <w:sz w:val="24"/>
              </w:rPr>
              <w:t>The Expo/React Native client and Laravel API are implemented.</w:t>
            </w:r>
          </w:p>
        </w:tc>
      </w:tr>
      <w:tr>
        <w:tc>
          <w:tcPr>
            <w:tcW w:type="dxa" w:w="4320"/>
          </w:tcPr>
          <w:p>
            <w:pPr>
              <w:spacing w:line="360" w:lineRule="auto"/>
              <w:ind w:firstLine="0"/>
            </w:pPr>
            <w:r>
              <w:rPr>
                <w:rFonts w:ascii="Times New Roman" w:hAnsi="Times New Roman" w:eastAsia="Times New Roman"/>
                <w:sz w:val="24"/>
              </w:rPr>
              <w:t>Testing and evaluation</w:t>
            </w:r>
          </w:p>
        </w:tc>
        <w:tc>
          <w:tcPr>
            <w:tcW w:type="dxa" w:w="4320"/>
          </w:tcPr>
          <w:p>
            <w:pPr>
              <w:spacing w:line="360" w:lineRule="auto"/>
              <w:ind w:firstLine="0"/>
            </w:pPr>
            <w:r>
              <w:rPr>
                <w:rFonts w:ascii="Times New Roman" w:hAnsi="Times New Roman" w:eastAsia="Times New Roman"/>
                <w:sz w:val="24"/>
              </w:rPr>
              <w:t>No participant-based evaluation results or formal test report were supplied.</w:t>
            </w:r>
          </w:p>
        </w:tc>
      </w:tr>
      <w:tr>
        <w:tc>
          <w:tcPr>
            <w:tcW w:type="dxa" w:w="4320"/>
          </w:tcPr>
          <w:p>
            <w:pPr>
              <w:spacing w:line="360" w:lineRule="auto"/>
              <w:ind w:firstLine="0"/>
            </w:pPr>
            <w:r>
              <w:rPr>
                <w:rFonts w:ascii="Times New Roman" w:hAnsi="Times New Roman" w:eastAsia="Times New Roman"/>
                <w:sz w:val="24"/>
              </w:rPr>
              <w:t>Schedule and allocation</w:t>
            </w:r>
          </w:p>
        </w:tc>
        <w:tc>
          <w:tcPr>
            <w:tcW w:type="dxa" w:w="4320"/>
          </w:tcPr>
          <w:p>
            <w:pPr>
              <w:spacing w:line="360" w:lineRule="auto"/>
              <w:ind w:firstLine="0"/>
            </w:pPr>
            <w:r>
              <w:rPr>
                <w:rFonts w:ascii="Times New Roman" w:hAnsi="Times New Roman" w:eastAsia="Times New Roman"/>
                <w:sz w:val="24"/>
              </w:rPr>
              <w:t>Calendar dates, task durations, and individual role allocation remain to be completed by the project authors.</w:t>
            </w:r>
          </w:p>
        </w:tc>
      </w:tr>
    </w:tbl>
    <w:p/>
    <w:p>
      <w:pPr>
        <w:keepNext/>
        <w:spacing w:line="360" w:lineRule="auto" w:before="120" w:after="60"/>
        <w:ind w:firstLine="0"/>
        <w:jc w:val="left"/>
      </w:pPr>
      <w:r>
        <w:rPr>
          <w:rFonts w:ascii="Times New Roman" w:hAnsi="Times New Roman" w:eastAsia="Times New Roman"/>
          <w:b/>
          <w:sz w:val="24"/>
        </w:rPr>
        <w:t>5.2 Systems Design</w:t>
      </w:r>
    </w:p>
    <w:p>
      <w:pPr>
        <w:spacing w:line="360" w:lineRule="auto" w:after="0"/>
        <w:ind w:firstLine="720"/>
        <w:jc w:val="both"/>
      </w:pPr>
      <w:r>
        <w:rPr>
          <w:rFonts w:ascii="Times New Roman" w:hAnsi="Times New Roman" w:eastAsia="Times New Roman"/>
          <w:b w:val="0"/>
          <w:sz w:val="24"/>
        </w:rPr>
        <w:t xml:space="preserve">The Mermaid diagrams in Appendix A provide the system architecture, conceptual framework, student and administrator use cases, domain relationships, authentication flow, matching flow, and the updated group-discovery, join-request, cancellation, and invitation workflow.</w:t>
      </w:r>
    </w:p>
    <w:p>
      <w:pPr>
        <w:keepNext/>
        <w:spacing w:line="360" w:lineRule="auto" w:before="120" w:after="60"/>
        <w:ind w:firstLine="0"/>
        <w:jc w:val="left"/>
      </w:pPr>
      <w:r>
        <w:rPr>
          <w:rFonts w:ascii="Times New Roman" w:hAnsi="Times New Roman" w:eastAsia="Times New Roman"/>
          <w:b/>
          <w:sz w:val="24"/>
        </w:rPr>
        <w:t>5.3 System Implementation</w:t>
      </w:r>
    </w:p>
    <w:p>
      <w:pPr>
        <w:spacing w:line="360" w:lineRule="auto" w:after="0"/>
        <w:ind w:firstLine="720"/>
        <w:jc w:val="both"/>
      </w:pPr>
      <w:r>
        <w:rPr>
          <w:rFonts w:ascii="Times New Roman" w:hAnsi="Times New Roman" w:eastAsia="Times New Roman"/>
          <w:b w:val="0"/>
          <w:sz w:val="24"/>
        </w:rPr>
        <w:t xml:space="preserve">The mobile client communicates with the Laravel API through authenticated JSON requests. Google sign-in supplies the identity token; the server validates the token and institutional domain before issuing a Sanctum access token. Authenticated students can retrieve Discover group summaries and open group details before membership; the API returns the student's membership, pending-request, or invitation state so the app can show the appropriate action. The database persists user profiles, study matches, buddy relationships, groups, join and invitation requests, messages, sessions, notifications, reviews, and reports.</w:t>
      </w:r>
    </w:p>
    <w:p>
      <w:pPr>
        <w:keepNext/>
        <w:spacing w:line="360" w:lineRule="auto" w:before="120" w:after="60"/>
        <w:ind w:firstLine="0"/>
        <w:jc w:val="left"/>
      </w:pPr>
      <w:r>
        <w:rPr>
          <w:rFonts w:ascii="Times New Roman" w:hAnsi="Times New Roman" w:eastAsia="Times New Roman"/>
          <w:b/>
          <w:sz w:val="24"/>
        </w:rPr>
        <w:t>Table 2. Implemented technology stack</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Layer</w:t>
            </w:r>
          </w:p>
        </w:tc>
        <w:tc>
          <w:tcPr>
            <w:tcW w:type="dxa" w:w="4320"/>
          </w:tcPr>
          <w:p>
            <w:pPr>
              <w:spacing w:line="360" w:lineRule="auto"/>
              <w:ind w:firstLine="0"/>
            </w:pPr>
            <w:r>
              <w:rPr>
                <w:rFonts w:ascii="Times New Roman" w:hAnsi="Times New Roman" w:eastAsia="Times New Roman"/>
                <w:b/>
                <w:sz w:val="24"/>
              </w:rPr>
              <w:t>Technology</w:t>
            </w:r>
          </w:p>
        </w:tc>
      </w:tr>
      <w:tr>
        <w:tc>
          <w:tcPr>
            <w:tcW w:type="dxa" w:w="4320"/>
          </w:tcPr>
          <w:p>
            <w:pPr>
              <w:spacing w:line="360" w:lineRule="auto"/>
              <w:ind w:firstLine="0"/>
            </w:pPr>
            <w:r>
              <w:rPr>
                <w:rFonts w:ascii="Times New Roman" w:hAnsi="Times New Roman" w:eastAsia="Times New Roman"/>
                <w:sz w:val="24"/>
              </w:rPr>
              <w:t>Mobile client</w:t>
            </w:r>
          </w:p>
        </w:tc>
        <w:tc>
          <w:tcPr>
            <w:tcW w:type="dxa" w:w="4320"/>
          </w:tcPr>
          <w:p>
            <w:pPr>
              <w:spacing w:line="360" w:lineRule="auto"/>
              <w:ind w:firstLine="0"/>
            </w:pPr>
            <w:r>
              <w:rPr>
                <w:rFonts w:ascii="Times New Roman" w:hAnsi="Times New Roman" w:eastAsia="Times New Roman"/>
                <w:sz w:val="24"/>
              </w:rPr>
              <w:t>Expo SDK 57, React Native 0.86, TypeScript</w:t>
            </w:r>
          </w:p>
        </w:tc>
      </w:tr>
      <w:tr>
        <w:tc>
          <w:tcPr>
            <w:tcW w:type="dxa" w:w="4320"/>
          </w:tcPr>
          <w:p>
            <w:pPr>
              <w:spacing w:line="360" w:lineRule="auto"/>
              <w:ind w:firstLine="0"/>
            </w:pPr>
            <w:r>
              <w:rPr>
                <w:rFonts w:ascii="Times New Roman" w:hAnsi="Times New Roman" w:eastAsia="Times New Roman"/>
                <w:sz w:val="24"/>
              </w:rPr>
              <w:t>Navigation and server state</w:t>
            </w:r>
          </w:p>
        </w:tc>
        <w:tc>
          <w:tcPr>
            <w:tcW w:type="dxa" w:w="4320"/>
          </w:tcPr>
          <w:p>
            <w:pPr>
              <w:spacing w:line="360" w:lineRule="auto"/>
              <w:ind w:firstLine="0"/>
            </w:pPr>
            <w:r>
              <w:rPr>
                <w:rFonts w:ascii="Times New Roman" w:hAnsi="Times New Roman" w:eastAsia="Times New Roman"/>
                <w:sz w:val="24"/>
              </w:rPr>
              <w:t>React Navigation and TanStack Query</w:t>
            </w:r>
          </w:p>
        </w:tc>
      </w:tr>
      <w:tr>
        <w:tc>
          <w:tcPr>
            <w:tcW w:type="dxa" w:w="4320"/>
          </w:tcPr>
          <w:p>
            <w:pPr>
              <w:spacing w:line="360" w:lineRule="auto"/>
              <w:ind w:firstLine="0"/>
            </w:pPr>
            <w:r>
              <w:rPr>
                <w:rFonts w:ascii="Times New Roman" w:hAnsi="Times New Roman" w:eastAsia="Times New Roman"/>
                <w:sz w:val="24"/>
              </w:rPr>
              <w:t>Network and token storage</w:t>
            </w:r>
          </w:p>
        </w:tc>
        <w:tc>
          <w:tcPr>
            <w:tcW w:type="dxa" w:w="4320"/>
          </w:tcPr>
          <w:p>
            <w:pPr>
              <w:spacing w:line="360" w:lineRule="auto"/>
              <w:ind w:firstLine="0"/>
            </w:pPr>
            <w:r>
              <w:rPr>
                <w:rFonts w:ascii="Times New Roman" w:hAnsi="Times New Roman" w:eastAsia="Times New Roman"/>
                <w:sz w:val="24"/>
              </w:rPr>
              <w:t>Axios and Expo SecureStore</w:t>
            </w:r>
          </w:p>
        </w:tc>
      </w:tr>
      <w:tr>
        <w:tc>
          <w:tcPr>
            <w:tcW w:type="dxa" w:w="4320"/>
          </w:tcPr>
          <w:p>
            <w:pPr>
              <w:spacing w:line="360" w:lineRule="auto"/>
              <w:ind w:firstLine="0"/>
            </w:pPr>
            <w:r>
              <w:rPr>
                <w:rFonts w:ascii="Times New Roman" w:hAnsi="Times New Roman" w:eastAsia="Times New Roman"/>
                <w:sz w:val="24"/>
              </w:rPr>
              <w:t>Backend API</w:t>
            </w:r>
          </w:p>
        </w:tc>
        <w:tc>
          <w:tcPr>
            <w:tcW w:type="dxa" w:w="4320"/>
          </w:tcPr>
          <w:p>
            <w:pPr>
              <w:spacing w:line="360" w:lineRule="auto"/>
              <w:ind w:firstLine="0"/>
            </w:pPr>
            <w:r>
              <w:rPr>
                <w:rFonts w:ascii="Times New Roman" w:hAnsi="Times New Roman" w:eastAsia="Times New Roman"/>
                <w:sz w:val="24"/>
              </w:rPr>
              <w:t>Laravel 12, routes under /api/v1</w:t>
            </w:r>
          </w:p>
        </w:tc>
      </w:tr>
      <w:tr>
        <w:tc>
          <w:tcPr>
            <w:tcW w:type="dxa" w:w="4320"/>
          </w:tcPr>
          <w:p>
            <w:pPr>
              <w:spacing w:line="360" w:lineRule="auto"/>
              <w:ind w:firstLine="0"/>
            </w:pPr>
            <w:r>
              <w:rPr>
                <w:rFonts w:ascii="Times New Roman" w:hAnsi="Times New Roman" w:eastAsia="Times New Roman"/>
                <w:sz w:val="24"/>
              </w:rPr>
              <w:t>Authentication</w:t>
            </w:r>
          </w:p>
        </w:tc>
        <w:tc>
          <w:tcPr>
            <w:tcW w:type="dxa" w:w="4320"/>
          </w:tcPr>
          <w:p>
            <w:pPr>
              <w:spacing w:line="360" w:lineRule="auto"/>
              <w:ind w:firstLine="0"/>
            </w:pPr>
            <w:r>
              <w:rPr>
                <w:rFonts w:ascii="Times New Roman" w:hAnsi="Times New Roman" w:eastAsia="Times New Roman"/>
                <w:sz w:val="24"/>
              </w:rPr>
              <w:t>Google ID-token verification and Laravel Sanctum</w:t>
            </w:r>
          </w:p>
        </w:tc>
      </w:tr>
      <w:tr>
        <w:tc>
          <w:tcPr>
            <w:tcW w:type="dxa" w:w="4320"/>
          </w:tcPr>
          <w:p>
            <w:pPr>
              <w:spacing w:line="360" w:lineRule="auto"/>
              <w:ind w:firstLine="0"/>
            </w:pPr>
            <w:r>
              <w:rPr>
                <w:rFonts w:ascii="Times New Roman" w:hAnsi="Times New Roman" w:eastAsia="Times New Roman"/>
                <w:sz w:val="24"/>
              </w:rPr>
              <w:t>Database and deployment</w:t>
            </w:r>
          </w:p>
        </w:tc>
        <w:tc>
          <w:tcPr>
            <w:tcW w:type="dxa" w:w="4320"/>
          </w:tcPr>
          <w:p>
            <w:pPr>
              <w:spacing w:line="360" w:lineRule="auto"/>
              <w:ind w:firstLine="0"/>
            </w:pPr>
            <w:r>
              <w:rPr>
                <w:rFonts w:ascii="Times New Roman" w:hAnsi="Times New Roman" w:eastAsia="Times New Roman"/>
                <w:sz w:val="24"/>
              </w:rPr>
              <w:t>PostgreSQL with Render deployment configuration</w:t>
            </w:r>
          </w:p>
        </w:tc>
      </w:tr>
    </w:tbl>
    <w:p/>
    <w:p>
      <w:pPr>
        <w:keepNext/>
        <w:spacing w:line="360" w:lineRule="auto" w:before="120" w:after="60"/>
        <w:ind w:firstLine="0"/>
        <w:jc w:val="left"/>
      </w:pPr>
      <w:r>
        <w:rPr>
          <w:rFonts w:ascii="Times New Roman" w:hAnsi="Times New Roman" w:eastAsia="Times New Roman"/>
          <w:b/>
          <w:sz w:val="24"/>
        </w:rPr>
        <w:t>Table 3. Student mobile application modules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Module</w:t>
            </w:r>
          </w:p>
        </w:tc>
        <w:tc>
          <w:tcPr>
            <w:tcW w:type="dxa" w:w="4320"/>
          </w:tcPr>
          <w:p>
            <w:pPr>
              <w:spacing w:line="360" w:lineRule="auto"/>
              <w:ind w:firstLine="0"/>
            </w:pPr>
            <w:r>
              <w:rPr>
                <w:rFonts w:ascii="Times New Roman" w:hAnsi="Times New Roman" w:eastAsia="Times New Roman"/>
                <w:b/>
                <w:sz w:val="24"/>
              </w:rPr>
              <w:t>Implemented functions</w:t>
            </w:r>
          </w:p>
        </w:tc>
      </w:tr>
      <w:tr>
        <w:tc>
          <w:tcPr>
            <w:tcW w:type="dxa" w:w="4320"/>
          </w:tcPr>
          <w:p>
            <w:pPr>
              <w:spacing w:line="360" w:lineRule="auto"/>
              <w:ind w:firstLine="0"/>
            </w:pPr>
            <w:r>
              <w:rPr>
                <w:rFonts w:ascii="Times New Roman" w:hAnsi="Times New Roman" w:eastAsia="Times New Roman"/>
                <w:sz w:val="24"/>
              </w:rPr>
              <w:t>Home</w:t>
            </w:r>
          </w:p>
        </w:tc>
        <w:tc>
          <w:tcPr>
            <w:tcW w:type="dxa" w:w="4320"/>
          </w:tcPr>
          <w:p>
            <w:pPr>
              <w:spacing w:line="360" w:lineRule="auto"/>
              <w:ind w:firstLine="0"/>
            </w:pPr>
            <w:r>
              <w:rPr>
                <w:rFonts w:ascii="Times New Roman" w:hAnsi="Times New Roman" w:eastAsia="Times New Roman"/>
                <w:sz w:val="24"/>
              </w:rPr>
              <w:t>Entry point to the main study-collaboration features.</w:t>
            </w:r>
          </w:p>
        </w:tc>
      </w:tr>
      <w:tr>
        <w:tc>
          <w:tcPr>
            <w:tcW w:type="dxa" w:w="4320"/>
          </w:tcPr>
          <w:p>
            <w:pPr>
              <w:spacing w:line="360" w:lineRule="auto"/>
              <w:ind w:firstLine="0"/>
            </w:pPr>
            <w:r>
              <w:rPr>
                <w:rFonts w:ascii="Times New Roman" w:hAnsi="Times New Roman" w:eastAsia="Times New Roman"/>
                <w:sz w:val="24"/>
              </w:rPr>
              <w:t>Discover</w:t>
            </w:r>
          </w:p>
        </w:tc>
        <w:tc>
          <w:tcPr>
            <w:tcW w:type="dxa" w:w="4320"/>
          </w:tcPr>
          <w:p>
            <w:pPr>
              <w:spacing w:line="360" w:lineRule="auto"/>
              <w:ind w:firstLine="0"/>
            </w:pPr>
            <w:r>
              <w:rPr>
                <w:rFonts w:ascii="Times New Roman" w:hAnsi="Times New Roman" w:eastAsia="Times New Roman"/>
                <w:sz w:val="24"/>
              </w:rPr>
              <w:t xml:space="preserve">Browse sorted study-buddy recommendations and all discoverable group details; expand compatibility guidance on demand.</w:t>
            </w:r>
          </w:p>
        </w:tc>
      </w:tr>
      <w:tr>
        <w:tc>
          <w:tcPr>
            <w:tcW w:type="dxa" w:w="4320"/>
          </w:tcPr>
          <w:p>
            <w:pPr>
              <w:spacing w:line="360" w:lineRule="auto"/>
              <w:ind w:firstLine="0"/>
            </w:pPr>
            <w:r>
              <w:rPr>
                <w:rFonts w:ascii="Times New Roman" w:hAnsi="Times New Roman" w:eastAsia="Times New Roman"/>
                <w:sz w:val="24"/>
              </w:rPr>
              <w:t>Study Sessions</w:t>
            </w:r>
          </w:p>
        </w:tc>
        <w:tc>
          <w:tcPr>
            <w:tcW w:type="dxa" w:w="4320"/>
          </w:tcPr>
          <w:p>
            <w:pPr>
              <w:spacing w:line="360" w:lineRule="auto"/>
              <w:ind w:firstLine="0"/>
            </w:pPr>
            <w:r>
              <w:rPr>
                <w:rFonts w:ascii="Times New Roman" w:hAnsi="Times New Roman" w:eastAsia="Times New Roman"/>
                <w:sz w:val="24"/>
              </w:rPr>
              <w:t>View and manage scheduled study sessions.</w:t>
            </w:r>
          </w:p>
        </w:tc>
      </w:tr>
      <w:tr>
        <w:tc>
          <w:tcPr>
            <w:tcW w:type="dxa" w:w="4320"/>
          </w:tcPr>
          <w:p>
            <w:pPr>
              <w:spacing w:line="360" w:lineRule="auto"/>
              <w:ind w:firstLine="0"/>
            </w:pPr>
            <w:r>
              <w:rPr>
                <w:rFonts w:ascii="Times New Roman" w:hAnsi="Times New Roman" w:eastAsia="Times New Roman"/>
                <w:sz w:val="24"/>
              </w:rPr>
              <w:t>Messages</w:t>
            </w:r>
          </w:p>
        </w:tc>
        <w:tc>
          <w:tcPr>
            <w:tcW w:type="dxa" w:w="4320"/>
          </w:tcPr>
          <w:p>
            <w:pPr>
              <w:spacing w:line="360" w:lineRule="auto"/>
              <w:ind w:firstLine="0"/>
            </w:pPr>
            <w:r>
              <w:rPr>
                <w:rFonts w:ascii="Times New Roman" w:hAnsi="Times New Roman" w:eastAsia="Times New Roman"/>
                <w:sz w:val="24"/>
              </w:rPr>
              <w:t>Use direct and group conversations.</w:t>
            </w:r>
          </w:p>
        </w:tc>
      </w:tr>
      <w:tr>
        <w:tc>
          <w:tcPr>
            <w:tcW w:type="dxa" w:w="4320"/>
          </w:tcPr>
          <w:p>
            <w:pPr>
              <w:spacing w:line="360" w:lineRule="auto"/>
              <w:ind w:firstLine="0"/>
            </w:pPr>
            <w:r>
              <w:rPr>
                <w:rFonts w:ascii="Times New Roman" w:hAnsi="Times New Roman" w:eastAsia="Times New Roman"/>
                <w:sz w:val="24"/>
              </w:rPr>
              <w:t>Buddies</w:t>
            </w:r>
          </w:p>
        </w:tc>
        <w:tc>
          <w:tcPr>
            <w:tcW w:type="dxa" w:w="4320"/>
          </w:tcPr>
          <w:p>
            <w:pPr>
              <w:spacing w:line="360" w:lineRule="auto"/>
              <w:ind w:firstLine="0"/>
            </w:pPr>
            <w:r>
              <w:rPr>
                <w:rFonts w:ascii="Times New Roman" w:hAnsi="Times New Roman" w:eastAsia="Times New Roman"/>
                <w:sz w:val="24"/>
              </w:rPr>
              <w:t xml:space="preserve">View accepted buddies and manage buddy requests; buddy profiles show saved compatibility scores when available.</w:t>
            </w:r>
          </w:p>
        </w:tc>
      </w:tr>
      <w:tr>
        <w:tc>
          <w:tcPr>
            <w:tcW w:type="dxa" w:w="4320"/>
          </w:tcPr>
          <w:p>
            <w:pPr>
              <w:spacing w:line="360" w:lineRule="auto"/>
              <w:ind w:firstLine="0"/>
            </w:pPr>
            <w:r>
              <w:rPr>
                <w:rFonts w:ascii="Times New Roman" w:hAnsi="Times New Roman" w:eastAsia="Times New Roman"/>
                <w:sz w:val="24"/>
              </w:rPr>
              <w:t>Profile</w:t>
            </w:r>
          </w:p>
        </w:tc>
        <w:tc>
          <w:tcPr>
            <w:tcW w:type="dxa" w:w="4320"/>
          </w:tcPr>
          <w:p>
            <w:pPr>
              <w:spacing w:line="360" w:lineRule="auto"/>
              <w:ind w:firstLine="0"/>
            </w:pPr>
            <w:r>
              <w:rPr>
                <w:rFonts w:ascii="Times New Roman" w:hAnsi="Times New Roman" w:eastAsia="Times New Roman"/>
                <w:sz w:val="24"/>
              </w:rPr>
              <w:t>Manage study profile, preferences, account, and settings.</w:t>
            </w:r>
          </w:p>
        </w:tc>
      </w:tr>
    </w:tbl>
    <w:p/>
    <w:p>
      <w:pPr>
        <w:keepNext/>
        <w:spacing w:line="360" w:lineRule="auto" w:before="120" w:after="60"/>
        <w:ind w:firstLine="0"/>
        <w:jc w:val="left"/>
      </w:pPr>
      <w:r>
        <w:rPr>
          <w:rFonts w:ascii="Times New Roman" w:hAnsi="Times New Roman" w:eastAsia="Times New Roman"/>
          <w:b/>
          <w:sz w:val="24"/>
        </w:rPr>
        <w:t>Table 4. Default match-scoring weights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Criterion</w:t>
            </w:r>
          </w:p>
        </w:tc>
        <w:tc>
          <w:tcPr>
            <w:tcW w:type="dxa" w:w="4320"/>
          </w:tcPr>
          <w:p>
            <w:pPr>
              <w:spacing w:line="360" w:lineRule="auto"/>
              <w:ind w:firstLine="0"/>
            </w:pPr>
            <w:r>
              <w:rPr>
                <w:rFonts w:ascii="Times New Roman" w:hAnsi="Times New Roman" w:eastAsia="Times New Roman"/>
                <w:b/>
                <w:sz w:val="24"/>
              </w:rPr>
              <w:t>Default weight</w:t>
            </w:r>
          </w:p>
        </w:tc>
      </w:tr>
      <w:tr>
        <w:tc>
          <w:tcPr>
            <w:tcW w:type="dxa" w:w="4320"/>
          </w:tcPr>
          <w:p>
            <w:pPr>
              <w:spacing w:line="360" w:lineRule="auto"/>
              <w:ind w:firstLine="0"/>
            </w:pPr>
            <w:r>
              <w:rPr>
                <w:rFonts w:ascii="Times New Roman" w:hAnsi="Times New Roman" w:eastAsia="Times New Roman"/>
                <w:sz w:val="24"/>
              </w:rPr>
              <w:t>Courses</w:t>
            </w:r>
          </w:p>
        </w:tc>
        <w:tc>
          <w:tcPr>
            <w:tcW w:type="dxa" w:w="4320"/>
          </w:tcPr>
          <w:p>
            <w:pPr>
              <w:spacing w:line="360" w:lineRule="auto"/>
              <w:ind w:firstLine="0"/>
            </w:pPr>
            <w:r>
              <w:rPr>
                <w:rFonts w:ascii="Times New Roman" w:hAnsi="Times New Roman" w:eastAsia="Times New Roman"/>
                <w:sz w:val="24"/>
              </w:rPr>
              <w:t>25</w:t>
            </w:r>
          </w:p>
        </w:tc>
      </w:tr>
      <w:tr>
        <w:tc>
          <w:tcPr>
            <w:tcW w:type="dxa" w:w="4320"/>
          </w:tcPr>
          <w:p>
            <w:pPr>
              <w:spacing w:line="360" w:lineRule="auto"/>
              <w:ind w:firstLine="0"/>
            </w:pPr>
            <w:r>
              <w:rPr>
                <w:rFonts w:ascii="Times New Roman" w:hAnsi="Times New Roman" w:eastAsia="Times New Roman"/>
                <w:sz w:val="24"/>
              </w:rPr>
              <w:t>Academic complementarity</w:t>
            </w:r>
          </w:p>
        </w:tc>
        <w:tc>
          <w:tcPr>
            <w:tcW w:type="dxa" w:w="4320"/>
          </w:tcPr>
          <w:p>
            <w:pPr>
              <w:spacing w:line="360" w:lineRule="auto"/>
              <w:ind w:firstLine="0"/>
            </w:pPr>
            <w:r>
              <w:rPr>
                <w:rFonts w:ascii="Times New Roman" w:hAnsi="Times New Roman" w:eastAsia="Times New Roman"/>
                <w:sz w:val="24"/>
              </w:rPr>
              <w:t>25</w:t>
            </w:r>
          </w:p>
        </w:tc>
      </w:tr>
      <w:tr>
        <w:tc>
          <w:tcPr>
            <w:tcW w:type="dxa" w:w="4320"/>
          </w:tcPr>
          <w:p>
            <w:pPr>
              <w:spacing w:line="360" w:lineRule="auto"/>
              <w:ind w:firstLine="0"/>
            </w:pPr>
            <w:r>
              <w:rPr>
                <w:rFonts w:ascii="Times New Roman" w:hAnsi="Times New Roman" w:eastAsia="Times New Roman"/>
                <w:sz w:val="24"/>
              </w:rPr>
              <w:t>Program</w:t>
            </w:r>
          </w:p>
        </w:tc>
        <w:tc>
          <w:tcPr>
            <w:tcW w:type="dxa" w:w="4320"/>
          </w:tcPr>
          <w:p>
            <w:pPr>
              <w:spacing w:line="360" w:lineRule="auto"/>
              <w:ind w:firstLine="0"/>
            </w:pPr>
            <w:r>
              <w:rPr>
                <w:rFonts w:ascii="Times New Roman" w:hAnsi="Times New Roman" w:eastAsia="Times New Roman"/>
                <w:sz w:val="24"/>
              </w:rPr>
              <w:t>20</w:t>
            </w:r>
          </w:p>
        </w:tc>
      </w:tr>
      <w:tr>
        <w:tc>
          <w:tcPr>
            <w:tcW w:type="dxa" w:w="4320"/>
          </w:tcPr>
          <w:p>
            <w:pPr>
              <w:spacing w:line="360" w:lineRule="auto"/>
              <w:ind w:firstLine="0"/>
            </w:pPr>
            <w:r>
              <w:rPr>
                <w:rFonts w:ascii="Times New Roman" w:hAnsi="Times New Roman" w:eastAsia="Times New Roman"/>
                <w:sz w:val="24"/>
              </w:rPr>
              <w:t>Learning style</w:t>
            </w:r>
          </w:p>
        </w:tc>
        <w:tc>
          <w:tcPr>
            <w:tcW w:type="dxa" w:w="4320"/>
          </w:tcPr>
          <w:p>
            <w:pPr>
              <w:spacing w:line="360" w:lineRule="auto"/>
              <w:ind w:firstLine="0"/>
            </w:pPr>
            <w:r>
              <w:rPr>
                <w:rFonts w:ascii="Times New Roman" w:hAnsi="Times New Roman" w:eastAsia="Times New Roman"/>
                <w:sz w:val="24"/>
              </w:rPr>
              <w:t>10</w:t>
            </w:r>
          </w:p>
        </w:tc>
      </w:tr>
      <w:tr>
        <w:tc>
          <w:tcPr>
            <w:tcW w:type="dxa" w:w="4320"/>
          </w:tcPr>
          <w:p>
            <w:pPr>
              <w:spacing w:line="360" w:lineRule="auto"/>
              <w:ind w:firstLine="0"/>
            </w:pPr>
            <w:r>
              <w:rPr>
                <w:rFonts w:ascii="Times New Roman" w:hAnsi="Times New Roman" w:eastAsia="Times New Roman"/>
                <w:sz w:val="24"/>
              </w:rPr>
              <w:t>Schedule</w:t>
            </w:r>
          </w:p>
        </w:tc>
        <w:tc>
          <w:tcPr>
            <w:tcW w:type="dxa" w:w="4320"/>
          </w:tcPr>
          <w:p>
            <w:pPr>
              <w:spacing w:line="360" w:lineRule="auto"/>
              <w:ind w:firstLine="0"/>
            </w:pPr>
            <w:r>
              <w:rPr>
                <w:rFonts w:ascii="Times New Roman" w:hAnsi="Times New Roman" w:eastAsia="Times New Roman"/>
                <w:sz w:val="24"/>
              </w:rPr>
              <w:t>10</w:t>
            </w:r>
          </w:p>
        </w:tc>
      </w:tr>
      <w:tr>
        <w:tc>
          <w:tcPr>
            <w:tcW w:type="dxa" w:w="4320"/>
          </w:tcPr>
          <w:p>
            <w:pPr>
              <w:spacing w:line="360" w:lineRule="auto"/>
              <w:ind w:firstLine="0"/>
            </w:pPr>
            <w:r>
              <w:rPr>
                <w:rFonts w:ascii="Times New Roman" w:hAnsi="Times New Roman" w:eastAsia="Times New Roman"/>
                <w:sz w:val="24"/>
              </w:rPr>
              <w:t>Year level</w:t>
            </w:r>
          </w:p>
        </w:tc>
        <w:tc>
          <w:tcPr>
            <w:tcW w:type="dxa" w:w="4320"/>
          </w:tcPr>
          <w:p>
            <w:pPr>
              <w:spacing w:line="360" w:lineRule="auto"/>
              <w:ind w:firstLine="0"/>
            </w:pPr>
            <w:r>
              <w:rPr>
                <w:rFonts w:ascii="Times New Roman" w:hAnsi="Times New Roman" w:eastAsia="Times New Roman"/>
                <w:sz w:val="24"/>
              </w:rPr>
              <w:t>5</w:t>
            </w:r>
          </w:p>
        </w:tc>
      </w:tr>
      <w:tr>
        <w:tc>
          <w:tcPr>
            <w:tcW w:type="dxa" w:w="4320"/>
          </w:tcPr>
          <w:p>
            <w:pPr>
              <w:spacing w:line="360" w:lineRule="auto"/>
              <w:ind w:firstLine="0"/>
            </w:pPr>
            <w:r>
              <w:rPr>
                <w:rFonts w:ascii="Times New Roman" w:hAnsi="Times New Roman" w:eastAsia="Times New Roman"/>
                <w:sz w:val="24"/>
              </w:rPr>
              <w:t>Study mode</w:t>
            </w:r>
          </w:p>
        </w:tc>
        <w:tc>
          <w:tcPr>
            <w:tcW w:type="dxa" w:w="4320"/>
          </w:tcPr>
          <w:p>
            <w:pPr>
              <w:spacing w:line="360" w:lineRule="auto"/>
              <w:ind w:firstLine="0"/>
            </w:pPr>
            <w:r>
              <w:rPr>
                <w:rFonts w:ascii="Times New Roman" w:hAnsi="Times New Roman" w:eastAsia="Times New Roman"/>
                <w:sz w:val="24"/>
              </w:rPr>
              <w:t>5</w:t>
            </w:r>
          </w:p>
        </w:tc>
      </w:tr>
      <w:tr>
        <w:tc>
          <w:tcPr>
            <w:tcW w:type="dxa" w:w="4320"/>
          </w:tcPr>
          <w:p>
            <w:pPr>
              <w:spacing w:line="360" w:lineRule="auto"/>
              <w:ind w:firstLine="0"/>
            </w:pPr>
            <w:r>
              <w:rPr>
                <w:rFonts w:ascii="Times New Roman" w:hAnsi="Times New Roman" w:eastAsia="Times New Roman"/>
                <w:sz w:val="24"/>
              </w:rPr>
              <w:t>Total</w:t>
            </w:r>
          </w:p>
        </w:tc>
        <w:tc>
          <w:tcPr>
            <w:tcW w:type="dxa" w:w="4320"/>
          </w:tcPr>
          <w:p>
            <w:pPr>
              <w:spacing w:line="360" w:lineRule="auto"/>
              <w:ind w:firstLine="0"/>
            </w:pPr>
            <w:r>
              <w:rPr>
                <w:rFonts w:ascii="Times New Roman" w:hAnsi="Times New Roman" w:eastAsia="Times New Roman"/>
                <w:sz w:val="24"/>
              </w:rPr>
              <w:t>100</w:t>
            </w:r>
          </w:p>
        </w:tc>
      </w:tr>
    </w:tbl>
    <w:p/>
    <w:p>
      <w:pPr>
        <w:keepNext/>
        <w:spacing w:line="360" w:lineRule="auto" w:before="120" w:after="60"/>
        <w:ind w:firstLine="0"/>
        <w:jc w:val="left"/>
      </w:pPr>
      <w:r>
        <w:rPr>
          <w:rFonts w:ascii="Times New Roman" w:hAnsi="Times New Roman" w:eastAsia="Times New Roman"/>
          <w:b/>
          <w:sz w:val="24"/>
        </w:rPr>
        <w:t>Table 5. Mobile API route groups</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pPr>
              <w:spacing w:line="360" w:lineRule="auto"/>
              <w:ind w:firstLine="0"/>
            </w:pPr>
            <w:r>
              <w:rPr>
                <w:rFonts w:ascii="Times New Roman" w:hAnsi="Times New Roman" w:eastAsia="Times New Roman"/>
                <w:b/>
                <w:sz w:val="24"/>
              </w:rPr>
              <w:t>Route group</w:t>
            </w:r>
          </w:p>
        </w:tc>
        <w:tc>
          <w:tcPr>
            <w:tcW w:type="dxa" w:w="2880"/>
          </w:tcPr>
          <w:p>
            <w:pPr>
              <w:spacing w:line="360" w:lineRule="auto"/>
              <w:ind w:firstLine="0"/>
            </w:pPr>
            <w:r>
              <w:rPr>
                <w:rFonts w:ascii="Times New Roman" w:hAnsi="Times New Roman" w:eastAsia="Times New Roman"/>
                <w:b/>
                <w:sz w:val="24"/>
              </w:rPr>
              <w:t>Examples</w:t>
            </w:r>
          </w:p>
        </w:tc>
        <w:tc>
          <w:tcPr>
            <w:tcW w:type="dxa" w:w="2880"/>
          </w:tcPr>
          <w:p>
            <w:pPr>
              <w:spacing w:line="360" w:lineRule="auto"/>
              <w:ind w:firstLine="0"/>
            </w:pPr>
            <w:r>
              <w:rPr>
                <w:rFonts w:ascii="Times New Roman" w:hAnsi="Times New Roman" w:eastAsia="Times New Roman"/>
                <w:b/>
                <w:sz w:val="24"/>
              </w:rPr>
              <w:t>Purpose</w:t>
            </w:r>
          </w:p>
        </w:tc>
      </w:tr>
      <w:tr>
        <w:tc>
          <w:tcPr>
            <w:tcW w:type="dxa" w:w="2880"/>
          </w:tcPr>
          <w:p>
            <w:pPr>
              <w:spacing w:line="360" w:lineRule="auto"/>
              <w:ind w:firstLine="0"/>
            </w:pPr>
            <w:r>
              <w:rPr>
                <w:rFonts w:ascii="Times New Roman" w:hAnsi="Times New Roman" w:eastAsia="Times New Roman"/>
                <w:sz w:val="24"/>
              </w:rPr>
              <w:t>Authentication</w:t>
            </w:r>
          </w:p>
        </w:tc>
        <w:tc>
          <w:tcPr>
            <w:tcW w:type="dxa" w:w="2880"/>
          </w:tcPr>
          <w:p>
            <w:pPr>
              <w:spacing w:line="360" w:lineRule="auto"/>
              <w:ind w:firstLine="0"/>
            </w:pPr>
            <w:r>
              <w:rPr>
                <w:rFonts w:ascii="Times New Roman" w:hAnsi="Times New Roman" w:eastAsia="Times New Roman"/>
                <w:sz w:val="24"/>
              </w:rPr>
              <w:t>POST /api/v1/auth/google; GET /api/v1/auth/me; POST /api/v1/auth/logout</w:t>
            </w:r>
          </w:p>
        </w:tc>
        <w:tc>
          <w:tcPr>
            <w:tcW w:type="dxa" w:w="2880"/>
          </w:tcPr>
          <w:p>
            <w:pPr>
              <w:spacing w:line="360" w:lineRule="auto"/>
              <w:ind w:firstLine="0"/>
            </w:pPr>
            <w:r>
              <w:rPr>
                <w:rFonts w:ascii="Times New Roman" w:hAnsi="Times New Roman" w:eastAsia="Times New Roman"/>
                <w:sz w:val="24"/>
              </w:rPr>
              <w:t>Google sign-in, current-user lookup, and sign-out.</w:t>
            </w:r>
          </w:p>
        </w:tc>
      </w:tr>
      <w:tr>
        <w:tc>
          <w:tcPr>
            <w:tcW w:type="dxa" w:w="2880"/>
          </w:tcPr>
          <w:p>
            <w:pPr>
              <w:spacing w:line="360" w:lineRule="auto"/>
              <w:ind w:firstLine="0"/>
            </w:pPr>
            <w:r>
              <w:rPr>
                <w:rFonts w:ascii="Times New Roman" w:hAnsi="Times New Roman" w:eastAsia="Times New Roman"/>
                <w:sz w:val="24"/>
              </w:rPr>
              <w:t>Profiles and catalog</w:t>
            </w:r>
          </w:p>
        </w:tc>
        <w:tc>
          <w:tcPr>
            <w:tcW w:type="dxa" w:w="2880"/>
          </w:tcPr>
          <w:p>
            <w:pPr>
              <w:spacing w:line="360" w:lineRule="auto"/>
              <w:ind w:firstLine="0"/>
            </w:pPr>
            <w:r>
              <w:rPr>
                <w:rFonts w:ascii="Times New Roman" w:hAnsi="Times New Roman" w:eastAsia="Times New Roman"/>
                <w:sz w:val="24"/>
              </w:rPr>
              <w:t>/api/v1/profiles; /api/v1/catalog</w:t>
            </w:r>
          </w:p>
        </w:tc>
        <w:tc>
          <w:tcPr>
            <w:tcW w:type="dxa" w:w="2880"/>
          </w:tcPr>
          <w:p>
            <w:pPr>
              <w:spacing w:line="360" w:lineRule="auto"/>
              <w:ind w:firstLine="0"/>
            </w:pPr>
            <w:r>
              <w:rPr>
                <w:rFonts w:ascii="Times New Roman" w:hAnsi="Times New Roman" w:eastAsia="Times New Roman"/>
                <w:sz w:val="24"/>
              </w:rPr>
              <w:t>Profile management and academic catalog.</w:t>
            </w:r>
          </w:p>
        </w:tc>
      </w:tr>
      <w:tr>
        <w:tc>
          <w:tcPr>
            <w:tcW w:type="dxa" w:w="2880"/>
          </w:tcPr>
          <w:p>
            <w:pPr>
              <w:spacing w:line="360" w:lineRule="auto"/>
              <w:ind w:firstLine="0"/>
            </w:pPr>
            <w:r>
              <w:rPr>
                <w:rFonts w:ascii="Times New Roman" w:hAnsi="Times New Roman" w:eastAsia="Times New Roman"/>
                <w:sz w:val="24"/>
              </w:rPr>
              <w:t>Matches and buddies</w:t>
            </w:r>
          </w:p>
        </w:tc>
        <w:tc>
          <w:tcPr>
            <w:tcW w:type="dxa" w:w="2880"/>
          </w:tcPr>
          <w:p>
            <w:pPr>
              <w:spacing w:line="360" w:lineRule="auto"/>
              <w:ind w:firstLine="0"/>
            </w:pPr>
            <w:r>
              <w:rPr>
                <w:rFonts w:ascii="Times New Roman" w:hAnsi="Times New Roman" w:eastAsia="Times New Roman"/>
                <w:sz w:val="24"/>
              </w:rPr>
              <w:t>/api/v1/matches; /api/v1/buddies/...</w:t>
            </w:r>
          </w:p>
        </w:tc>
        <w:tc>
          <w:tcPr>
            <w:tcW w:type="dxa" w:w="2880"/>
          </w:tcPr>
          <w:p>
            <w:pPr>
              <w:spacing w:line="360" w:lineRule="auto"/>
              <w:ind w:firstLine="0"/>
            </w:pPr>
            <w:r>
              <w:rPr>
                <w:rFonts w:ascii="Times New Roman" w:hAnsi="Times New Roman" w:eastAsia="Times New Roman"/>
                <w:sz w:val="24"/>
              </w:rPr>
              <w:t>Match recommendations and buddy workflows.</w:t>
            </w:r>
          </w:p>
        </w:tc>
      </w:tr>
      <w:tr>
        <w:tc>
          <w:tcPr>
            <w:tcW w:type="dxa" w:w="2880"/>
          </w:tcPr>
          <w:p>
            <w:pPr>
              <w:spacing w:line="360" w:lineRule="auto"/>
              <w:ind w:firstLine="0"/>
            </w:pPr>
            <w:r>
              <w:rPr>
                <w:rFonts w:ascii="Times New Roman" w:hAnsi="Times New Roman" w:eastAsia="Times New Roman"/>
                <w:sz w:val="24"/>
              </w:rPr>
              <w:t>Groups and messages</w:t>
            </w:r>
          </w:p>
        </w:tc>
        <w:tc>
          <w:tcPr>
            <w:tcW w:type="dxa" w:w="2880"/>
          </w:tcPr>
          <w:p>
            <w:pPr>
              <w:spacing w:line="360" w:lineRule="auto"/>
              <w:ind w:firstLine="0"/>
            </w:pPr>
            <w:r>
              <w:rPr>
                <w:rFonts w:ascii="Times New Roman" w:hAnsi="Times New Roman" w:eastAsia="Times New Roman"/>
                <w:sz w:val="24"/>
              </w:rPr>
              <w:t xml:space="preserve">/api/v1/groups/discover; /api/v1/groups/{id}; /api/v1/groups/{id}/join; /api/v1/groups/{id}/join-requests; /api/v1/groups/{id}/invitations; /api/v1/messages/...</w:t>
            </w:r>
          </w:p>
        </w:tc>
        <w:tc>
          <w:tcPr>
            <w:tcW w:type="dxa" w:w="2880"/>
          </w:tcPr>
          <w:p>
            <w:pPr>
              <w:spacing w:line="360" w:lineRule="auto"/>
              <w:ind w:firstLine="0"/>
            </w:pPr>
            <w:r>
              <w:rPr>
                <w:rFonts w:ascii="Times New Roman" w:hAnsi="Times New Roman" w:eastAsia="Times New Roman"/>
                <w:sz w:val="24"/>
              </w:rPr>
              <w:t>Group discovery/management and messaging.</w:t>
            </w:r>
          </w:p>
        </w:tc>
      </w:tr>
      <w:tr>
        <w:tc>
          <w:tcPr>
            <w:tcW w:type="dxa" w:w="2880"/>
          </w:tcPr>
          <w:p>
            <w:pPr>
              <w:spacing w:line="360" w:lineRule="auto"/>
              <w:ind w:firstLine="0"/>
            </w:pPr>
            <w:r>
              <w:rPr>
                <w:rFonts w:ascii="Times New Roman" w:hAnsi="Times New Roman" w:eastAsia="Times New Roman"/>
                <w:sz w:val="24"/>
              </w:rPr>
              <w:t>Sessions and activity</w:t>
            </w:r>
          </w:p>
        </w:tc>
        <w:tc>
          <w:tcPr>
            <w:tcW w:type="dxa" w:w="2880"/>
          </w:tcPr>
          <w:p>
            <w:pPr>
              <w:spacing w:line="360" w:lineRule="auto"/>
              <w:ind w:firstLine="0"/>
            </w:pPr>
            <w:r>
              <w:rPr>
                <w:rFonts w:ascii="Times New Roman" w:hAnsi="Times New Roman" w:eastAsia="Times New Roman"/>
                <w:sz w:val="24"/>
              </w:rPr>
              <w:t>/api/v1/sessions; /api/v1/notifications; /api/v1/reviews</w:t>
            </w:r>
          </w:p>
        </w:tc>
        <w:tc>
          <w:tcPr>
            <w:tcW w:type="dxa" w:w="2880"/>
          </w:tcPr>
          <w:p>
            <w:pPr>
              <w:spacing w:line="360" w:lineRule="auto"/>
              <w:ind w:firstLine="0"/>
            </w:pPr>
            <w:r>
              <w:rPr>
                <w:rFonts w:ascii="Times New Roman" w:hAnsi="Times New Roman" w:eastAsia="Times New Roman"/>
                <w:sz w:val="24"/>
              </w:rPr>
              <w:t>Study sessions, notifications, and reviews.</w:t>
            </w:r>
          </w:p>
        </w:tc>
      </w:tr>
      <w:tr>
        <w:tc>
          <w:tcPr>
            <w:tcW w:type="dxa" w:w="2880"/>
          </w:tcPr>
          <w:p>
            <w:pPr>
              <w:spacing w:line="360" w:lineRule="auto"/>
              <w:ind w:firstLine="0"/>
            </w:pPr>
            <w:r>
              <w:rPr>
                <w:rFonts w:ascii="Times New Roman" w:hAnsi="Times New Roman" w:eastAsia="Times New Roman"/>
                <w:sz w:val="24"/>
              </w:rPr>
              <w:t>User reports</w:t>
            </w:r>
          </w:p>
        </w:tc>
        <w:tc>
          <w:tcPr>
            <w:tcW w:type="dxa" w:w="2880"/>
          </w:tcPr>
          <w:p>
            <w:pPr>
              <w:spacing w:line="360" w:lineRule="auto"/>
              <w:ind w:firstLine="0"/>
            </w:pPr>
            <w:r>
              <w:rPr>
                <w:rFonts w:ascii="Times New Roman" w:hAnsi="Times New Roman" w:eastAsia="Times New Roman"/>
                <w:sz w:val="24"/>
              </w:rPr>
              <w:t>/api/v1/reports/users/...</w:t>
            </w:r>
          </w:p>
        </w:tc>
        <w:tc>
          <w:tcPr>
            <w:tcW w:type="dxa" w:w="2880"/>
          </w:tcPr>
          <w:p>
            <w:pPr>
              <w:spacing w:line="360" w:lineRule="auto"/>
              <w:ind w:firstLine="0"/>
            </w:pPr>
            <w:r>
              <w:rPr>
                <w:rFonts w:ascii="Times New Roman" w:hAnsi="Times New Roman" w:eastAsia="Times New Roman"/>
                <w:sz w:val="24"/>
              </w:rPr>
              <w:t>User-report workflows.</w:t>
            </w:r>
          </w:p>
        </w:tc>
      </w:tr>
    </w:tbl>
    <w:p/>
    <w:p>
      <w:pPr>
        <w:keepNext/>
        <w:spacing w:line="360" w:lineRule="auto" w:before="120" w:after="60"/>
        <w:ind w:firstLine="0"/>
        <w:jc w:val="left"/>
      </w:pPr>
      <w:r>
        <w:rPr>
          <w:rFonts w:ascii="Times New Roman" w:hAnsi="Times New Roman" w:eastAsia="Times New Roman"/>
          <w:b/>
          <w:sz w:val="24"/>
        </w:rPr>
        <w:t>Table 6. Principal application data records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Record</w:t>
            </w:r>
          </w:p>
        </w:tc>
        <w:tc>
          <w:tcPr>
            <w:tcW w:type="dxa" w:w="4320"/>
          </w:tcPr>
          <w:p>
            <w:pPr>
              <w:spacing w:line="360" w:lineRule="auto"/>
              <w:ind w:firstLine="0"/>
            </w:pPr>
            <w:r>
              <w:rPr>
                <w:rFonts w:ascii="Times New Roman" w:hAnsi="Times New Roman" w:eastAsia="Times New Roman"/>
                <w:b/>
                <w:sz w:val="24"/>
              </w:rPr>
              <w:t>Purpose</w:t>
            </w:r>
          </w:p>
        </w:tc>
      </w:tr>
      <w:tr>
        <w:tc>
          <w:tcPr>
            <w:tcW w:type="dxa" w:w="4320"/>
          </w:tcPr>
          <w:p>
            <w:pPr>
              <w:spacing w:line="360" w:lineRule="auto"/>
              <w:ind w:firstLine="0"/>
            </w:pPr>
            <w:r>
              <w:rPr>
                <w:rFonts w:ascii="Times New Roman" w:hAnsi="Times New Roman" w:eastAsia="Times New Roman"/>
                <w:sz w:val="24"/>
              </w:rPr>
              <w:t>User and Profile</w:t>
            </w:r>
          </w:p>
        </w:tc>
        <w:tc>
          <w:tcPr>
            <w:tcW w:type="dxa" w:w="4320"/>
          </w:tcPr>
          <w:p>
            <w:pPr>
              <w:spacing w:line="360" w:lineRule="auto"/>
              <w:ind w:firstLine="0"/>
            </w:pPr>
            <w:r>
              <w:rPr>
                <w:rFonts w:ascii="Times New Roman" w:hAnsi="Times New Roman" w:eastAsia="Times New Roman"/>
                <w:sz w:val="24"/>
              </w:rPr>
              <w:t>Account identity and student-provided study information.</w:t>
            </w:r>
          </w:p>
        </w:tc>
      </w:tr>
      <w:tr>
        <w:tc>
          <w:tcPr>
            <w:tcW w:type="dxa" w:w="4320"/>
          </w:tcPr>
          <w:p>
            <w:pPr>
              <w:spacing w:line="360" w:lineRule="auto"/>
              <w:ind w:firstLine="0"/>
            </w:pPr>
            <w:r>
              <w:rPr>
                <w:rFonts w:ascii="Times New Roman" w:hAnsi="Times New Roman" w:eastAsia="Times New Roman"/>
                <w:sz w:val="24"/>
              </w:rPr>
              <w:t>StudyMatch</w:t>
            </w:r>
          </w:p>
        </w:tc>
        <w:tc>
          <w:tcPr>
            <w:tcW w:type="dxa" w:w="4320"/>
          </w:tcPr>
          <w:p>
            <w:pPr>
              <w:spacing w:line="360" w:lineRule="auto"/>
              <w:ind w:firstLine="0"/>
            </w:pPr>
            <w:r>
              <w:rPr>
                <w:rFonts w:ascii="Times New Roman" w:hAnsi="Times New Roman" w:eastAsia="Times New Roman"/>
                <w:sz w:val="24"/>
              </w:rPr>
              <w:t>Candidate, compatibility score, shared-course count, and reasons.</w:t>
            </w:r>
          </w:p>
        </w:tc>
      </w:tr>
      <w:tr>
        <w:tc>
          <w:tcPr>
            <w:tcW w:type="dxa" w:w="4320"/>
          </w:tcPr>
          <w:p>
            <w:pPr>
              <w:spacing w:line="360" w:lineRule="auto"/>
              <w:ind w:firstLine="0"/>
            </w:pPr>
            <w:r>
              <w:rPr>
                <w:rFonts w:ascii="Times New Roman" w:hAnsi="Times New Roman" w:eastAsia="Times New Roman"/>
                <w:sz w:val="24"/>
              </w:rPr>
              <w:t>BuddyRequest</w:t>
            </w:r>
          </w:p>
        </w:tc>
        <w:tc>
          <w:tcPr>
            <w:tcW w:type="dxa" w:w="4320"/>
          </w:tcPr>
          <w:p>
            <w:pPr>
              <w:spacing w:line="360" w:lineRule="auto"/>
              <w:ind w:firstLine="0"/>
            </w:pPr>
            <w:r>
              <w:rPr>
                <w:rFonts w:ascii="Times New Roman" w:hAnsi="Times New Roman" w:eastAsia="Times New Roman"/>
                <w:sz w:val="24"/>
              </w:rPr>
              <w:t>Pending or accepted relationship between students.</w:t>
            </w:r>
          </w:p>
        </w:tc>
      </w:tr>
      <w:tr>
        <w:tc>
          <w:tcPr>
            <w:tcW w:type="dxa" w:w="4320"/>
          </w:tcPr>
          <w:p>
            <w:pPr>
              <w:spacing w:line="360" w:lineRule="auto"/>
              <w:ind w:firstLine="0"/>
            </w:pPr>
            <w:r>
              <w:rPr>
                <w:rFonts w:ascii="Times New Roman" w:hAnsi="Times New Roman" w:eastAsia="Times New Roman"/>
                <w:sz w:val="24"/>
              </w:rPr>
              <w:t>StudyGroup and membership</w:t>
            </w:r>
          </w:p>
        </w:tc>
        <w:tc>
          <w:tcPr>
            <w:tcW w:type="dxa" w:w="4320"/>
          </w:tcPr>
          <w:p>
            <w:pPr>
              <w:spacing w:line="360" w:lineRule="auto"/>
              <w:ind w:firstLine="0"/>
            </w:pPr>
            <w:r>
              <w:rPr>
                <w:rFonts w:ascii="Times New Roman" w:hAnsi="Times New Roman" w:eastAsia="Times New Roman"/>
                <w:sz w:val="24"/>
              </w:rPr>
              <w:t xml:space="preserve">Group details, creator, members, session totals, join requests, and paired-buddy invitations.</w:t>
            </w:r>
          </w:p>
        </w:tc>
      </w:tr>
      <w:tr>
        <w:tc>
          <w:tcPr>
            <w:tcW w:type="dxa" w:w="4320"/>
          </w:tcPr>
          <w:p>
            <w:pPr>
              <w:spacing w:line="360" w:lineRule="auto"/>
              <w:ind w:firstLine="0"/>
            </w:pPr>
            <w:r>
              <w:rPr>
                <w:rFonts w:ascii="Times New Roman" w:hAnsi="Times New Roman" w:eastAsia="Times New Roman"/>
                <w:sz w:val="24"/>
              </w:rPr>
              <w:t>StudySession</w:t>
            </w:r>
          </w:p>
        </w:tc>
        <w:tc>
          <w:tcPr>
            <w:tcW w:type="dxa" w:w="4320"/>
          </w:tcPr>
          <w:p>
            <w:pPr>
              <w:spacing w:line="360" w:lineRule="auto"/>
              <w:ind w:firstLine="0"/>
            </w:pPr>
            <w:r>
              <w:rPr>
                <w:rFonts w:ascii="Times New Roman" w:hAnsi="Times New Roman" w:eastAsia="Times New Roman"/>
                <w:sz w:val="24"/>
              </w:rPr>
              <w:t>Host, buddy/group association, topic, schedule, location, and status.</w:t>
            </w:r>
          </w:p>
        </w:tc>
      </w:tr>
      <w:tr>
        <w:tc>
          <w:tcPr>
            <w:tcW w:type="dxa" w:w="4320"/>
          </w:tcPr>
          <w:p>
            <w:pPr>
              <w:spacing w:line="360" w:lineRule="auto"/>
              <w:ind w:firstLine="0"/>
            </w:pPr>
            <w:r>
              <w:rPr>
                <w:rFonts w:ascii="Times New Roman" w:hAnsi="Times New Roman" w:eastAsia="Times New Roman"/>
                <w:sz w:val="24"/>
              </w:rPr>
              <w:t>StudyMessage and DirectConversation</w:t>
            </w:r>
          </w:p>
        </w:tc>
        <w:tc>
          <w:tcPr>
            <w:tcW w:type="dxa" w:w="4320"/>
          </w:tcPr>
          <w:p>
            <w:pPr>
              <w:spacing w:line="360" w:lineRule="auto"/>
              <w:ind w:firstLine="0"/>
            </w:pPr>
            <w:r>
              <w:rPr>
                <w:rFonts w:ascii="Times New Roman" w:hAnsi="Times New Roman" w:eastAsia="Times New Roman"/>
                <w:sz w:val="24"/>
              </w:rPr>
              <w:t>Direct or group conversation messages.</w:t>
            </w:r>
          </w:p>
        </w:tc>
      </w:tr>
      <w:tr>
        <w:tc>
          <w:tcPr>
            <w:tcW w:type="dxa" w:w="4320"/>
          </w:tcPr>
          <w:p>
            <w:pPr>
              <w:spacing w:line="360" w:lineRule="auto"/>
              <w:ind w:firstLine="0"/>
            </w:pPr>
            <w:r>
              <w:rPr>
                <w:rFonts w:ascii="Times New Roman" w:hAnsi="Times New Roman" w:eastAsia="Times New Roman"/>
                <w:sz w:val="24"/>
              </w:rPr>
              <w:t>ActivityNotification</w:t>
            </w:r>
          </w:p>
        </w:tc>
        <w:tc>
          <w:tcPr>
            <w:tcW w:type="dxa" w:w="4320"/>
          </w:tcPr>
          <w:p>
            <w:pPr>
              <w:spacing w:line="360" w:lineRule="auto"/>
              <w:ind w:firstLine="0"/>
            </w:pPr>
            <w:r>
              <w:rPr>
                <w:rFonts w:ascii="Times New Roman" w:hAnsi="Times New Roman" w:eastAsia="Times New Roman"/>
                <w:sz w:val="24"/>
              </w:rPr>
              <w:t>Activity notification and read state.</w:t>
            </w:r>
          </w:p>
        </w:tc>
      </w:tr>
      <w:tr>
        <w:tc>
          <w:tcPr>
            <w:tcW w:type="dxa" w:w="4320"/>
          </w:tcPr>
          <w:p>
            <w:pPr>
              <w:spacing w:line="360" w:lineRule="auto"/>
              <w:ind w:firstLine="0"/>
            </w:pPr>
            <w:r>
              <w:rPr>
                <w:rFonts w:ascii="Times New Roman" w:hAnsi="Times New Roman" w:eastAsia="Times New Roman"/>
                <w:sz w:val="24"/>
              </w:rPr>
              <w:t>Reviews and UserReport</w:t>
            </w:r>
          </w:p>
        </w:tc>
        <w:tc>
          <w:tcPr>
            <w:tcW w:type="dxa" w:w="4320"/>
          </w:tcPr>
          <w:p>
            <w:pPr>
              <w:spacing w:line="360" w:lineRule="auto"/>
              <w:ind w:firstLine="0"/>
            </w:pPr>
            <w:r>
              <w:rPr>
                <w:rFonts w:ascii="Times New Roman" w:hAnsi="Times New Roman" w:eastAsia="Times New Roman"/>
                <w:sz w:val="24"/>
              </w:rPr>
              <w:t>User-submitted review and report records.</w:t>
            </w:r>
          </w:p>
        </w:tc>
      </w:tr>
    </w:tbl>
    <w:p/>
    <w:p>
      <w:pPr>
        <w:keepNext/>
        <w:spacing w:line="360" w:lineRule="auto" w:before="120" w:after="60"/>
        <w:ind w:firstLine="0"/>
        <w:jc w:val="left"/>
      </w:pPr>
      <w:r>
        <w:rPr>
          <w:rFonts w:ascii="Times New Roman" w:hAnsi="Times New Roman" w:eastAsia="Times New Roman"/>
          <w:b/>
          <w:sz w:val="24"/>
        </w:rPr>
        <w:t>Table 7. Student collaboration workflows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Workflow</w:t>
            </w:r>
          </w:p>
        </w:tc>
        <w:tc>
          <w:tcPr>
            <w:tcW w:type="dxa" w:w="4320"/>
          </w:tcPr>
          <w:p>
            <w:pPr>
              <w:spacing w:line="360" w:lineRule="auto"/>
              <w:ind w:firstLine="0"/>
            </w:pPr>
            <w:r>
              <w:rPr>
                <w:rFonts w:ascii="Times New Roman" w:hAnsi="Times New Roman" w:eastAsia="Times New Roman"/>
                <w:b/>
                <w:sz w:val="24"/>
              </w:rPr>
              <w:t>Main steps</w:t>
            </w:r>
          </w:p>
        </w:tc>
      </w:tr>
      <w:tr>
        <w:tc>
          <w:tcPr>
            <w:tcW w:type="dxa" w:w="4320"/>
          </w:tcPr>
          <w:p>
            <w:pPr>
              <w:spacing w:line="360" w:lineRule="auto"/>
              <w:ind w:firstLine="0"/>
            </w:pPr>
            <w:r>
              <w:rPr>
                <w:rFonts w:ascii="Times New Roman" w:hAnsi="Times New Roman" w:eastAsia="Times New Roman"/>
                <w:sz w:val="24"/>
              </w:rPr>
              <w:t>Google authentication</w:t>
            </w:r>
          </w:p>
        </w:tc>
        <w:tc>
          <w:tcPr>
            <w:tcW w:type="dxa" w:w="4320"/>
          </w:tcPr>
          <w:p>
            <w:pPr>
              <w:spacing w:line="360" w:lineRule="auto"/>
              <w:ind w:firstLine="0"/>
            </w:pPr>
            <w:r>
              <w:rPr>
                <w:rFonts w:ascii="Times New Roman" w:hAnsi="Times New Roman" w:eastAsia="Times New Roman"/>
                <w:sz w:val="24"/>
              </w:rPr>
              <w:t>Google identity token → institutional-domain check → Sanctum token.</w:t>
            </w:r>
          </w:p>
        </w:tc>
      </w:tr>
      <w:tr>
        <w:tc>
          <w:tcPr>
            <w:tcW w:type="dxa" w:w="4320"/>
          </w:tcPr>
          <w:p>
            <w:pPr>
              <w:spacing w:line="360" w:lineRule="auto"/>
              <w:ind w:firstLine="0"/>
            </w:pPr>
            <w:r>
              <w:rPr>
                <w:rFonts w:ascii="Times New Roman" w:hAnsi="Times New Roman" w:eastAsia="Times New Roman"/>
                <w:sz w:val="24"/>
              </w:rPr>
              <w:t>Buddy discovery</w:t>
            </w:r>
          </w:p>
        </w:tc>
        <w:tc>
          <w:tcPr>
            <w:tcW w:type="dxa" w:w="4320"/>
          </w:tcPr>
          <w:p>
            <w:pPr>
              <w:spacing w:line="360" w:lineRule="auto"/>
              <w:ind w:firstLine="0"/>
            </w:pPr>
            <w:r>
              <w:rPr>
                <w:rFonts w:ascii="Times New Roman" w:hAnsi="Times New Roman" w:eastAsia="Times New Roman"/>
                <w:sz w:val="24"/>
              </w:rPr>
              <w:t>Profile criteria → weighted score → ranked recommendations → buddy request.</w:t>
            </w:r>
          </w:p>
        </w:tc>
      </w:tr>
      <w:tr>
        <w:tc>
          <w:tcPr>
            <w:tcW w:type="dxa" w:w="4320"/>
          </w:tcPr>
          <w:p>
            <w:pPr>
              <w:spacing w:line="360" w:lineRule="auto"/>
              <w:ind w:firstLine="0"/>
            </w:pPr>
            <w:r>
              <w:rPr>
                <w:rFonts w:ascii="Times New Roman" w:hAnsi="Times New Roman" w:eastAsia="Times New Roman"/>
                <w:sz w:val="24"/>
              </w:rPr>
              <w:t>Group joining</w:t>
            </w:r>
          </w:p>
        </w:tc>
        <w:tc>
          <w:tcPr>
            <w:tcW w:type="dxa" w:w="4320"/>
          </w:tcPr>
          <w:p>
            <w:pPr>
              <w:spacing w:line="360" w:lineRule="auto"/>
              <w:ind w:firstLine="0"/>
            </w:pPr>
            <w:r>
              <w:rPr>
                <w:rFonts w:ascii="Times New Roman" w:hAnsi="Times New Roman" w:eastAsia="Times New Roman"/>
                <w:sz w:val="24"/>
              </w:rPr>
              <w:t xml:space="preserve">Open any discovered group → request to join or accept an invitation → cancel a pending request or await the admin decision → membership after approval.</w:t>
            </w:r>
          </w:p>
        </w:tc>
      </w:tr>
      <w:tr>
        <w:tc>
          <w:tcPr>
            <w:tcW w:type="dxa" w:w="4320"/>
          </w:tcPr>
          <w:p>
            <w:pPr>
              <w:spacing w:line="360" w:lineRule="auto"/>
              <w:ind w:firstLine="0"/>
            </w:pPr>
            <w:r>
              <w:rPr>
                <w:rFonts w:ascii="Times New Roman" w:hAnsi="Times New Roman" w:eastAsia="Times New Roman"/>
                <w:sz w:val="24"/>
              </w:rPr>
              <w:t>Study coordination</w:t>
            </w:r>
          </w:p>
        </w:tc>
        <w:tc>
          <w:tcPr>
            <w:tcW w:type="dxa" w:w="4320"/>
          </w:tcPr>
          <w:p>
            <w:pPr>
              <w:spacing w:line="360" w:lineRule="auto"/>
              <w:ind w:firstLine="0"/>
            </w:pPr>
            <w:r>
              <w:rPr>
                <w:rFonts w:ascii="Times New Roman" w:hAnsi="Times New Roman" w:eastAsia="Times New Roman"/>
                <w:sz w:val="24"/>
              </w:rPr>
              <w:t>Accepted buddy or joined group → create study session → communicate in app.</w:t>
            </w:r>
          </w:p>
        </w:tc>
      </w:tr>
    </w:tbl>
    <w:p/>
    <w:p>
      <w:pPr>
        <w:keepNext/>
        <w:spacing w:line="360" w:lineRule="auto" w:before="120" w:after="60"/>
        <w:ind w:firstLine="0"/>
        <w:jc w:val="left"/>
      </w:pPr>
      <w:r>
        <w:rPr>
          <w:rFonts w:ascii="Times New Roman" w:hAnsi="Times New Roman" w:eastAsia="Times New Roman"/>
          <w:b/>
          <w:sz w:val="24"/>
        </w:rPr>
        <w:t>Table 8. System scope boundaries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Boundary</w:t>
            </w:r>
          </w:p>
        </w:tc>
        <w:tc>
          <w:tcPr>
            <w:tcW w:type="dxa" w:w="4320"/>
          </w:tcPr>
          <w:p>
            <w:pPr>
              <w:spacing w:line="360" w:lineRule="auto"/>
              <w:ind w:firstLine="0"/>
            </w:pPr>
            <w:r>
              <w:rPr>
                <w:rFonts w:ascii="Times New Roman" w:hAnsi="Times New Roman" w:eastAsia="Times New Roman"/>
                <w:b/>
                <w:sz w:val="24"/>
              </w:rPr>
              <w:t>Description</w:t>
            </w:r>
          </w:p>
        </w:tc>
      </w:tr>
      <w:tr>
        <w:tc>
          <w:tcPr>
            <w:tcW w:type="dxa" w:w="4320"/>
          </w:tcPr>
          <w:p>
            <w:pPr>
              <w:spacing w:line="360" w:lineRule="auto"/>
              <w:ind w:firstLine="0"/>
            </w:pPr>
            <w:r>
              <w:rPr>
                <w:rFonts w:ascii="Times New Roman" w:hAnsi="Times New Roman" w:eastAsia="Times New Roman"/>
                <w:sz w:val="24"/>
              </w:rPr>
              <w:t>Authentication</w:t>
            </w:r>
          </w:p>
        </w:tc>
        <w:tc>
          <w:tcPr>
            <w:tcW w:type="dxa" w:w="4320"/>
          </w:tcPr>
          <w:p>
            <w:pPr>
              <w:spacing w:line="360" w:lineRule="auto"/>
              <w:ind w:firstLine="0"/>
            </w:pPr>
            <w:r>
              <w:rPr>
                <w:rFonts w:ascii="Times New Roman" w:hAnsi="Times New Roman" w:eastAsia="Times New Roman"/>
                <w:sz w:val="24"/>
              </w:rPr>
              <w:t>Google-only; no password sign-in or setup.</w:t>
            </w:r>
          </w:p>
        </w:tc>
      </w:tr>
      <w:tr>
        <w:tc>
          <w:tcPr>
            <w:tcW w:type="dxa" w:w="4320"/>
          </w:tcPr>
          <w:p>
            <w:pPr>
              <w:spacing w:line="360" w:lineRule="auto"/>
              <w:ind w:firstLine="0"/>
            </w:pPr>
            <w:r>
              <w:rPr>
                <w:rFonts w:ascii="Times New Roman" w:hAnsi="Times New Roman" w:eastAsia="Times New Roman"/>
                <w:sz w:val="24"/>
              </w:rPr>
              <w:t>Academic information</w:t>
            </w:r>
          </w:p>
        </w:tc>
        <w:tc>
          <w:tcPr>
            <w:tcW w:type="dxa" w:w="4320"/>
          </w:tcPr>
          <w:p>
            <w:pPr>
              <w:spacing w:line="360" w:lineRule="auto"/>
              <w:ind w:firstLine="0"/>
            </w:pPr>
            <w:r>
              <w:rPr>
                <w:rFonts w:ascii="Times New Roman" w:hAnsi="Times New Roman" w:eastAsia="Times New Roman"/>
                <w:sz w:val="24"/>
              </w:rPr>
              <w:t>User-provided profile data; no official grades or enrollment records.</w:t>
            </w:r>
          </w:p>
        </w:tc>
      </w:tr>
      <w:tr>
        <w:tc>
          <w:tcPr>
            <w:tcW w:type="dxa" w:w="4320"/>
          </w:tcPr>
          <w:p>
            <w:pPr>
              <w:spacing w:line="360" w:lineRule="auto"/>
              <w:ind w:firstLine="0"/>
            </w:pPr>
            <w:r>
              <w:rPr>
                <w:rFonts w:ascii="Times New Roman" w:hAnsi="Times New Roman" w:eastAsia="Times New Roman"/>
                <w:sz w:val="24"/>
              </w:rPr>
              <w:t>Matching</w:t>
            </w:r>
          </w:p>
        </w:tc>
        <w:tc>
          <w:tcPr>
            <w:tcW w:type="dxa" w:w="4320"/>
          </w:tcPr>
          <w:p>
            <w:pPr>
              <w:spacing w:line="360" w:lineRule="auto"/>
              <w:ind w:firstLine="0"/>
            </w:pPr>
            <w:r>
              <w:rPr>
                <w:rFonts w:ascii="Times New Roman" w:hAnsi="Times New Roman" w:eastAsia="Times New Roman"/>
                <w:sz w:val="24"/>
              </w:rPr>
              <w:t>Configurable compatibility ranking, not an academic-success prediction.</w:t>
            </w:r>
          </w:p>
        </w:tc>
      </w:tr>
      <w:tr>
        <w:tc>
          <w:tcPr>
            <w:tcW w:type="dxa" w:w="4320"/>
          </w:tcPr>
          <w:p>
            <w:pPr>
              <w:spacing w:line="360" w:lineRule="auto"/>
              <w:ind w:firstLine="0"/>
            </w:pPr>
            <w:r>
              <w:rPr>
                <w:rFonts w:ascii="Times New Roman" w:hAnsi="Times New Roman" w:eastAsia="Times New Roman"/>
                <w:sz w:val="24"/>
              </w:rPr>
              <w:t>Communication</w:t>
            </w:r>
          </w:p>
        </w:tc>
        <w:tc>
          <w:tcPr>
            <w:tcW w:type="dxa" w:w="4320"/>
          </w:tcPr>
          <w:p>
            <w:pPr>
              <w:spacing w:line="360" w:lineRule="auto"/>
              <w:ind w:firstLine="0"/>
            </w:pPr>
            <w:r>
              <w:rPr>
                <w:rFonts w:ascii="Times New Roman" w:hAnsi="Times New Roman" w:eastAsia="Times New Roman"/>
                <w:sz w:val="24"/>
              </w:rPr>
              <w:t>Direct/group messages and coordination; no built-in video conferencing.</w:t>
            </w:r>
          </w:p>
        </w:tc>
      </w:tr>
      <w:tr>
        <w:tc>
          <w:tcPr>
            <w:tcW w:type="dxa" w:w="4320"/>
          </w:tcPr>
          <w:p>
            <w:pPr>
              <w:spacing w:line="360" w:lineRule="auto"/>
              <w:ind w:firstLine="0"/>
            </w:pPr>
            <w:r>
              <w:rPr>
                <w:rFonts w:ascii="Times New Roman" w:hAnsi="Times New Roman" w:eastAsia="Times New Roman"/>
                <w:sz w:val="24"/>
              </w:rPr>
              <w:t>Evaluation</w:t>
            </w:r>
          </w:p>
        </w:tc>
        <w:tc>
          <w:tcPr>
            <w:tcW w:type="dxa" w:w="4320"/>
          </w:tcPr>
          <w:p>
            <w:pPr>
              <w:spacing w:line="360" w:lineRule="auto"/>
              <w:ind w:firstLine="0"/>
            </w:pPr>
            <w:r>
              <w:rPr>
                <w:rFonts w:ascii="Times New Roman" w:hAnsi="Times New Roman" w:eastAsia="Times New Roman"/>
                <w:sz w:val="24"/>
              </w:rPr>
              <w:t>No participant usability or academic-outcome results supplied.</w:t>
            </w:r>
          </w:p>
        </w:tc>
      </w:tr>
    </w:tbl>
    <w:p/>
    <w:p>
      <w:pPr>
        <w:spacing w:line="360" w:lineRule="auto" w:after="0"/>
        <w:ind w:firstLine="720"/>
        <w:jc w:val="both"/>
      </w:pPr>
      <w:r>
        <w:rPr>
          <w:rFonts w:ascii="Times New Roman" w:hAnsi="Times New Roman" w:eastAsia="Times New Roman"/>
          <w:b w:val="0"/>
          <w:sz w:val="24"/>
        </w:rPr>
        <w:t>Application screenshots to be inserted by the project authors:</w:t>
      </w:r>
    </w:p>
    <w:p>
      <w:pPr>
        <w:spacing w:line="360" w:lineRule="auto" w:after="0"/>
        <w:ind w:firstLine="0"/>
        <w:jc w:val="both"/>
      </w:pPr>
      <w:r>
        <w:rPr>
          <w:rFonts w:ascii="Times New Roman" w:hAnsi="Times New Roman" w:eastAsia="Times New Roman"/>
          <w:b w:val="0"/>
          <w:sz w:val="24"/>
        </w:rPr>
        <w:t>Figure 1. MatchLearn Home screen — insert a current Android screenshot.</w:t>
      </w:r>
    </w:p>
    <w:p>
      <w:pPr>
        <w:spacing w:line="360" w:lineRule="auto" w:after="0"/>
        <w:ind w:firstLine="0"/>
        <w:jc w:val="both"/>
      </w:pPr>
      <w:r>
        <w:rPr>
          <w:rFonts w:ascii="Times New Roman" w:hAnsi="Times New Roman" w:eastAsia="Times New Roman"/>
          <w:b w:val="0"/>
          <w:sz w:val="24"/>
        </w:rPr>
        <w:t>Figure 2. Discover and match recommendations — insert a current Android screenshot.</w:t>
      </w:r>
    </w:p>
    <w:p>
      <w:pPr>
        <w:spacing w:line="360" w:lineRule="auto" w:after="0"/>
        <w:ind w:firstLine="0"/>
        <w:jc w:val="both"/>
      </w:pPr>
      <w:r>
        <w:rPr>
          <w:rFonts w:ascii="Times New Roman" w:hAnsi="Times New Roman" w:eastAsia="Times New Roman"/>
          <w:b w:val="0"/>
          <w:sz w:val="24"/>
        </w:rPr>
        <w:t>Figure 3. Study group or group details — insert a current Android screenshot.</w:t>
      </w:r>
    </w:p>
    <w:p>
      <w:pPr>
        <w:spacing w:line="360" w:lineRule="auto" w:after="0"/>
        <w:ind w:firstLine="0"/>
        <w:jc w:val="both"/>
      </w:pPr>
      <w:r>
        <w:rPr>
          <w:rFonts w:ascii="Times New Roman" w:hAnsi="Times New Roman" w:eastAsia="Times New Roman"/>
          <w:b w:val="0"/>
          <w:sz w:val="24"/>
        </w:rPr>
        <w:t>Figure 4. Messages or study-session screen — insert a current Android screenshot.</w:t>
      </w:r>
    </w:p>
    <w:p>
      <w:pPr>
        <w:spacing w:line="360" w:lineRule="auto" w:after="0"/>
        <w:ind w:firstLine="0"/>
        <w:jc w:val="both"/>
      </w:pPr>
      <w:r>
        <w:rPr>
          <w:rFonts w:ascii="Times New Roman" w:hAnsi="Times New Roman" w:eastAsia="Times New Roman"/>
          <w:b w:val="0"/>
          <w:sz w:val="24"/>
        </w:rPr>
        <w:t>Figure 5. Profile screen — insert a current Android screenshot.</w:t>
      </w:r>
    </w:p>
    <w:p>
      <w:pPr>
        <w:keepNext/>
        <w:spacing w:line="360" w:lineRule="auto" w:before="120" w:after="60"/>
        <w:ind w:firstLine="0"/>
        <w:jc w:val="left"/>
      </w:pPr>
      <w:r>
        <w:rPr>
          <w:rFonts w:ascii="Times New Roman" w:hAnsi="Times New Roman" w:eastAsia="Times New Roman"/>
          <w:b/>
          <w:sz w:val="24"/>
        </w:rPr>
        <w:t>5.4 Evaluation of the System</w:t>
      </w:r>
    </w:p>
    <w:p>
      <w:pPr>
        <w:spacing w:line="360" w:lineRule="auto" w:after="0"/>
        <w:ind w:firstLine="720"/>
        <w:jc w:val="both"/>
      </w:pPr>
      <w:r>
        <w:rPr>
          <w:rFonts w:ascii="Times New Roman" w:hAnsi="Times New Roman" w:eastAsia="Times New Roman"/>
          <w:b w:val="0"/>
          <w:sz w:val="24"/>
        </w:rPr>
        <w:t>No usability scores, performance timings, reliability measurements, security assessment results, or academic-outcome data were supplied. This section must be completed after testing with the actual method, participants, devices, instrument, results, and limitations. No sample size or score is fabricated.</w:t>
      </w:r>
    </w:p>
    <w:p>
      <w:pPr>
        <w:keepNext/>
        <w:spacing w:line="360" w:lineRule="auto" w:before="120" w:after="60"/>
        <w:ind w:firstLine="0"/>
        <w:jc w:val="left"/>
      </w:pPr>
      <w:r>
        <w:rPr>
          <w:rFonts w:ascii="Times New Roman" w:hAnsi="Times New Roman" w:eastAsia="Times New Roman"/>
          <w:b/>
          <w:sz w:val="24"/>
        </w:rPr>
        <w:t>Table 9. Evaluation status and evidence needed</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Evaluation area</w:t>
            </w:r>
          </w:p>
        </w:tc>
        <w:tc>
          <w:tcPr>
            <w:tcW w:type="dxa" w:w="4320"/>
          </w:tcPr>
          <w:p>
            <w:pPr>
              <w:spacing w:line="360" w:lineRule="auto"/>
              <w:ind w:firstLine="0"/>
            </w:pPr>
            <w:r>
              <w:rPr>
                <w:rFonts w:ascii="Times New Roman" w:hAnsi="Times New Roman" w:eastAsia="Times New Roman"/>
                <w:b/>
                <w:sz w:val="24"/>
              </w:rPr>
              <w:t>Evidence available for this revision</w:t>
            </w:r>
          </w:p>
        </w:tc>
      </w:tr>
      <w:tr>
        <w:tc>
          <w:tcPr>
            <w:tcW w:type="dxa" w:w="4320"/>
          </w:tcPr>
          <w:p>
            <w:pPr>
              <w:spacing w:line="360" w:lineRule="auto"/>
              <w:ind w:firstLine="0"/>
            </w:pPr>
            <w:r>
              <w:rPr>
                <w:rFonts w:ascii="Times New Roman" w:hAnsi="Times New Roman" w:eastAsia="Times New Roman"/>
                <w:sz w:val="24"/>
              </w:rPr>
              <w:t>Functional suitability</w:t>
            </w:r>
          </w:p>
        </w:tc>
        <w:tc>
          <w:tcPr>
            <w:tcW w:type="dxa" w:w="4320"/>
          </w:tcPr>
          <w:p>
            <w:pPr>
              <w:spacing w:line="360" w:lineRule="auto"/>
              <w:ind w:firstLine="0"/>
            </w:pPr>
            <w:r>
              <w:rPr>
                <w:rFonts w:ascii="Times New Roman" w:hAnsi="Times New Roman" w:eastAsia="Times New Roman"/>
                <w:sz w:val="24"/>
              </w:rPr>
              <w:t>Feature descriptions checked against routes and implementation; no formal test report supplied.</w:t>
            </w:r>
          </w:p>
        </w:tc>
      </w:tr>
      <w:tr>
        <w:tc>
          <w:tcPr>
            <w:tcW w:type="dxa" w:w="4320"/>
          </w:tcPr>
          <w:p>
            <w:pPr>
              <w:spacing w:line="360" w:lineRule="auto"/>
              <w:ind w:firstLine="0"/>
            </w:pPr>
            <w:r>
              <w:rPr>
                <w:rFonts w:ascii="Times New Roman" w:hAnsi="Times New Roman" w:eastAsia="Times New Roman"/>
                <w:sz w:val="24"/>
              </w:rPr>
              <w:t>Usability</w:t>
            </w:r>
          </w:p>
        </w:tc>
        <w:tc>
          <w:tcPr>
            <w:tcW w:type="dxa" w:w="4320"/>
          </w:tcPr>
          <w:p>
            <w:pPr>
              <w:spacing w:line="360" w:lineRule="auto"/>
              <w:ind w:firstLine="0"/>
            </w:pPr>
            <w:r>
              <w:rPr>
                <w:rFonts w:ascii="Times New Roman" w:hAnsi="Times New Roman" w:eastAsia="Times New Roman"/>
                <w:sz w:val="24"/>
              </w:rPr>
              <w:t>No completed SUS or participant feedback data supplied.</w:t>
            </w:r>
          </w:p>
        </w:tc>
      </w:tr>
      <w:tr>
        <w:tc>
          <w:tcPr>
            <w:tcW w:type="dxa" w:w="4320"/>
          </w:tcPr>
          <w:p>
            <w:pPr>
              <w:spacing w:line="360" w:lineRule="auto"/>
              <w:ind w:firstLine="0"/>
            </w:pPr>
            <w:r>
              <w:rPr>
                <w:rFonts w:ascii="Times New Roman" w:hAnsi="Times New Roman" w:eastAsia="Times New Roman"/>
                <w:sz w:val="24"/>
              </w:rPr>
              <w:t>Performance efficiency</w:t>
            </w:r>
          </w:p>
        </w:tc>
        <w:tc>
          <w:tcPr>
            <w:tcW w:type="dxa" w:w="4320"/>
          </w:tcPr>
          <w:p>
            <w:pPr>
              <w:spacing w:line="360" w:lineRule="auto"/>
              <w:ind w:firstLine="0"/>
            </w:pPr>
            <w:r>
              <w:rPr>
                <w:rFonts w:ascii="Times New Roman" w:hAnsi="Times New Roman" w:eastAsia="Times New Roman"/>
                <w:sz w:val="24"/>
              </w:rPr>
              <w:t>No measured response times, load results, or device benchmarks supplied.</w:t>
            </w:r>
          </w:p>
        </w:tc>
      </w:tr>
      <w:tr>
        <w:tc>
          <w:tcPr>
            <w:tcW w:type="dxa" w:w="4320"/>
          </w:tcPr>
          <w:p>
            <w:pPr>
              <w:spacing w:line="360" w:lineRule="auto"/>
              <w:ind w:firstLine="0"/>
            </w:pPr>
            <w:r>
              <w:rPr>
                <w:rFonts w:ascii="Times New Roman" w:hAnsi="Times New Roman" w:eastAsia="Times New Roman"/>
                <w:sz w:val="24"/>
              </w:rPr>
              <w:t>Reliability and security</w:t>
            </w:r>
          </w:p>
        </w:tc>
        <w:tc>
          <w:tcPr>
            <w:tcW w:type="dxa" w:w="4320"/>
          </w:tcPr>
          <w:p>
            <w:pPr>
              <w:spacing w:line="360" w:lineRule="auto"/>
              <w:ind w:firstLine="0"/>
            </w:pPr>
            <w:r>
              <w:rPr>
                <w:rFonts w:ascii="Times New Roman" w:hAnsi="Times New Roman" w:eastAsia="Times New Roman"/>
                <w:sz w:val="24"/>
              </w:rPr>
              <w:t>Architecture and authentication flow described; no formal assessment report supplied.</w:t>
            </w:r>
          </w:p>
        </w:tc>
      </w:tr>
      <w:tr>
        <w:tc>
          <w:tcPr>
            <w:tcW w:type="dxa" w:w="4320"/>
          </w:tcPr>
          <w:p>
            <w:pPr>
              <w:spacing w:line="360" w:lineRule="auto"/>
              <w:ind w:firstLine="0"/>
            </w:pPr>
            <w:r>
              <w:rPr>
                <w:rFonts w:ascii="Times New Roman" w:hAnsi="Times New Roman" w:eastAsia="Times New Roman"/>
                <w:sz w:val="24"/>
              </w:rPr>
              <w:t>Academic impact</w:t>
            </w:r>
          </w:p>
        </w:tc>
        <w:tc>
          <w:tcPr>
            <w:tcW w:type="dxa" w:w="4320"/>
          </w:tcPr>
          <w:p>
            <w:pPr>
              <w:spacing w:line="360" w:lineRule="auto"/>
              <w:ind w:firstLine="0"/>
            </w:pPr>
            <w:r>
              <w:rPr>
                <w:rFonts w:ascii="Times New Roman" w:hAnsi="Times New Roman" w:eastAsia="Times New Roman"/>
                <w:sz w:val="24"/>
              </w:rPr>
              <w:t>Not measured and not claimed.</w:t>
            </w:r>
          </w:p>
        </w:tc>
      </w:tr>
    </w:tbl>
    <w:p/>
    <w:p>
      <w:pPr>
        <w:keepNext/>
        <w:spacing w:line="360" w:lineRule="auto" w:before="120" w:after="60"/>
        <w:ind w:firstLine="0"/>
        <w:jc w:val="left"/>
      </w:pPr>
      <w:r>
        <w:rPr>
          <w:rFonts w:ascii="Times New Roman" w:hAnsi="Times New Roman" w:eastAsia="Times New Roman"/>
          <w:b/>
          <w:sz w:val="24"/>
        </w:rPr>
        <w:t>5.5 Android Mobile Application</w:t>
      </w:r>
    </w:p>
    <w:p>
      <w:pPr>
        <w:spacing w:line="360" w:lineRule="auto" w:after="0"/>
        <w:ind w:firstLine="720"/>
        <w:jc w:val="both"/>
      </w:pPr>
      <w:r>
        <w:rPr>
          <w:rFonts w:ascii="Times New Roman" w:hAnsi="Times New Roman" w:eastAsia="Times New Roman"/>
          <w:b w:val="0"/>
          <w:sz w:val="24"/>
        </w:rPr>
        <w:t xml:space="preserve">MatchLearn is configured as a portrait-oriented Expo mobile application with an Android application identifier of com.matchlearn.app. The current local source includes Google sign-in, profile management, sorted match discovery, buddy requests, group-detail viewing by nonmembers, join-request cancellation, paired-buddy group invitations, direct and group messages, scheduled sessions, notifications, reviews, reports, and account controls. The latest group-access and request-action updates are newer than APK version 7 and are not included in that APK; the separate backend also needs deployment of its matching routes and migration. Android screenshots should be inserted at the figure positions in Section 5.3. The project also contains iOS configuration, but release availability is not asserted here.</w:t>
      </w:r>
    </w:p>
    <w:p>
      <w:pPr>
        <w:keepNext/>
        <w:spacing w:line="360" w:lineRule="auto" w:before="160" w:after="80"/>
        <w:ind w:firstLine="0"/>
        <w:jc w:val="left"/>
      </w:pPr>
      <w:r>
        <w:rPr>
          <w:rFonts w:ascii="Times New Roman" w:hAnsi="Times New Roman" w:eastAsia="Times New Roman"/>
          <w:b/>
          <w:sz w:val="24"/>
        </w:rPr>
        <w:t>6. CONCLUSION AND RECOMMENDATION</w:t>
      </w:r>
    </w:p>
    <w:p>
      <w:pPr>
        <w:keepNext/>
        <w:spacing w:line="360" w:lineRule="auto" w:before="120" w:after="60"/>
        <w:ind w:firstLine="0"/>
        <w:jc w:val="left"/>
      </w:pPr>
      <w:r>
        <w:rPr>
          <w:rFonts w:ascii="Times New Roman" w:hAnsi="Times New Roman" w:eastAsia="Times New Roman"/>
          <w:b/>
          <w:sz w:val="24"/>
        </w:rPr>
        <w:t>6.1 Conclusion</w:t>
      </w:r>
    </w:p>
    <w:p>
      <w:pPr>
        <w:spacing w:line="360" w:lineRule="auto" w:after="0"/>
        <w:ind w:firstLine="720"/>
        <w:jc w:val="both"/>
      </w:pPr>
      <w:r>
        <w:rPr>
          <w:rFonts w:ascii="Times New Roman" w:hAnsi="Times New Roman" w:eastAsia="Times New Roman"/>
          <w:b w:val="0"/>
          <w:sz w:val="24"/>
        </w:rPr>
        <w:t xml:space="preserve">MatchLearn implements a mobile system that supports institutional Google authentication, student profiles, weighted study-buddy recommendations, buddy and group workflows, messaging, study-session coordination, notifications, reviews, and user reports. Authenticated students can view group details before joining, request or cancel membership, and accept or decline invitations; group administrators can invite accepted buddies. The backend uses Laravel routes protected by Sanctum and PostgreSQL persistence. These are implementation descriptions, not evidence that the application improves academic performance or meets a measured quality rating.</w:t>
      </w:r>
    </w:p>
    <w:p>
      <w:pPr>
        <w:keepNext/>
        <w:spacing w:line="360" w:lineRule="auto" w:before="120" w:after="60"/>
        <w:ind w:firstLine="0"/>
        <w:jc w:val="left"/>
      </w:pPr>
      <w:r>
        <w:rPr>
          <w:rFonts w:ascii="Times New Roman" w:hAnsi="Times New Roman" w:eastAsia="Times New Roman"/>
          <w:b/>
          <w:sz w:val="24"/>
        </w:rPr>
        <w:t>6.2 Recommendation</w:t>
      </w:r>
    </w:p>
    <w:p>
      <w:pPr>
        <w:spacing w:line="360" w:lineRule="auto" w:after="0"/>
        <w:ind w:firstLine="720"/>
        <w:jc w:val="both"/>
      </w:pPr>
      <w:r>
        <w:rPr>
          <w:rFonts w:ascii="Times New Roman" w:hAnsi="Times New Roman" w:eastAsia="Times New Roman"/>
          <w:b w:val="0"/>
          <w:sz w:val="24"/>
        </w:rPr>
        <w:t>Insert current Android screenshots for the application screens identified in Section 5.3.</w:t>
      </w:r>
    </w:p>
    <w:p>
      <w:pPr>
        <w:spacing w:line="360" w:lineRule="auto" w:after="0"/>
        <w:ind w:firstLine="720"/>
        <w:jc w:val="both"/>
      </w:pPr>
      <w:r>
        <w:rPr>
          <w:rFonts w:ascii="Times New Roman" w:hAnsi="Times New Roman" w:eastAsia="Times New Roman"/>
          <w:b w:val="0"/>
          <w:sz w:val="24"/>
        </w:rPr>
        <w:t>Add verified project schedule, resource allocation, prototype artifacts, and feedback records if available.</w:t>
      </w:r>
    </w:p>
    <w:p>
      <w:pPr>
        <w:spacing w:line="360" w:lineRule="auto" w:after="0"/>
        <w:ind w:firstLine="720"/>
        <w:jc w:val="both"/>
      </w:pPr>
      <w:r>
        <w:rPr>
          <w:rFonts w:ascii="Times New Roman" w:hAnsi="Times New Roman" w:eastAsia="Times New Roman"/>
          <w:b w:val="0"/>
          <w:sz w:val="24"/>
        </w:rPr>
        <w:t>Conduct and document a consent-based usability evaluation and selected ISO/IEC 25010 quality assessments.</w:t>
      </w:r>
    </w:p>
    <w:p>
      <w:pPr>
        <w:spacing w:line="360" w:lineRule="auto" w:after="0"/>
        <w:ind w:firstLine="720"/>
        <w:jc w:val="both"/>
      </w:pPr>
      <w:r>
        <w:rPr>
          <w:rFonts w:ascii="Times New Roman" w:hAnsi="Times New Roman" w:eastAsia="Times New Roman"/>
          <w:b w:val="0"/>
          <w:sz w:val="24"/>
        </w:rPr>
        <w:t>Report test methods, sample details, instruments, results, and limitations without treating match scores as academic outcome predictions.</w:t>
      </w:r>
    </w:p>
    <w:p>
      <w:pPr>
        <w:spacing w:line="360" w:lineRule="auto" w:after="0"/>
        <w:ind w:firstLine="720"/>
        <w:jc w:val="both"/>
      </w:pPr>
      <w:r>
        <w:rPr>
          <w:rFonts w:ascii="Times New Roman" w:hAnsi="Times New Roman" w:eastAsia="Times New Roman"/>
          <w:b w:val="0"/>
          <w:sz w:val="24"/>
        </w:rPr>
        <w:t>Review the supplied RRL references for accuracy and institutional APA requirements before final submission.</w:t>
      </w:r>
    </w:p>
    <w:p>
      <w:pPr>
        <w:spacing w:line="360" w:lineRule="auto" w:after="0"/>
        <w:ind w:firstLine="720"/>
        <w:jc w:val="both"/>
      </w:pPr>
      <w:r>
        <w:rPr>
          <w:rFonts w:ascii="Times New Roman" w:hAnsi="Times New Roman" w:eastAsia="Times New Roman"/>
          <w:b w:val="0"/>
          <w:sz w:val="24"/>
        </w:rPr>
        <w:t>The earlier RRL also contained a Gonzales (2020) local-literature paragraph without a matching bibliography entry. It was omitted to avoid retaining an uncited source; provide its full reference if it should be restored.</w:t>
      </w:r>
    </w:p>
    <w:p>
      <w:pPr>
        <w:keepNext/>
        <w:spacing w:line="360" w:lineRule="auto" w:before="160" w:after="80"/>
        <w:ind w:firstLine="0"/>
        <w:jc w:val="left"/>
      </w:pPr>
      <w:r>
        <w:rPr>
          <w:rFonts w:ascii="Times New Roman" w:hAnsi="Times New Roman" w:eastAsia="Times New Roman"/>
          <w:b/>
          <w:sz w:val="24"/>
        </w:rPr>
        <w:t>7. ACKNOWLEDGEMENT</w:t>
      </w:r>
    </w:p>
    <w:p>
      <w:pPr>
        <w:spacing w:line="360" w:lineRule="auto" w:after="0"/>
        <w:ind w:firstLine="720"/>
        <w:jc w:val="both"/>
      </w:pPr>
      <w:r>
        <w:rPr>
          <w:rFonts w:ascii="Times New Roman" w:hAnsi="Times New Roman" w:eastAsia="Times New Roman"/>
          <w:b w:val="0"/>
          <w:sz w:val="24"/>
        </w:rPr>
        <w:t>The researchers would like to thank their project adviser, faculty members, and other individuals who supported the project. Before final submission, replace this general acknowledgement with the names and contributions the researchers wish to recognize.</w:t>
      </w:r>
    </w:p>
    <w:p>
      <w:pPr>
        <w:keepNext/>
        <w:spacing w:line="360" w:lineRule="auto" w:before="160" w:after="80"/>
        <w:ind w:firstLine="0"/>
        <w:jc w:val="left"/>
      </w:pPr>
      <w:r>
        <w:rPr>
          <w:rFonts w:ascii="Times New Roman" w:hAnsi="Times New Roman" w:eastAsia="Times New Roman"/>
          <w:b/>
          <w:sz w:val="24"/>
        </w:rPr>
        <w:t>8. REFERENCES</w:t>
      </w:r>
    </w:p>
    <w:p>
      <w:pPr>
        <w:spacing w:line="360" w:lineRule="auto" w:after="0"/>
        <w:ind w:hanging="720" w:left="720"/>
        <w:jc w:val="left"/>
      </w:pPr>
      <w:r>
        <w:rPr>
          <w:rFonts w:ascii="Times New Roman" w:hAnsi="Times New Roman" w:eastAsia="Times New Roman"/>
          <w:sz w:val="24"/>
        </w:rPr>
        <w:t>Aldas, T. M., Bathan, M. A. C., &amp; Alieto, E. O. (2020). Language and collaboration among multilingual Filipino college students. Asian EFL Journal, 27(1), 6–25</w:t>
      </w:r>
    </w:p>
    <w:p>
      <w:pPr>
        <w:spacing w:line="360" w:lineRule="auto" w:after="0"/>
        <w:ind w:hanging="720" w:left="720"/>
        <w:jc w:val="left"/>
      </w:pPr>
      <w:r>
        <w:rPr>
          <w:rFonts w:ascii="Times New Roman" w:hAnsi="Times New Roman" w:eastAsia="Times New Roman"/>
          <w:sz w:val="24"/>
        </w:rPr>
        <w:t>Ally, M. (2004). Foundations of educational theory for online learning. In T. Anderson &amp; F. Elloumi (Eds.), Theory and practice of online learning (pp. 3–31). Athabasca University Press. https://cde.athabascau.ca/online_book/ch1.html</w:t>
      </w:r>
    </w:p>
    <w:p>
      <w:pPr>
        <w:spacing w:line="360" w:lineRule="auto" w:after="0"/>
        <w:ind w:hanging="720" w:left="720"/>
        <w:jc w:val="left"/>
      </w:pPr>
      <w:r>
        <w:rPr>
          <w:rFonts w:ascii="Times New Roman" w:hAnsi="Times New Roman" w:eastAsia="Times New Roman"/>
          <w:sz w:val="24"/>
        </w:rPr>
        <w:t>Andrada, G. N., &amp; Macayan, J. V. (2019). Exploring formative assessment practices in higher education in the Philippines. TESOL International Journal, 14(2), 1–15</w:t>
      </w:r>
    </w:p>
    <w:p>
      <w:pPr>
        <w:spacing w:line="360" w:lineRule="auto" w:after="0"/>
        <w:ind w:hanging="720" w:left="720"/>
        <w:jc w:val="left"/>
      </w:pPr>
      <w:r>
        <w:rPr>
          <w:rFonts w:ascii="Times New Roman" w:hAnsi="Times New Roman" w:eastAsia="Times New Roman"/>
          <w:sz w:val="24"/>
        </w:rPr>
        <w:t>Astin, A. W. (1993). What matters in college? Four critical years revisited. Jossey-Bass</w:t>
      </w:r>
    </w:p>
    <w:p>
      <w:pPr>
        <w:spacing w:line="360" w:lineRule="auto" w:after="0"/>
        <w:ind w:hanging="720" w:left="720"/>
        <w:jc w:val="left"/>
      </w:pPr>
      <w:r>
        <w:rPr>
          <w:rFonts w:ascii="Times New Roman" w:hAnsi="Times New Roman" w:eastAsia="Times New Roman"/>
          <w:sz w:val="24"/>
        </w:rPr>
        <w:t>Belecina, R. R., &amp; Ocampo, J. M. (2018). Effecting change on students’ critical thinking in problem solving. EDUCARE: International Journal for Educational Studies, 10(2), 109–118. https://doi.org/10.2121/edu-ijes.v10i2.949.g860</w:t>
      </w:r>
    </w:p>
    <w:p>
      <w:pPr>
        <w:spacing w:line="360" w:lineRule="auto" w:after="0"/>
        <w:ind w:hanging="720" w:left="720"/>
        <w:jc w:val="left"/>
      </w:pPr>
      <w:r>
        <w:rPr>
          <w:rFonts w:ascii="Times New Roman" w:hAnsi="Times New Roman" w:eastAsia="Times New Roman"/>
          <w:sz w:val="24"/>
        </w:rPr>
        <w:t>Bernardo, A. B. I., Ganotice, F. A., &amp; King, R. B. (2015). Motivation gap and achievement gap between public and private high school students in the Philippines. The Asia-Pacific Education Researcher, 24(1), 657–667. https://doi.org/10.1007/s40299-014-0213-2</w:t>
      </w:r>
    </w:p>
    <w:p>
      <w:pPr>
        <w:spacing w:line="360" w:lineRule="auto" w:after="0"/>
        <w:ind w:hanging="720" w:left="720"/>
        <w:jc w:val="left"/>
      </w:pPr>
      <w:r>
        <w:rPr>
          <w:rFonts w:ascii="Times New Roman" w:hAnsi="Times New Roman" w:eastAsia="Times New Roman"/>
          <w:sz w:val="24"/>
        </w:rPr>
        <w:t>Boholano, H. B. (2017). Smart social networking: 21st century teaching and learning skills. Research in Pedagogy, 7(2), 135–152. https://doi.org/10.17810/2015.45</w:t>
      </w:r>
    </w:p>
    <w:p>
      <w:pPr>
        <w:spacing w:line="360" w:lineRule="auto" w:after="0"/>
        <w:ind w:hanging="720" w:left="720"/>
        <w:jc w:val="left"/>
      </w:pPr>
      <w:r>
        <w:rPr>
          <w:rFonts w:ascii="Times New Roman" w:hAnsi="Times New Roman" w:eastAsia="Times New Roman"/>
          <w:sz w:val="24"/>
        </w:rPr>
        <w:t>Bransford, J. D., Brown, A. L., &amp; Cocking, R. R. (Eds.). (2000). How people learn: Brain, mind, experience, and school. National Academy Press. https://doi.org/10.17226/9853</w:t>
      </w:r>
    </w:p>
    <w:p>
      <w:pPr>
        <w:spacing w:line="360" w:lineRule="auto" w:after="0"/>
        <w:ind w:hanging="720" w:left="720"/>
        <w:jc w:val="left"/>
      </w:pPr>
      <w:r>
        <w:rPr>
          <w:rFonts w:ascii="Times New Roman" w:hAnsi="Times New Roman" w:eastAsia="Times New Roman"/>
          <w:sz w:val="24"/>
        </w:rPr>
        <w:t>Buenaflor, C., &amp; Kim, H.-C. (2013). Six human factors to acceptability of wearable computers. International Journal of Multimedia and Ubiquitous Engineering, 8(3), 103–114</w:t>
      </w:r>
    </w:p>
    <w:p>
      <w:pPr>
        <w:spacing w:line="360" w:lineRule="auto" w:after="0"/>
        <w:ind w:hanging="720" w:left="720"/>
        <w:jc w:val="left"/>
      </w:pPr>
      <w:r>
        <w:rPr>
          <w:rFonts w:ascii="Times New Roman" w:hAnsi="Times New Roman" w:eastAsia="Times New Roman"/>
          <w:sz w:val="24"/>
        </w:rPr>
        <w:t>Cabauatan, R. Q., Uy, C., &amp; Ugaddan, R. (2017). Examining student attrition and retention factors in Philippine higher education. Philippine Journal of Science, 146(2), 123–131. https://philjournalsci.dost.gov.ph</w:t>
      </w:r>
    </w:p>
    <w:p>
      <w:pPr>
        <w:spacing w:line="360" w:lineRule="auto" w:after="0"/>
        <w:ind w:hanging="720" w:left="720"/>
        <w:jc w:val="left"/>
      </w:pPr>
      <w:r>
        <w:rPr>
          <w:rFonts w:ascii="Times New Roman" w:hAnsi="Times New Roman" w:eastAsia="Times New Roman"/>
          <w:sz w:val="24"/>
        </w:rPr>
        <w:t>Camiling, M. K. (2019). Peer tutoring’s effect on academic performance of engineering students. International Journal of Humanities and Social Science Research, 5(3), 16–24</w:t>
      </w:r>
    </w:p>
    <w:p>
      <w:pPr>
        <w:spacing w:line="360" w:lineRule="auto" w:after="0"/>
        <w:ind w:hanging="720" w:left="720"/>
        <w:jc w:val="left"/>
      </w:pPr>
      <w:r>
        <w:rPr>
          <w:rFonts w:ascii="Times New Roman" w:hAnsi="Times New Roman" w:eastAsia="Times New Roman"/>
          <w:sz w:val="24"/>
        </w:rPr>
        <w:t>Commission on Higher Education. (2012). CMO No. 46, s. 2012: Policy-standard to enhance quality assurance in Philippine higher education. https://ched.gov.ph/cmo-46-s-2012/</w:t>
      </w:r>
    </w:p>
    <w:p>
      <w:pPr>
        <w:spacing w:line="360" w:lineRule="auto" w:after="0"/>
        <w:ind w:hanging="720" w:left="720"/>
        <w:jc w:val="left"/>
      </w:pPr>
      <w:r>
        <w:rPr>
          <w:rFonts w:ascii="Times New Roman" w:hAnsi="Times New Roman" w:eastAsia="Times New Roman"/>
          <w:sz w:val="24"/>
        </w:rPr>
        <w:t>Dabbagh, N., &amp; Kitsantas, A. (2012). Personal learning environments, social media, and self-regulated learning: A natural formula for connecting formal and informal learning. The Internet and Higher Education, 15(1), 3–8. https://doi.org/10.1016/j.iheduc.2011.06.002</w:t>
      </w:r>
    </w:p>
    <w:p>
      <w:pPr>
        <w:spacing w:line="360" w:lineRule="auto" w:after="0"/>
        <w:ind w:hanging="720" w:left="720"/>
        <w:jc w:val="left"/>
      </w:pPr>
      <w:r>
        <w:rPr>
          <w:rFonts w:ascii="Times New Roman" w:hAnsi="Times New Roman" w:eastAsia="Times New Roman"/>
          <w:sz w:val="24"/>
        </w:rPr>
        <w:t>David, C. C., &amp; Albert, J. R. G. (2012). Mobile phone and internet use in the Philippines. Philippine Institute for Development Studies Discussion Paper No. 2012-39. https://www.pids.gov.ph</w:t>
      </w:r>
    </w:p>
    <w:p>
      <w:pPr>
        <w:spacing w:line="360" w:lineRule="auto" w:after="0"/>
        <w:ind w:hanging="720" w:left="720"/>
        <w:jc w:val="left"/>
      </w:pPr>
      <w:r>
        <w:rPr>
          <w:rFonts w:ascii="Times New Roman" w:hAnsi="Times New Roman" w:eastAsia="Times New Roman"/>
          <w:sz w:val="24"/>
        </w:rPr>
        <w:t>Dillenbourg, P. (1999). What do you mean by collaborative learning? In P. Dillenbourg (Ed.), Collaborative-learning: Cognitive and computational approaches (pp. 1–19). Elsevier. https://telearn.archives-ouvertes.fr/hal-00190240</w:t>
      </w:r>
    </w:p>
    <w:p>
      <w:pPr>
        <w:spacing w:line="360" w:lineRule="auto" w:after="0"/>
        <w:ind w:hanging="720" w:left="720"/>
        <w:jc w:val="left"/>
      </w:pPr>
      <w:r>
        <w:rPr>
          <w:rFonts w:ascii="Times New Roman" w:hAnsi="Times New Roman" w:eastAsia="Times New Roman"/>
          <w:sz w:val="24"/>
        </w:rPr>
        <w:t>Garrison, D. R., &amp; Vaughan, N. D. (2008). Blended learning in higher education: Framework, principles, and guidelines. Jossey-Bass. https://doi.org/10.1002/9781118269558</w:t>
      </w:r>
    </w:p>
    <w:p>
      <w:pPr>
        <w:spacing w:line="360" w:lineRule="auto" w:after="0"/>
        <w:ind w:hanging="720" w:left="720"/>
        <w:jc w:val="left"/>
      </w:pPr>
      <w:r>
        <w:rPr>
          <w:rFonts w:ascii="Times New Roman" w:hAnsi="Times New Roman" w:eastAsia="Times New Roman"/>
          <w:sz w:val="24"/>
        </w:rPr>
        <w:t>Greenhow, C., &amp; Lewin, C. (2016). Social media and education: Reconceptualizing the boundaries of formal and informal learning. Learning, Media and Technology, 41(1), 6–30. https://doi.org/10.1080/17439884.2015.1064954</w:t>
      </w:r>
    </w:p>
    <w:p>
      <w:pPr>
        <w:spacing w:line="360" w:lineRule="auto" w:after="0"/>
        <w:ind w:hanging="720" w:left="720"/>
        <w:jc w:val="left"/>
      </w:pPr>
      <w:r>
        <w:rPr>
          <w:rFonts w:ascii="Times New Roman" w:hAnsi="Times New Roman" w:eastAsia="Times New Roman"/>
          <w:sz w:val="24"/>
        </w:rPr>
        <w:t>ISO/IEC. (2011). ISO/IEC 25010:2011 Systems and software engineering—Systems and software quality requirements and evaluation (SQuaRE)—System and software quality models. https://www.iso.org/standard/35733.html</w:t>
      </w:r>
    </w:p>
    <w:p>
      <w:pPr>
        <w:spacing w:line="360" w:lineRule="auto" w:after="0"/>
        <w:ind w:hanging="720" w:left="720"/>
        <w:jc w:val="left"/>
      </w:pPr>
      <w:r>
        <w:rPr>
          <w:rFonts w:ascii="Times New Roman" w:hAnsi="Times New Roman" w:eastAsia="Times New Roman"/>
          <w:sz w:val="24"/>
        </w:rPr>
        <w:t>Johnson, D. W., Johnson, R. T., &amp; Smith, K. (2014). Cooperative learning: Improving university instruction by basing practice on validated theory. Journal on Excellence in College Teaching, 25(3&amp;4), 85–118. https://digitalcommons.hamline.edu/hse_all/267</w:t>
      </w:r>
    </w:p>
    <w:p>
      <w:pPr>
        <w:spacing w:line="360" w:lineRule="auto" w:after="0"/>
        <w:ind w:hanging="720" w:left="720"/>
        <w:jc w:val="left"/>
      </w:pPr>
      <w:r>
        <w:rPr>
          <w:rFonts w:ascii="Times New Roman" w:hAnsi="Times New Roman" w:eastAsia="Times New Roman"/>
          <w:sz w:val="24"/>
        </w:rPr>
        <w:t>Junco, R., Heiberger, G., &amp; Loken, E. (2011). The effect of Twitter on college student engagement and grades. Journal of Computer Assisted Learning, 27(2), 119–132. https://doi.org/10.1111/j.1365-2729.2010.00387.x</w:t>
      </w:r>
    </w:p>
    <w:p>
      <w:pPr>
        <w:spacing w:line="360" w:lineRule="auto" w:after="0"/>
        <w:ind w:hanging="720" w:left="720"/>
        <w:jc w:val="left"/>
      </w:pPr>
      <w:r>
        <w:rPr>
          <w:rFonts w:ascii="Times New Roman" w:hAnsi="Times New Roman" w:eastAsia="Times New Roman"/>
          <w:sz w:val="24"/>
        </w:rPr>
        <w:t>Lagman, A. C., Cenas, P. V., Dueas, J. S., &amp; Vea, L. A. (2021). Mobile application for learning programming concepts: Design and usability evaluation. International Journal of Advanced Computer Science and Applications, 12(4). https://doi.org/10.14569/IJACSA.2021.0120419</w:t>
      </w:r>
    </w:p>
    <w:p>
      <w:pPr>
        <w:spacing w:line="360" w:lineRule="auto" w:after="0"/>
        <w:ind w:hanging="720" w:left="720"/>
        <w:jc w:val="left"/>
      </w:pPr>
      <w:r>
        <w:rPr>
          <w:rFonts w:ascii="Times New Roman" w:hAnsi="Times New Roman" w:eastAsia="Times New Roman"/>
          <w:sz w:val="24"/>
        </w:rPr>
        <w:t>Lampe, C., Ellison, N., &amp; Steinfield, C. (2006). A face(book) in the crowd: Social searching vs. social browsing. Proceedings of the 2006 ACM Conference on Computer Supported Cooperative Work, 167–170. https://doi.org/10.1145/1180875.1180901</w:t>
      </w:r>
    </w:p>
    <w:p>
      <w:pPr>
        <w:spacing w:line="360" w:lineRule="auto" w:after="0"/>
        <w:ind w:hanging="720" w:left="720"/>
        <w:jc w:val="left"/>
      </w:pPr>
      <w:r>
        <w:rPr>
          <w:rFonts w:ascii="Times New Roman" w:hAnsi="Times New Roman" w:eastAsia="Times New Roman"/>
          <w:sz w:val="24"/>
        </w:rPr>
        <w:t>Lucido, P. I. (2016). Educational technology 1: Navigating the digital world (2nd ed.). Lorimar Publishing</w:t>
      </w:r>
    </w:p>
    <w:p>
      <w:pPr>
        <w:spacing w:line="360" w:lineRule="auto" w:after="0"/>
        <w:ind w:hanging="720" w:left="720"/>
        <w:jc w:val="left"/>
      </w:pPr>
      <w:r>
        <w:rPr>
          <w:rFonts w:ascii="Times New Roman" w:hAnsi="Times New Roman" w:eastAsia="Times New Roman"/>
          <w:sz w:val="24"/>
        </w:rPr>
        <w:t>National Economic and Development Authority. (2017). Philippine Development Plan 2017–2022. https://pdp.neda.gov.ph</w:t>
      </w:r>
    </w:p>
    <w:p>
      <w:pPr>
        <w:spacing w:line="360" w:lineRule="auto" w:after="0"/>
        <w:ind w:hanging="720" w:left="720"/>
        <w:jc w:val="left"/>
      </w:pPr>
      <w:r>
        <w:rPr>
          <w:rFonts w:ascii="Times New Roman" w:hAnsi="Times New Roman" w:eastAsia="Times New Roman"/>
          <w:sz w:val="24"/>
        </w:rPr>
        <w:t>Nicol, D. J., &amp; Macfarlane-Dick, D. (2006). Formative assessment and self-regulated learning: A model and seven principles of good feedback practice. Studies in Higher Education, 31(2), 199–218. https://doi.org/10.1080/03075070600572090</w:t>
      </w:r>
    </w:p>
    <w:p>
      <w:pPr>
        <w:spacing w:line="360" w:lineRule="auto" w:after="0"/>
        <w:ind w:hanging="720" w:left="720"/>
        <w:jc w:val="left"/>
      </w:pPr>
      <w:r>
        <w:rPr>
          <w:rFonts w:ascii="Times New Roman" w:hAnsi="Times New Roman" w:eastAsia="Times New Roman"/>
          <w:sz w:val="24"/>
        </w:rPr>
        <w:t>Ocampo, C. B. (2020). Mobile application development in Philippine academic settings: A review. Journal of Information Technology Education, 19, 389–407. https://doi.org/10.28945/4560</w:t>
      </w:r>
    </w:p>
    <w:p>
      <w:pPr>
        <w:spacing w:line="360" w:lineRule="auto" w:after="0"/>
        <w:ind w:hanging="720" w:left="720"/>
        <w:jc w:val="left"/>
      </w:pPr>
      <w:r>
        <w:rPr>
          <w:rFonts w:ascii="Times New Roman" w:hAnsi="Times New Roman" w:eastAsia="Times New Roman"/>
          <w:sz w:val="24"/>
        </w:rPr>
        <w:t>Pablos-Mendez, A., Chunharas, S., &amp; Ramirez, G. (2020). Knowledge translation in global health. Bulletin of the World Health Organization, 98(6). https://doi.org/10.2471/BLT.20.253583</w:t>
      </w:r>
    </w:p>
    <w:p>
      <w:pPr>
        <w:spacing w:line="360" w:lineRule="auto" w:after="0"/>
        <w:ind w:hanging="720" w:left="720"/>
        <w:jc w:val="left"/>
      </w:pPr>
      <w:r>
        <w:rPr>
          <w:rFonts w:ascii="Times New Roman" w:hAnsi="Times New Roman" w:eastAsia="Times New Roman"/>
          <w:sz w:val="24"/>
        </w:rPr>
        <w:t>Pimentel, J. R., &amp; de Guzman, A. B. (2018). Academic social networking preferences of Filipino university students. Journal of Information Technology Education, 17, 321–342. https://doi.org/10.28945/4069</w:t>
      </w:r>
    </w:p>
    <w:p>
      <w:pPr>
        <w:spacing w:line="360" w:lineRule="auto" w:after="0"/>
        <w:ind w:hanging="720" w:left="720"/>
        <w:jc w:val="left"/>
      </w:pPr>
      <w:r>
        <w:rPr>
          <w:rFonts w:ascii="Times New Roman" w:hAnsi="Times New Roman" w:eastAsia="Times New Roman"/>
          <w:sz w:val="24"/>
        </w:rPr>
        <w:t>Preece, J., Rogers, Y., &amp; Sharp, H. (2015). Interaction design: Beyond human-computer interaction (4th ed.). Wiley</w:t>
      </w:r>
    </w:p>
    <w:p>
      <w:pPr>
        <w:spacing w:line="360" w:lineRule="auto" w:after="0"/>
        <w:ind w:hanging="720" w:left="720"/>
        <w:jc w:val="left"/>
      </w:pPr>
      <w:r>
        <w:rPr>
          <w:rFonts w:ascii="Times New Roman" w:hAnsi="Times New Roman" w:eastAsia="Times New Roman"/>
          <w:sz w:val="24"/>
        </w:rPr>
        <w:t>Putnam, R. D. (2000). Bowling alone: The collapse and revival of American community. Simon &amp; Schuster. https://doi.org/10.1145/358916.361990</w:t>
      </w:r>
    </w:p>
    <w:p>
      <w:pPr>
        <w:spacing w:line="360" w:lineRule="auto" w:after="0"/>
        <w:ind w:hanging="720" w:left="720"/>
        <w:jc w:val="left"/>
      </w:pPr>
      <w:r>
        <w:rPr>
          <w:rFonts w:ascii="Times New Roman" w:hAnsi="Times New Roman" w:eastAsia="Times New Roman"/>
          <w:sz w:val="24"/>
        </w:rPr>
        <w:t>Rabacal, J. S., Oducado, R. M. F., &amp; Tamdang, K. A. (2020). COVID-19 pandemic’s effect on learning of nursing students: A qualitative study. Asian Journal of Health Sciences, 6(2), 22–28. https://doi.org/10.21315/eimj2020.12.s1.21</w:t>
      </w:r>
    </w:p>
    <w:p>
      <w:pPr>
        <w:spacing w:line="360" w:lineRule="auto" w:after="0"/>
        <w:ind w:hanging="720" w:left="720"/>
        <w:jc w:val="left"/>
      </w:pPr>
      <w:r>
        <w:rPr>
          <w:rFonts w:ascii="Times New Roman" w:hAnsi="Times New Roman" w:eastAsia="Times New Roman"/>
          <w:sz w:val="24"/>
        </w:rPr>
        <w:t>Reyes, J. A., Dimaculangan, N., &amp; Alcantara, R. (2019). Student support services in Mindanao state universities: A needs assessment. Journal of Educational Research and Evaluation, 3(1), 1–10</w:t>
      </w:r>
    </w:p>
    <w:p>
      <w:pPr>
        <w:spacing w:line="360" w:lineRule="auto" w:after="0"/>
        <w:ind w:hanging="720" w:left="720"/>
        <w:jc w:val="left"/>
      </w:pPr>
      <w:r>
        <w:rPr>
          <w:rFonts w:ascii="Times New Roman" w:hAnsi="Times New Roman" w:eastAsia="Times New Roman"/>
          <w:sz w:val="24"/>
        </w:rPr>
        <w:t>Rienties, B., &amp; Tempelaar, D. (2013). The role of cultural dimensions of students in academic performance and social connectedness. In Proceedings of the Third International Conference on Learning Analytics and Knowledge. https://doi.org/10.1145/2460296.2460305</w:t>
      </w:r>
    </w:p>
    <w:p>
      <w:pPr>
        <w:spacing w:line="360" w:lineRule="auto" w:after="0"/>
        <w:ind w:hanging="720" w:left="720"/>
        <w:jc w:val="left"/>
      </w:pPr>
      <w:r>
        <w:rPr>
          <w:rFonts w:ascii="Times New Roman" w:hAnsi="Times New Roman" w:eastAsia="Times New Roman"/>
          <w:sz w:val="24"/>
        </w:rPr>
        <w:t>Rodrigo, M. M. T. (2011). Dynamics of student cognitive-affective transitions during a mathematics game. Simulation &amp; Gaming, 42(1), 85–99. https://doi.org/10.1177/1046878110361513</w:t>
      </w:r>
    </w:p>
    <w:p>
      <w:pPr>
        <w:spacing w:line="360" w:lineRule="auto" w:after="0"/>
        <w:ind w:hanging="720" w:left="720"/>
        <w:jc w:val="left"/>
      </w:pPr>
      <w:r>
        <w:rPr>
          <w:rFonts w:ascii="Times New Roman" w:hAnsi="Times New Roman" w:eastAsia="Times New Roman"/>
          <w:sz w:val="24"/>
        </w:rPr>
        <w:t>Selwyn, N. (2012). Distrusting educational technology: Critical questions for changing times. Routledge. https://doi.org/10.4324/9780203383544</w:t>
      </w:r>
    </w:p>
    <w:p>
      <w:pPr>
        <w:spacing w:line="360" w:lineRule="auto" w:after="0"/>
        <w:ind w:hanging="720" w:left="720"/>
        <w:jc w:val="left"/>
      </w:pPr>
      <w:r>
        <w:rPr>
          <w:rFonts w:ascii="Times New Roman" w:hAnsi="Times New Roman" w:eastAsia="Times New Roman"/>
          <w:sz w:val="24"/>
        </w:rPr>
        <w:t>Stahl, G., Koschmann, T., &amp; Suthers, D. (2006). Computer-supported collaborative learning: An historical perspective. In R. K. Sawyer (Ed.), Cambridge handbook of the learning sciences (pp. 409–426). Cambridge University Press. https://gerrystahl.net/cscl/CSCL_English.pdf</w:t>
      </w:r>
    </w:p>
    <w:p>
      <w:pPr>
        <w:spacing w:line="360" w:lineRule="auto" w:after="0"/>
        <w:ind w:hanging="720" w:left="720"/>
        <w:jc w:val="left"/>
      </w:pPr>
      <w:r>
        <w:rPr>
          <w:rFonts w:ascii="Times New Roman" w:hAnsi="Times New Roman" w:eastAsia="Times New Roman"/>
          <w:sz w:val="24"/>
        </w:rPr>
        <w:t>Suthers, D. D., &amp; Hundhausen, C. D. (2003). An experimental study of the effects of representational guidance on collaborative learning processes. Journal of the Learning Sciences, 12(2), 183–218. https://doi.org/10.1207/S15327809JLS1202_2</w:t>
      </w:r>
    </w:p>
    <w:p>
      <w:pPr>
        <w:spacing w:line="360" w:lineRule="auto" w:after="0"/>
        <w:ind w:hanging="720" w:left="720"/>
        <w:jc w:val="left"/>
      </w:pPr>
      <w:r>
        <w:rPr>
          <w:rFonts w:ascii="Times New Roman" w:hAnsi="Times New Roman" w:eastAsia="Times New Roman"/>
          <w:sz w:val="24"/>
        </w:rPr>
        <w:t>Topping, K. J. (2005). Trends in peer learning. Educational Psychology, 25(6), 631–645. https://doi.org/10.1080/01443410500345172</w:t>
      </w:r>
    </w:p>
    <w:p>
      <w:pPr>
        <w:spacing w:line="360" w:lineRule="auto" w:after="0"/>
        <w:ind w:hanging="720" w:left="720"/>
        <w:jc w:val="left"/>
      </w:pPr>
      <w:r>
        <w:rPr>
          <w:rFonts w:ascii="Times New Roman" w:hAnsi="Times New Roman" w:eastAsia="Times New Roman"/>
          <w:sz w:val="24"/>
        </w:rPr>
        <w:t>Toquero, C. M. (2020). Challenges and opportunities for higher education amid the COVID-19 pandemic: The Philippine context. Pedagogical Research, 5(4), em0063. https://doi.org/10.29333/pr/7947</w:t>
      </w:r>
    </w:p>
    <w:p>
      <w:pPr>
        <w:spacing w:line="360" w:lineRule="auto" w:after="0"/>
        <w:ind w:hanging="720" w:left="720"/>
        <w:jc w:val="left"/>
      </w:pPr>
      <w:r>
        <w:rPr>
          <w:rFonts w:ascii="Times New Roman" w:hAnsi="Times New Roman" w:eastAsia="Times New Roman"/>
          <w:sz w:val="24"/>
        </w:rPr>
        <w:t>Verbert, K., Duval, E., Klerkx, J., Govaerts, S., &amp; Santos, J. L. (2014). Learning analytics dashboard applications. American Behavioral Scientist, 57(10), 1500–1509. https://doi.org/10.1177/0002764213479363</w:t>
      </w:r>
    </w:p>
    <w:p>
      <w:pPr>
        <w:spacing w:line="360" w:lineRule="auto" w:after="0"/>
        <w:ind w:hanging="720" w:left="720"/>
        <w:jc w:val="left"/>
      </w:pPr>
      <w:r>
        <w:rPr>
          <w:rFonts w:ascii="Times New Roman" w:hAnsi="Times New Roman" w:eastAsia="Times New Roman"/>
          <w:sz w:val="24"/>
        </w:rPr>
        <w:t>Vygotsky, L. S. (1978). Mind in society: The development of higher psychological processes. Harvard University Press</w:t>
      </w:r>
    </w:p>
    <w:p>
      <w:pPr>
        <w:spacing w:line="360" w:lineRule="auto" w:after="0"/>
        <w:ind w:hanging="720" w:left="720"/>
        <w:jc w:val="left"/>
      </w:pPr>
      <w:r>
        <w:rPr>
          <w:rFonts w:ascii="Times New Roman" w:hAnsi="Times New Roman" w:eastAsia="Times New Roman"/>
          <w:sz w:val="24"/>
        </w:rPr>
        <w:t>Zimmerman, B. J. (2002). Becoming a self-regulated learner: An overview. Theory Into Practice, 41(2), 64–70. https://doi.org/10.1207/s15430421tip4102_2</w:t>
      </w:r>
    </w:p>
    <w:p>
      <w:pPr>
        <w:keepNext/>
        <w:spacing w:line="360" w:lineRule="auto" w:before="160" w:after="80"/>
        <w:ind w:firstLine="0"/>
        <w:jc w:val="left"/>
      </w:pPr>
      <w:r>
        <w:rPr>
          <w:rFonts w:ascii="Times New Roman" w:hAnsi="Times New Roman" w:eastAsia="Times New Roman"/>
          <w:b/>
          <w:sz w:val="24"/>
        </w:rPr>
        <w:t>APPENDIX A. MERMAID DIAGRAM SOURCE</w:t>
      </w:r>
    </w:p>
    <w:p>
      <w:pPr>
        <w:spacing w:line="360" w:lineRule="auto" w:after="0"/>
        <w:ind w:firstLine="720"/>
        <w:jc w:val="both"/>
      </w:pPr>
      <w:r>
        <w:rPr>
          <w:rFonts w:ascii="Times New Roman" w:hAnsi="Times New Roman" w:eastAsia="Times New Roman"/>
          <w:b w:val="0"/>
          <w:sz w:val="24"/>
        </w:rPr>
        <w:t>The following diagrams are supplied as editable Mermaid source code, as requested. The same source is also available in the companion Markdown file.</w:t>
      </w:r>
    </w:p>
    <w:p>
      <w:pPr>
        <w:keepNext/>
        <w:spacing w:line="360" w:lineRule="auto" w:before="120" w:after="60"/>
        <w:ind w:firstLine="0"/>
        <w:jc w:val="left"/>
      </w:pPr>
      <w:r>
        <w:rPr>
          <w:rFonts w:ascii="Times New Roman" w:hAnsi="Times New Roman" w:eastAsia="Times New Roman"/>
          <w:b/>
          <w:sz w:val="24"/>
        </w:rPr>
        <w:t>Figure A1. 1. System Architecture</w:t>
      </w:r>
    </w:p>
    <w:p>
      <w:pPr>
        <w:spacing w:line="240" w:lineRule="auto"/>
        <w:ind w:firstLine="0" w:left="360"/>
      </w:pPr>
      <w:r>
        <w:rPr>
          <w:rFonts w:ascii="Courier New" w:hAnsi="Courier New" w:eastAsia="Courier New"/>
          <w:sz w:val="18"/>
        </w:rPr>
        <w:t>```mermaid</w:t>
        <w:br/>
        <w:t>flowchart LR</w:t>
        <w:br/>
        <w:t xml:space="preserve">    Student["Student&lt;br/&gt;Android / iOS"]</w:t>
        <w:br/>
        <w:t xml:space="preserve">    Admin["Administrator&lt;br/&gt;Separate web dashboard"]</w:t>
        <w:br/>
        <w:t xml:space="preserve">    App["MatchLearn mobile client&lt;br/&gt;Expo + React Native"]</w:t>
        <w:br/>
        <w:t xml:space="preserve">    Google["Google Sign-In"]</w:t>
        <w:br/>
        <w:t xml:space="preserve">    API["Laravel 12 REST API&lt;br/&gt;/api/v1"]</w:t>
        <w:br/>
        <w:t xml:space="preserve">    Auth["Google ID-token verification&lt;br/&gt;Institutional email check&lt;br/&gt;Sanctum access tokens"]</w:t>
        <w:br/>
        <w:t xml:space="preserve">    Services["Profile, matching, buddy,&lt;br/&gt;group, messaging, session,&lt;br/&gt;review, report and notification services"]</w:t>
        <w:br/>
        <w:t xml:space="preserve">    DB[("PostgreSQL&lt;br/&gt;Render deployment")]</w:t>
        <w:br/>
        <w:br/>
        <w:t xml:space="preserve">    Student --&gt; App</w:t>
        <w:br/>
        <w:t xml:space="preserve">    App &lt;--&gt; Google</w:t>
        <w:br/>
        <w:t xml:space="preserve">    App &lt;--&gt;|"HTTPS JSON API"| API</w:t>
        <w:br/>
        <w:t xml:space="preserve">    Admin &lt;--&gt;|"Admin API"| API</w:t>
        <w:br/>
        <w:t xml:space="preserve">    API --&gt; Auth</w:t>
        <w:br/>
        <w:t xml:space="preserve">    API --&gt; Services</w:t>
        <w:br/>
        <w:t xml:space="preserve">    Auth &lt;--&gt; DB</w:t>
        <w:br/>
        <w:t xml:space="preserve">    Services &lt;--&gt; DB</w:t>
        <w:br/>
        <w:t>```</w:t>
      </w:r>
    </w:p>
    <w:p>
      <w:pPr>
        <w:keepNext/>
        <w:spacing w:line="360" w:lineRule="auto" w:before="120" w:after="60"/>
        <w:ind w:firstLine="0"/>
        <w:jc w:val="left"/>
      </w:pPr>
      <w:r>
        <w:rPr>
          <w:rFonts w:ascii="Times New Roman" w:hAnsi="Times New Roman" w:eastAsia="Times New Roman"/>
          <w:b/>
          <w:sz w:val="24"/>
        </w:rPr>
        <w:t>Figure A2. 2. Conceptual Framework (Input–Process–Output)</w:t>
      </w:r>
    </w:p>
    <w:p>
      <w:pPr>
        <w:spacing w:line="240" w:lineRule="auto"/>
        <w:ind w:firstLine="0" w:left="360"/>
      </w:pPr>
      <w:r>
        <w:rPr>
          <w:rFonts w:ascii="Courier New" w:hAnsi="Courier New" w:eastAsia="Courier New"/>
          <w:sz w:val="18"/>
        </w:rPr>
        <w:t>```mermaid</w:t>
        <w:br/>
        <w:t>flowchart LR</w:t>
        <w:br/>
        <w:t xml:space="preserve">    subgraph INPUT["Input"]</w:t>
        <w:br/>
        <w:t xml:space="preserve">        ID["Google identity token&lt;br/&gt;SSCT or SNSU email"]</w:t>
        <w:br/>
        <w:t xml:space="preserve">        PROFILE["Student profile&lt;br/&gt;program, year, courses"]</w:t>
        <w:br/>
        <w:t xml:space="preserve">        PREFERENCES["Study preferences&lt;br/&gt;learning style, study mode,&lt;br/&gt;academic strengths and needs,&lt;br/&gt;availability"]</w:t>
        <w:br/>
        <w:t xml:space="preserve">        ACTIONS["Student actions&lt;br/&gt;discover, request, message,&lt;br/&gt;create groups and sessions"]</w:t>
        <w:br/>
        <w:t xml:space="preserve">    end</w:t>
        <w:br/>
        <w:br/>
        <w:t xml:space="preserve">    subgraph PROCESS["Process"]</w:t>
        <w:br/>
        <w:t xml:space="preserve">        AUTH["Verify Google token&lt;br/&gt;and institutional domain"]</w:t>
        <w:br/>
        <w:t xml:space="preserve">        APP["MatchLearn mobile client&lt;br/&gt;Expo + React Native"]</w:t>
        <w:br/>
        <w:t xml:space="preserve">        API["Authenticated Laravel API&lt;br/&gt;Sanctum-protected routes"]</w:t>
        <w:br/>
        <w:t xml:space="preserve">        MATCH["Weighted compatibility&lt;br/&gt;scoring and ranking"]</w:t>
        <w:br/>
        <w:t xml:space="preserve">        COLLAB["Buddy, group, messaging,&lt;br/&gt;session and review workflows"]</w:t>
        <w:br/>
        <w:t xml:space="preserve">        DATA[("PostgreSQL data store")]</w:t>
        <w:br/>
        <w:t xml:space="preserve">    end</w:t>
        <w:br/>
        <w:br/>
        <w:t xml:space="preserve">    subgraph OUTPUT["System outputs"]</w:t>
        <w:br/>
        <w:t xml:space="preserve">        RECOMMEND["Ranked study-buddy&lt;br/&gt;recommendations"]</w:t>
        <w:br/>
        <w:t xml:space="preserve">        CONNECTION["Buddy connections&lt;br/&gt;and study groups"]</w:t>
        <w:br/>
        <w:t xml:space="preserve">        COORDINATION["Direct/group messages&lt;br/&gt;and scheduled sessions"]</w:t>
        <w:br/>
        <w:t xml:space="preserve">        ACTIVITY["In-app notifications&lt;br/&gt;and review information"]</w:t>
        <w:br/>
        <w:t xml:space="preserve">    end</w:t>
        <w:br/>
        <w:br/>
        <w:t xml:space="preserve">    ID --&gt; AUTH</w:t>
        <w:br/>
        <w:t xml:space="preserve">    PROFILE --&gt; APP</w:t>
        <w:br/>
        <w:t xml:space="preserve">    PREFERENCES --&gt; APP</w:t>
        <w:br/>
        <w:t xml:space="preserve">    ACTIONS --&gt; APP</w:t>
        <w:br/>
        <w:t xml:space="preserve">    AUTH --&gt; API</w:t>
        <w:br/>
        <w:t xml:space="preserve">    APP &lt;--&gt; API</w:t>
        <w:br/>
        <w:t xml:space="preserve">    API &lt;--&gt; MATCH</w:t>
        <w:br/>
        <w:t xml:space="preserve">    API &lt;--&gt; COLLAB</w:t>
        <w:br/>
        <w:t xml:space="preserve">    MATCH &lt;--&gt; DATA</w:t>
        <w:br/>
        <w:t xml:space="preserve">    COLLAB &lt;--&gt; DATA</w:t>
        <w:br/>
        <w:t xml:space="preserve">    MATCH --&gt; RECOMMEND</w:t>
        <w:br/>
        <w:t xml:space="preserve">    COLLAB --&gt; CONNECTION</w:t>
        <w:br/>
        <w:t xml:space="preserve">    COLLAB --&gt; COORDINATION</w:t>
        <w:br/>
        <w:t xml:space="preserve">    COLLAB --&gt; ACTIVITY</w:t>
        <w:br/>
        <w:t xml:space="preserve">    RECOMMEND --&gt; APP</w:t>
        <w:br/>
        <w:t xml:space="preserve">    CONNECTION --&gt; APP</w:t>
        <w:br/>
        <w:t xml:space="preserve">    COORDINATION --&gt; APP</w:t>
        <w:br/>
        <w:t xml:space="preserve">    ACTIVITY --&gt; APP</w:t>
        <w:br/>
        <w:t>```</w:t>
      </w:r>
    </w:p>
    <w:p>
      <w:pPr>
        <w:keepNext/>
        <w:spacing w:line="360" w:lineRule="auto" w:before="120" w:after="60"/>
        <w:ind w:firstLine="0"/>
        <w:jc w:val="left"/>
      </w:pPr>
      <w:r>
        <w:rPr>
          <w:rFonts w:ascii="Times New Roman" w:hAnsi="Times New Roman" w:eastAsia="Times New Roman"/>
          <w:b/>
          <w:sz w:val="24"/>
        </w:rPr>
        <w:t>Figure A3. 3. Use-Case Diagram</w:t>
      </w:r>
    </w:p>
    <w:p>
      <w:pPr>
        <w:spacing w:line="240" w:lineRule="auto"/>
        <w:ind w:firstLine="0" w:left="360"/>
      </w:pPr>
      <w:r>
        <w:rPr>
          <w:rFonts w:ascii="Courier New" w:hAnsi="Courier New" w:eastAsia="Courier New"/>
          <w:sz w:val="18"/>
        </w:rPr>
        <w:t>```mermaid</w:t>
        <w:br/>
        <w:t>flowchart LR</w:t>
        <w:br/>
        <w:t xml:space="preserve">    Student["Student"]</w:t>
        <w:br/>
        <w:t xml:space="preserve">    Admin["Administrator"]</w:t>
        <w:br/>
        <w:br/>
        <w:t xml:space="preserve">    subgraph Mobile["MatchLearn mobile application"]</w:t>
        <w:br/>
        <w:t xml:space="preserve">        LOGIN["Sign in or create account&lt;br/&gt;with Google"]</w:t>
        <w:br/>
        <w:t xml:space="preserve">        PROFILE["Create and edit&lt;br/&gt;study profile"]</w:t>
        <w:br/>
        <w:t xml:space="preserve">        DISCOVER["Discover and refresh&lt;br/&gt;buddy matches"]</w:t>
        <w:br/>
        <w:t xml:space="preserve">        BUDDY["Send and respond to&lt;br/&gt;buddy requests"]</w:t>
        <w:br/>
        <w:t xml:space="preserve">        GROUP["Discover, create and manage&lt;br/&gt;study groups and join requests"]</w:t>
        <w:br/>
        <w:t xml:space="preserve">        MESSAGE["Send direct and&lt;br/&gt;group messages"]</w:t>
        <w:br/>
        <w:t xml:space="preserve">        SESSION["Schedule and manage&lt;br/&gt;study sessions"]</w:t>
        <w:br/>
        <w:t xml:space="preserve">        NOTIFY["View and mark&lt;br/&gt;notifications"]</w:t>
        <w:br/>
        <w:t xml:space="preserve">        REVIEW["Submit and view&lt;br/&gt;reviews"]</w:t>
        <w:br/>
        <w:t xml:space="preserve">        REPORT["Submit user reports"]</w:t>
        <w:br/>
        <w:t xml:space="preserve">        ACCOUNT["Manage account&lt;br/&gt;and sign out"]</w:t>
        <w:br/>
        <w:t xml:space="preserve">    end</w:t>
        <w:br/>
        <w:br/>
        <w:t xml:space="preserve">    subgraph AdminWeb["Separate administrator web dashboard"]</w:t>
        <w:br/>
        <w:t xml:space="preserve">        USERS["Manage account status"]</w:t>
        <w:br/>
        <w:t xml:space="preserve">        REPORTS["Review user reports"]</w:t>
        <w:br/>
        <w:t xml:space="preserve">        WEIGHTS["Manage match weights"]</w:t>
        <w:br/>
        <w:t xml:space="preserve">    end</w:t>
        <w:br/>
        <w:br/>
        <w:t xml:space="preserve">    Student --&gt; LOGIN</w:t>
        <w:br/>
        <w:t xml:space="preserve">    Student --&gt; PROFILE</w:t>
        <w:br/>
        <w:t xml:space="preserve">    Student --&gt; DISCOVER</w:t>
        <w:br/>
        <w:t xml:space="preserve">    Student --&gt; BUDDY</w:t>
        <w:br/>
        <w:t xml:space="preserve">    Student --&gt; GROUP</w:t>
        <w:br/>
        <w:t xml:space="preserve">    Student --&gt; MESSAGE</w:t>
        <w:br/>
        <w:t xml:space="preserve">    Student --&gt; SESSION</w:t>
        <w:br/>
        <w:t xml:space="preserve">    Student --&gt; NOTIFY</w:t>
        <w:br/>
        <w:t xml:space="preserve">    Student --&gt; REVIEW</w:t>
        <w:br/>
        <w:t xml:space="preserve">    Student --&gt; REPORT</w:t>
        <w:br/>
        <w:t xml:space="preserve">    Student --&gt; ACCOUNT</w:t>
        <w:br/>
        <w:t xml:space="preserve">    Admin --&gt; USERS</w:t>
        <w:br/>
        <w:t xml:space="preserve">    Admin --&gt; REPORTS</w:t>
        <w:br/>
        <w:t xml:space="preserve">    Admin --&gt; WEIGHTS</w:t>
        <w:br/>
        <w:t>```</w:t>
      </w:r>
    </w:p>
    <w:p>
      <w:pPr>
        <w:keepNext/>
        <w:spacing w:line="360" w:lineRule="auto" w:before="120" w:after="60"/>
        <w:ind w:firstLine="0"/>
        <w:jc w:val="left"/>
      </w:pPr>
      <w:r>
        <w:rPr>
          <w:rFonts w:ascii="Times New Roman" w:hAnsi="Times New Roman" w:eastAsia="Times New Roman"/>
          <w:b/>
          <w:sz w:val="24"/>
        </w:rPr>
        <w:t>Figure A4. 4. Conceptual Domain Class Diagram</w:t>
      </w:r>
    </w:p>
    <w:p>
      <w:pPr>
        <w:spacing w:line="240" w:lineRule="auto"/>
        <w:ind w:firstLine="0" w:left="360"/>
      </w:pPr>
      <w:r>
        <w:rPr>
          <w:rFonts w:ascii="Courier New" w:hAnsi="Courier New" w:eastAsia="Courier New"/>
          <w:sz w:val="18"/>
        </w:rPr>
        <w:t>```mermaid</w:t>
        <w:br/>
        <w:t>classDiagram</w:t>
        <w:br/>
        <w:t xml:space="preserve">    class User {</w:t>
        <w:br/>
        <w:t xml:space="preserve">        +id</w:t>
        <w:br/>
        <w:t xml:space="preserve">        +name</w:t>
        <w:br/>
        <w:t xml:space="preserve">        +email</w:t>
        <w:br/>
        <w:t xml:space="preserve">        +isAdmin</w:t>
        <w:br/>
        <w:t xml:space="preserve">        +isSuspended</w:t>
        <w:br/>
        <w:t xml:space="preserve">    }</w:t>
        <w:br/>
        <w:t xml:space="preserve">    class Profile {</w:t>
        <w:br/>
        <w:t xml:space="preserve">        +institution</w:t>
        <w:br/>
        <w:t xml:space="preserve">        +program</w:t>
        <w:br/>
        <w:t xml:space="preserve">        +yearLevel</w:t>
        <w:br/>
        <w:t xml:space="preserve">        +learningStyle</w:t>
        <w:br/>
        <w:t xml:space="preserve">        +studyMode</w:t>
        <w:br/>
        <w:t xml:space="preserve">        +academicStrengths</w:t>
        <w:br/>
        <w:t xml:space="preserve">        +academicNeeds</w:t>
        <w:br/>
        <w:t xml:space="preserve">    }</w:t>
        <w:br/>
        <w:t xml:space="preserve">    class StudyMatch {</w:t>
        <w:br/>
        <w:t xml:space="preserve">        +compatibilityScore</w:t>
        <w:br/>
        <w:t xml:space="preserve">        +sharedCourseCount</w:t>
        <w:br/>
        <w:t xml:space="preserve">        +reasons</w:t>
        <w:br/>
        <w:t xml:space="preserve">    }</w:t>
        <w:br/>
        <w:t xml:space="preserve">    class BuddyRequest {</w:t>
        <w:br/>
        <w:t xml:space="preserve">        +status</w:t>
        <w:br/>
        <w:t xml:space="preserve">        +requesterId</w:t>
        <w:br/>
        <w:t xml:space="preserve">        +recipientId</w:t>
        <w:br/>
        <w:t xml:space="preserve">    }</w:t>
        <w:br/>
        <w:t xml:space="preserve">    class StudyGroup {</w:t>
        <w:br/>
        <w:t xml:space="preserve">        +name</w:t>
        <w:br/>
        <w:t xml:space="preserve">        +course</w:t>
        <w:br/>
        <w:t xml:space="preserve">        +schedule</w:t>
        <w:br/>
        <w:t xml:space="preserve">        +studyMode</w:t>
        <w:br/>
        <w:t xml:space="preserve">    }</w:t>
        <w:br/>
        <w:t xml:space="preserve">    class GroupJoinRequest {</w:t>
        <w:br/>
        <w:t xml:space="preserve">        +status</w:t>
        <w:br/>
        <w:t xml:space="preserve">    }</w:t>
        <w:br/>
        <w:t xml:space="preserve">    class StudySession {</w:t>
        <w:br/>
        <w:t xml:space="preserve">        +topic</w:t>
        <w:br/>
        <w:t xml:space="preserve">        +startsAt</w:t>
        <w:br/>
        <w:t xml:space="preserve">        +endsAt</w:t>
        <w:br/>
        <w:t xml:space="preserve">        +location</w:t>
        <w:br/>
        <w:t xml:space="preserve">        +status</w:t>
        <w:br/>
        <w:t xml:space="preserve">    }</w:t>
        <w:br/>
        <w:t xml:space="preserve">    class DirectConversation {</w:t>
        <w:br/>
        <w:t xml:space="preserve">        +userOneId</w:t>
        <w:br/>
        <w:t xml:space="preserve">        +userTwoId</w:t>
        <w:br/>
        <w:t xml:space="preserve">    }</w:t>
        <w:br/>
        <w:t xml:space="preserve">    class StudyMessage {</w:t>
        <w:br/>
        <w:t xml:space="preserve">        +content</w:t>
        <w:br/>
        <w:t xml:space="preserve">        +createdAt</w:t>
        <w:br/>
        <w:t xml:space="preserve">    }</w:t>
        <w:br/>
        <w:t xml:space="preserve">    class ActivityNotification {</w:t>
        <w:br/>
        <w:t xml:space="preserve">        +type</w:t>
        <w:br/>
        <w:t xml:space="preserve">        +readAt</w:t>
        <w:br/>
        <w:t xml:space="preserve">    }</w:t>
        <w:br/>
        <w:t xml:space="preserve">    class Review {</w:t>
        <w:br/>
        <w:t xml:space="preserve">        +rating</w:t>
        <w:br/>
        <w:t xml:space="preserve">        +comment</w:t>
        <w:br/>
        <w:t xml:space="preserve">    }</w:t>
        <w:br/>
        <w:t xml:space="preserve">    class UserReport {</w:t>
        <w:br/>
        <w:t xml:space="preserve">        +reasons</w:t>
        <w:br/>
        <w:t xml:space="preserve">        +status</w:t>
        <w:br/>
        <w:t xml:space="preserve">    }</w:t>
        <w:br/>
        <w:br/>
        <w:t xml:space="preserve">    User "1" --&gt; "0..1" Profile : owns</w:t>
        <w:br/>
        <w:t xml:space="preserve">    User "1" --&gt; "0..*" StudyMatch : receives</w:t>
        <w:br/>
        <w:t xml:space="preserve">    StudyMatch "*" --&gt; "1" User : recommends</w:t>
        <w:br/>
        <w:t xml:space="preserve">    User "1" --&gt; "0..*" BuddyRequest : sends or receives</w:t>
        <w:br/>
        <w:t xml:space="preserve">    User "*" -- "*" StudyGroup : membership</w:t>
        <w:br/>
        <w:t xml:space="preserve">    StudyGroup "1" --&gt; "0..*" GroupJoinRequest : receives</w:t>
        <w:br/>
        <w:t xml:space="preserve">    User "1" --&gt; "0..*" StudySession : hosts or joins</w:t>
        <w:br/>
        <w:t xml:space="preserve">    DirectConversation "1" --&gt; "0..*" StudyMessage : contains</w:t>
        <w:br/>
        <w:t xml:space="preserve">    StudyGroup "1" --&gt; "0..*" StudyMessage : contains</w:t>
        <w:br/>
        <w:t xml:space="preserve">    User "1" --&gt; "0..*" StudyMessage : sends</w:t>
        <w:br/>
        <w:t xml:space="preserve">    User "1" --&gt; "0..*" ActivityNotification : receives</w:t>
        <w:br/>
        <w:t xml:space="preserve">    User "1" --&gt; "0..*" Review : writes</w:t>
        <w:br/>
        <w:t xml:space="preserve">    User "1" --&gt; "0..*" UserReport : submits</w:t>
        <w:br/>
        <w:t>```</w:t>
      </w:r>
    </w:p>
    <w:p>
      <w:pPr>
        <w:keepNext/>
        <w:spacing w:line="360" w:lineRule="auto" w:before="120" w:after="60"/>
        <w:ind w:firstLine="0"/>
        <w:jc w:val="left"/>
      </w:pPr>
      <w:r>
        <w:rPr>
          <w:rFonts w:ascii="Times New Roman" w:hAnsi="Times New Roman" w:eastAsia="Times New Roman"/>
          <w:b/>
          <w:sz w:val="24"/>
        </w:rPr>
        <w:t>Figure A5. 5. Google Sign-In and Account Creation</w:t>
      </w:r>
    </w:p>
    <w:p>
      <w:pPr>
        <w:spacing w:line="240" w:lineRule="auto"/>
        <w:ind w:firstLine="0" w:left="360"/>
      </w:pPr>
      <w:r>
        <w:rPr>
          <w:rFonts w:ascii="Courier New" w:hAnsi="Courier New" w:eastAsia="Courier New"/>
          <w:sz w:val="18"/>
        </w:rPr>
        <w:t>```mermaid</w:t>
        <w:br/>
        <w:t>sequenceDiagram</w:t>
        <w:br/>
        <w:t xml:space="preserve">    actor Student</w:t>
        <w:br/>
        <w:t xml:space="preserve">    participant App as MatchLearn mobile app</w:t>
        <w:br/>
        <w:t xml:space="preserve">    participant Google as Google Sign-In</w:t>
        <w:br/>
        <w:t xml:space="preserve">    participant API as Laravel API</w:t>
        <w:br/>
        <w:t xml:space="preserve">    participant DB as PostgreSQL</w:t>
        <w:br/>
        <w:br/>
        <w:t xml:space="preserve">    Student-&gt;&gt;App: Choose sign in or create account</w:t>
        <w:br/>
        <w:t xml:space="preserve">    App-&gt;&gt;Google: Request Google authentication</w:t>
        <w:br/>
        <w:t xml:space="preserve">    Google--&gt;&gt;App: Return Google ID token</w:t>
        <w:br/>
        <w:t xml:space="preserve">    opt New account</w:t>
        <w:br/>
        <w:t xml:space="preserve">        Student-&gt;&gt;App: Enter full name</w:t>
        <w:br/>
        <w:t xml:space="preserve">    end</w:t>
        <w:br/>
        <w:t xml:space="preserve">    App-&gt;&gt;API: POST /api/v1/auth/google with ID token and optional name</w:t>
        <w:br/>
        <w:t xml:space="preserve">    API-&gt;&gt;Google: Verify ID token and claims</w:t>
        <w:br/>
        <w:t xml:space="preserve">    Google--&gt;&gt;API: Verified email and identity claims</w:t>
        <w:br/>
        <w:t xml:space="preserve">    API-&gt;&gt;API: Check @ssct.edu.ph or @snsu.edu.ph domain</w:t>
        <w:br/>
        <w:t xml:space="preserve">    API-&gt;&gt;DB: Find existing account; create only for new account flow</w:t>
        <w:br/>
        <w:t xml:space="preserve">    DB--&gt;&gt;API: User record</w:t>
        <w:br/>
        <w:t xml:space="preserve">    API--&gt;&gt;App: Sanctum token and user data</w:t>
        <w:br/>
        <w:t xml:space="preserve">    App-&gt;&gt;App: Store token securely</w:t>
        <w:br/>
        <w:t xml:space="preserve">    App--&gt;&gt;Student: Open MatchLearn</w:t>
        <w:br/>
        <w:t>```</w:t>
      </w:r>
    </w:p>
    <w:p>
      <w:pPr>
        <w:keepNext/>
        <w:spacing w:line="360" w:lineRule="auto" w:before="120" w:after="60"/>
        <w:ind w:firstLine="0"/>
        <w:jc w:val="left"/>
      </w:pPr>
      <w:r>
        <w:rPr>
          <w:rFonts w:ascii="Times New Roman" w:hAnsi="Times New Roman" w:eastAsia="Times New Roman"/>
          <w:b/>
          <w:sz w:val="24"/>
        </w:rPr>
        <w:t>Figure A6. 6. Match-Scoring Workflow</w:t>
      </w:r>
    </w:p>
    <w:p>
      <w:pPr>
        <w:spacing w:line="240" w:lineRule="auto"/>
        <w:ind w:firstLine="0" w:left="360"/>
      </w:pPr>
      <w:r>
        <w:rPr>
          <w:rFonts w:ascii="Courier New" w:hAnsi="Courier New" w:eastAsia="Courier New"/>
          <w:sz w:val="18"/>
        </w:rPr>
        <w:t>```mermaid</w:t>
        <w:br/>
        <w:t>flowchart TD</w:t>
        <w:br/>
        <w:t xml:space="preserve">    START["Student profile is available"] --&gt; CANDIDATES["Load other active users&lt;br/&gt;with completed profiles"]</w:t>
        <w:br/>
        <w:t xml:space="preserve">    CANDIDATES --&gt; COMPARE["Calculate criterion scores"]</w:t>
        <w:br/>
        <w:t xml:space="preserve">    COMPARE --&gt; COURSE["Course overlap"]</w:t>
        <w:br/>
        <w:t xml:space="preserve">    COMPARE --&gt; ACADEMIC["Academic complementarity"]</w:t>
        <w:br/>
        <w:t xml:space="preserve">    COMPARE --&gt; PROGRAM["Program or department"]</w:t>
        <w:br/>
        <w:t xml:space="preserve">    COMPARE --&gt; STYLE["Learning-style compatibility"]</w:t>
        <w:br/>
        <w:t xml:space="preserve">    COMPARE --&gt; SCHEDULE["Availability overlap"]</w:t>
        <w:br/>
        <w:t xml:space="preserve">    COMPARE --&gt; YEAR["Year-level proximity"]</w:t>
        <w:br/>
        <w:t xml:space="preserve">    COMPARE --&gt; MODE["Study-mode compatibility"]</w:t>
        <w:br/>
        <w:t xml:space="preserve">    COURSE --&gt; WEIGHT["Apply configured weights&lt;br/&gt;(defaults total 100)"]</w:t>
        <w:br/>
        <w:t xml:space="preserve">    ACADEMIC --&gt; WEIGHT</w:t>
        <w:br/>
        <w:t xml:space="preserve">    PROGRAM --&gt; WEIGHT</w:t>
        <w:br/>
        <w:t xml:space="preserve">    STYLE --&gt; WEIGHT</w:t>
        <w:br/>
        <w:t xml:space="preserve">    SCHEDULE --&gt; WEIGHT</w:t>
        <w:br/>
        <w:t xml:space="preserve">    YEAR --&gt; WEIGHT</w:t>
        <w:br/>
        <w:t xml:space="preserve">    MODE --&gt; WEIGHT</w:t>
        <w:br/>
        <w:t xml:space="preserve">    WEIGHT --&gt; RESULT{"Score above zero?"}</w:t>
        <w:br/>
        <w:t xml:space="preserve">    RESULT -- No --&gt; OMIT["Do not return candidate"]</w:t>
        <w:br/>
        <w:t xml:space="preserve">    RESULT -- Yes --&gt; SAVE["Save score, shared courses&lt;br/&gt;and match reasons"]</w:t>
        <w:br/>
        <w:t xml:space="preserve">    SAVE --&gt; SORT["Sort recommendations&lt;br/&gt;from highest score"]</w:t>
        <w:br/>
        <w:t xml:space="preserve">    SORT --&gt; DISPLAY["Return recommendations&lt;br/&gt;to Discover screen"]</w:t>
        <w:br/>
        <w:t>```</w:t>
      </w:r>
    </w:p>
    <w:p>
      <w:pPr>
        <w:keepNext/>
        <w:spacing w:line="360" w:lineRule="auto" w:before="120" w:after="60"/>
        <w:ind w:firstLine="0"/>
        <w:jc w:val="left"/>
      </w:pPr>
      <w:r>
        <w:rPr>
          <w:rFonts w:ascii="Times New Roman" w:hAnsi="Times New Roman" w:eastAsia="Times New Roman"/>
          <w:b/>
          <w:sz w:val="24"/>
        </w:rPr>
        <w:t xml:space="preserve">Figure A7. Study-Group Discovery, Join Requests, Cancellation, and Invitations</w:t>
      </w:r>
    </w:p>
    <w:p>
      <w:pPr>
        <w:spacing w:line="240" w:lineRule="auto"/>
        <w:ind w:firstLine="0" w:left="360"/>
      </w:pPr>
      <w:r>
        <w:rPr>
          <w:rFonts w:ascii="Courier New" w:hAnsi="Courier New" w:eastAsia="Courier New"/>
          <w:sz w:val="18"/>
        </w:rPr>
        <w:t xml:space="preserve">```mermaidsequenceDiagram    actor Student    actor Admin as Group administrator    participant App as MatchLearn mobile app    participant API as Laravel API    participant DB as PostgreSQL    Student-&gt;&gt;App: Open Study groups in Discover    App-&gt;&gt;API: GET /api/v1/groups/discover    API-&gt;&gt;DB: Retrieve discoverable groups and this student's request state    DB--&gt;&gt;API: Group summaries and pending state    API--&gt;&gt;App: Group list and request or invitation status    Student-&gt;&gt;App: Open any group, including as a nonmember    App-&gt;&gt;API: GET /api/v1/groups/{id}    API-&gt;&gt;DB: Load group details, members, ratings, session total and own status    DB--&gt;&gt;API: Group data and membership/request state    API--&gt;&gt;App: Details and permitted action    alt No membership, request, or invitation    Student-&gt;&gt;App: Request to join    App-&gt;&gt;API: POST /api/v1/groups/{id}/join    API-&gt;&gt;DB: Create pending join request    API--&gt;&gt;App: Request pending    else Pending request    Student-&gt;&gt;App: Cancel request    App-&gt;&gt;API: DELETE /api/v1/groups/{id}/join-requests    API-&gt;&gt;DB: Mark request cancelled    API--&gt;&gt;App: Request cancelled    else Invitation received    Student-&gt;&gt;App: Accept or decline invitation    App-&gt;&gt;API: PATCH /api/v1/groups/{id}/invitations/{requestId}    alt Accept    API-&gt;&gt;DB: Add student as group member    API--&gt;&gt;App: Invitation accepted    else Decline    API-&gt;&gt;DB: Mark invitation declined    API--&gt;&gt;App: Invitation declined    end    else Member    App--&gt;&gt;Student: Show member actions and group conversation    end    opt Admin invites an accepted paired buddy    Admin-&gt;&gt;App: Choose buddy from Members card    App-&gt;&gt;API: POST /api/v1/groups/{id}/invitations    API-&gt;&gt;DB: Create invitation and activity notification    API--&gt;&gt;App: Invitation sent    App--&gt;&gt;Student: Show invitation with Accept and Decline actions    end```</w:t>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decimal"/>
      <w:lvlText w:val="%1."/>
      <w:lvlJc w:val="left"/>
      <w:pPr>
        <w:ind w:left="1440" w:hanging="360"/>
      </w:pPr>
      <w:rPr>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jc w:val="center"/>
    </w:pPr>
    <w:rPr>
      <w:smallCaps w:val="1"/>
      <w:vertAlign w:val="baseline"/>
    </w:rPr>
  </w:style>
  <w:style w:type="paragraph" w:styleId="Heading2">
    <w:name w:val="heading 2"/>
    <w:basedOn w:val="Normal"/>
    <w:next w:val="Normal"/>
    <w:pPr>
      <w:keepNext w:val="1"/>
      <w:keepLines w:val="1"/>
      <w:tabs>
        <w:tab w:val="left" w:leader="none" w:pos="360"/>
      </w:tabs>
      <w:spacing w:after="60" w:before="120" w:lineRule="auto"/>
      <w:jc w:val="left"/>
    </w:pPr>
    <w:rPr>
      <w:i w:val="1"/>
      <w:iCs w:val="1"/>
      <w:vertAlign w:val="baseline"/>
    </w:rPr>
  </w:style>
  <w:style w:type="paragraph" w:styleId="Heading3">
    <w:name w:val="heading 3"/>
    <w:basedOn w:val="Normal"/>
    <w:next w:val="Normal"/>
    <w:pPr>
      <w:tabs>
        <w:tab w:val="left" w:leader="none" w:pos="540"/>
      </w:tabs>
      <w:jc w:val="both"/>
    </w:pPr>
    <w:rPr>
      <w:i w:val="1"/>
      <w:iCs w:val="1"/>
      <w:vertAlign w:val="baseline"/>
    </w:rPr>
  </w:style>
  <w:style w:type="paragraph" w:styleId="Heading4">
    <w:name w:val="heading 4"/>
    <w:basedOn w:val="Normal"/>
    <w:next w:val="Normal"/>
    <w:pPr>
      <w:tabs>
        <w:tab w:val="left" w:leader="none" w:pos="630"/>
      </w:tabs>
      <w:spacing w:after="40" w:before="40" w:lineRule="auto"/>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jc w:val="center"/>
    </w:pPr>
    <w:rPr>
      <w:b w:val="1"/>
      <w:bCs w:val="1"/>
      <w:sz w:val="20"/>
      <w:szCs w:val="20"/>
      <w:vertAlign w:val="baseline"/>
    </w:rPr>
  </w:style>
  <w:style w:type="paragraph" w:styleId="Title">
    <w:name w:val="Title"/>
    <w:basedOn w:val="Normal"/>
    <w:next w:val="Normal"/>
    <w:pPr>
      <w:keepNext w:val="1"/>
      <w:keepLines w:val="1"/>
      <w:pageBreakBefore w:val="0"/>
      <w:spacing w:after="120" w:before="480" w:lineRule="auto"/>
      <w:jc w:val="center"/>
    </w:pPr>
    <w:rPr>
      <w:b w:val="1"/>
      <w:bCs w:val="1"/>
      <w:sz w:val="72"/>
      <w:szCs w:val="72"/>
      <w:vertAlign w:val="baseline"/>
    </w:rPr>
  </w:style>
  <w:style w:type="paragraph" w:styleId="Normal">
    <w:name w:val="Normal"/>
    <w:next w:val="Normal"/>
    <w:autoRedefine w:val="0"/>
    <w:hidden w:val="0"/>
    <w:qFormat w:val="0"/>
    <w:pPr>
      <w:suppressAutoHyphens w:val="1"/>
      <w:spacing w:line="360" w:lineRule="auto"/>
      <w:ind w:leftChars="-1" w:rightChars="0" w:firstLineChars="-1"/>
      <w:jc w:val="center"/>
      <w:textDirection w:val="btLr"/>
      <w:textAlignment w:val="top"/>
      <w:outlineLvl w:val="0"/>
    </w:pPr>
    <w:rPr>
      <w:rFonts w:ascii="Times New Roman" w:hAnsi="Times New Roman" w:eastAsia="Times New Roman"/>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tabs>
        <w:tab w:val="left" w:leader="none" w:pos="216"/>
      </w:tabs>
      <w:suppressAutoHyphens w:val="1"/>
      <w:spacing w:after="80" w:before="160" w:line="1" w:lineRule="atLeast"/>
      <w:ind w:leftChars="-1" w:rightChars="0" w:firstLineChars="-1"/>
      <w:jc w:val="center"/>
      <w:textDirection w:val="btLr"/>
      <w:textAlignment w:val="top"/>
      <w:outlineLvl w:val="0"/>
    </w:pPr>
    <w:rPr>
      <w:smallCaps w:val="1"/>
      <w:w w:val="100"/>
      <w:position w:val="-1"/>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tabs>
        <w:tab w:val="left" w:leader="none" w:pos="360"/>
      </w:tabs>
      <w:suppressAutoHyphens w:val="1"/>
      <w:spacing w:after="60" w:before="120" w:line="1" w:lineRule="atLeast"/>
      <w:ind w:leftChars="-1" w:rightChars="0" w:firstLineChars="-1"/>
      <w:jc w:val="left"/>
      <w:textDirection w:val="btLr"/>
      <w:textAlignment w:val="top"/>
      <w:outlineLvl w:val="1"/>
    </w:pPr>
    <w:rPr>
      <w:i w:val="1"/>
      <w:iCs w:val="1"/>
      <w:w w:val="100"/>
      <w:position w:val="-1"/>
      <w:effect w:val="none"/>
      <w:vertAlign w:val="baseline"/>
      <w:cs w:val="0"/>
      <w:em w:val="none"/>
      <w:lang w:bidi="ar-SA" w:eastAsia="en-US" w:val="en-US"/>
    </w:rPr>
  </w:style>
  <w:style w:type="paragraph" w:styleId="Heading3">
    <w:name w:val="Heading 3"/>
    <w:basedOn w:val="Normal"/>
    <w:next w:val="Normal"/>
    <w:autoRedefine w:val="0"/>
    <w:hidden w:val="0"/>
    <w:qFormat w:val="0"/>
    <w:pPr>
      <w:tabs>
        <w:tab w:val="left" w:leader="none" w:pos="540"/>
      </w:tabs>
      <w:suppressAutoHyphens w:val="1"/>
      <w:spacing w:line="240" w:lineRule="atLeast"/>
      <w:ind w:leftChars="-1" w:rightChars="0" w:firstLineChars="-1"/>
      <w:jc w:val="both"/>
      <w:textDirection w:val="btLr"/>
      <w:textAlignment w:val="top"/>
      <w:outlineLvl w:val="2"/>
    </w:pPr>
    <w:rPr>
      <w:i w:val="1"/>
      <w:iCs w:val="1"/>
      <w:w w:val="100"/>
      <w:position w:val="-1"/>
      <w:effect w:val="none"/>
      <w:vertAlign w:val="baseline"/>
      <w:cs w:val="0"/>
      <w:em w:val="none"/>
      <w:lang w:bidi="ar-SA" w:eastAsia="en-US" w:val="en-US"/>
    </w:rPr>
  </w:style>
  <w:style w:type="paragraph" w:styleId="Heading4">
    <w:name w:val="Heading 4"/>
    <w:basedOn w:val="Normal"/>
    <w:next w:val="Normal"/>
    <w:autoRedefine w:val="0"/>
    <w:hidden w:val="0"/>
    <w:qFormat w:val="0"/>
    <w:pPr>
      <w:tabs>
        <w:tab w:val="left" w:leader="none" w:pos="630"/>
      </w:tabs>
      <w:suppressAutoHyphens w:val="1"/>
      <w:spacing w:after="40" w:before="40" w:line="1" w:lineRule="atLeast"/>
      <w:ind w:leftChars="-1" w:rightChars="0" w:firstLineChars="-1"/>
      <w:jc w:val="both"/>
      <w:textDirection w:val="btLr"/>
      <w:textAlignment w:val="top"/>
      <w:outlineLvl w:val="3"/>
    </w:pPr>
    <w:rPr>
      <w:i w:val="1"/>
      <w:iCs w:val="1"/>
      <w:w w:val="100"/>
      <w:position w:val="-1"/>
      <w:effect w:val="none"/>
      <w:vertAlign w:val="baseline"/>
      <w:cs w:val="0"/>
      <w:em w:val="none"/>
      <w:lang w:bidi="ar-SA" w:eastAsia="en-US" w:val="en-US"/>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w w:val="100"/>
      <w:position w:val="-1"/>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keepLines w:val="1"/>
      <w:pageBreakBefore w:val="0"/>
      <w:suppressAutoHyphens w:val="1"/>
      <w:spacing w:after="40" w:before="200" w:line="1" w:lineRule="atLeast"/>
      <w:ind w:leftChars="-1" w:rightChars="0" w:firstLineChars="-1"/>
      <w:jc w:val="center"/>
      <w:textDirection w:val="btLr"/>
      <w:textAlignment w:val="top"/>
      <w:outlineLvl w:val="5"/>
    </w:pPr>
    <w:rPr>
      <w:b w:val="1"/>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character" w:styleId="Heading2Char">
    <w:name w:val="Heading 2 Char"/>
    <w:next w:val="Heading2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4Char">
    <w:name w:val="Heading 4 Char"/>
    <w:next w:val="Heading4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5Char">
    <w:name w:val="Heading 5 Char"/>
    <w:next w:val="Heading5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jc w:val="center"/>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SimSun" w:hAnsi="Tahoma"/>
      <w:w w:val="100"/>
      <w:position w:val="-1"/>
      <w:sz w:val="16"/>
      <w:szCs w:val="16"/>
      <w:effect w:val="none"/>
      <w:vertAlign w:val="baseline"/>
      <w:cs w:val="0"/>
      <w:em w:val="none"/>
      <w:lang/>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lef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autoRedefine w:val="0"/>
    <w:hidden w:val="0"/>
    <w:qFormat w:val="0"/>
    <w:pPr>
      <w:keepNext w:val="1"/>
      <w:keepLines w:val="1"/>
      <w:pageBreakBefore w:val="0"/>
      <w:suppressAutoHyphens w:val="1"/>
      <w:spacing w:after="80" w:before="360" w:line="1" w:lineRule="atLeast"/>
      <w:ind w:leftChars="-1" w:rightChars="0" w:firstLineChars="-1"/>
      <w:jc w:val="center"/>
      <w:textDirection w:val="btLr"/>
      <w:textAlignment w:val="top"/>
      <w:outlineLvl w:val="0"/>
    </w:pPr>
    <w:rPr>
      <w:rFonts w:ascii="Georgia" w:cs="Georgia" w:eastAsia="Georgia" w:hAnsi="Georgia"/>
      <w:i w:val="1"/>
      <w:color w:val="666666"/>
      <w:w w:val="100"/>
      <w:position w:val="-1"/>
      <w:sz w:val="48"/>
      <w:szCs w:val="48"/>
      <w:effect w:val="none"/>
      <w:vertAlign w:val="baseline"/>
      <w:cs w:val="0"/>
      <w:em w:val="none"/>
      <w:lang w:bidi="ar-SA" w:eastAsia="en-US" w:val="en-US"/>
    </w:rPr>
  </w:style>
  <w:style w:type="table" w:styleId="TableGrid">
    <w:name w:val="Table Grid"/>
    <w:basedOn w:val="TableNormal"/>
    <w:next w:val="TableGri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autoRedefine w:val="0"/>
    <w:hidden w:val="0"/>
    <w:qFormat w:val="0"/>
    <w:pPr>
      <w:keepNext w:val="1"/>
      <w:keepLines w:val="1"/>
      <w:pageBreakBefore w:val="0"/>
      <w:suppressAutoHyphens w:val="1"/>
      <w:spacing w:after="120" w:before="480" w:line="1" w:lineRule="atLeast"/>
      <w:ind w:leftChars="-1" w:rightChars="0" w:firstLineChars="-1"/>
      <w:jc w:val="center"/>
      <w:textDirection w:val="btLr"/>
      <w:textAlignment w:val="top"/>
      <w:outlineLvl w:val="0"/>
    </w:pPr>
    <w:rPr>
      <w:b w:val="1"/>
      <w:w w:val="100"/>
      <w:position w:val="-1"/>
      <w:sz w:val="72"/>
      <w:szCs w:val="72"/>
      <w:effect w:val="none"/>
      <w:vertAlign w:val="baseline"/>
      <w:cs w:val="0"/>
      <w:em w:val="none"/>
      <w:lang w:bidi="ar-SA" w:eastAsia="en-US" w:val="en-US"/>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Pr>
  </w:style>
  <w:style w:type="paragraph" w:styleId="Abstract">
    <w:name w:val="Abstract"/>
    <w:next w:val="Abstract"/>
    <w:autoRedefine w:val="0"/>
    <w:hidden w:val="0"/>
    <w:qFormat w:val="0"/>
    <w:pPr>
      <w:suppressAutoHyphens w:val="1"/>
      <w:spacing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bulletlist">
    <w:name w:val="bullet list"/>
    <w:basedOn w:val="BodyText"/>
    <w:next w:val="bulletlist"/>
    <w:autoRedefine w:val="0"/>
    <w:hidden w:val="0"/>
    <w:qFormat w:val="0"/>
    <w:pPr>
      <w:tabs>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equation"/>
    <w:autoRedefine w:val="0"/>
    <w:hidden w:val="0"/>
    <w:qFormat w:val="0"/>
    <w:pPr>
      <w:tabs>
        <w:tab w:val="center" w:leader="none" w:pos="2520"/>
        <w:tab w:val="lef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tabs>
        <w:tab w:val="left" w:leader="none" w:pos="533"/>
      </w:tabs>
      <w:suppressAutoHyphens w:val="1"/>
      <w:spacing w:before="80"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w w:val="100"/>
      <w:position w:val="-1"/>
      <w:sz w:val="48"/>
      <w:szCs w:val="48"/>
      <w:effect w:val="none"/>
      <w:vertAlign w:val="baseline"/>
      <w:cs w:val="0"/>
      <w:em w:val="none"/>
      <w:lang w:bidi="ar-SA" w:eastAsia="en-US" w:val="en-US"/>
    </w:rPr>
  </w:style>
  <w:style w:type="paragraph" w:styleId="references">
    <w:name w:val="references"/>
    <w:next w:val="references"/>
    <w:autoRedefine w:val="0"/>
    <w:hidden w:val="0"/>
    <w:qFormat w:val="0"/>
    <w:pPr>
      <w:suppressAutoHyphens w:val="1"/>
      <w:spacing w:after="50" w:line="180"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jc w:val="center"/>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ablefootnote">
    <w:name w:val="table footnote"/>
    <w:next w:val="tablefootnote"/>
    <w:autoRedefine w:val="0"/>
    <w:hidden w:val="0"/>
    <w:qFormat w:val="0"/>
    <w:pPr>
      <w:suppressAutoHyphens w:val="1"/>
      <w:spacing w:after="30" w:before="60" w:line="1" w:lineRule="atLeast"/>
      <w:ind w:left="58" w:leftChars="-1" w:rightChars="0" w:hanging="29" w:firstLineChars="-1"/>
      <w:jc w:val="center"/>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suppressAutoHyphens w:val="1"/>
      <w:spacing w:after="120" w:before="240" w:line="216" w:lineRule="auto"/>
      <w:ind w:leftChars="-1" w:rightChars="0" w:firstLineChars="-1"/>
      <w:jc w:val="center"/>
      <w:textDirection w:val="btLr"/>
      <w:textAlignment w:val="top"/>
      <w:outlineLvl w:val="0"/>
    </w:pPr>
    <w:rPr>
      <w:smallCaps w:val="1"/>
      <w:w w:val="100"/>
      <w:position w:val="-1"/>
      <w:sz w:val="16"/>
      <w:szCs w:val="16"/>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jc w:val="left"/>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jc w:val="center"/>
    </w:pPr>
    <w:rPr>
      <w:rFonts w:ascii="Georgia" w:cs="Georgia" w:eastAsia="Georgia" w:hAnsi="Georgia"/>
      <w:i w:val="1"/>
      <w:iCs w:val="1"/>
      <w:color w:val="666666"/>
      <w:sz w:val="48"/>
      <w:szCs w:val="48"/>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StUym3JAS/WhEssayR7LwWOpQ==">CgMxLjA4AHIhMU1aRHg4RS10ZUU1UXlVOFpqb09aNDEwVjdUNGZYZk1m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2025-04-11T05:58:00Z</dcterms:created>
  <dc:creator>Erial Dearv Escatin; Jefrell Garcia</dc:creator>
  <dc:title>MatchLearn Capstone Project Documentation</dc:title>
  <dc:subject>Implemented MatchLearn mobile peer-collaboration system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1033-11.2.0.11042</vt:lpstr>
  </property>
  <property fmtid="{D5CDD505-2E9C-101B-9397-08002B2CF9AE}" pid="3" name="ICV">
    <vt:lpstr>1E5964320F5C4026A502A40AA0204E0C</vt:lpstr>
  </property>
</Properties>
</file>