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cc782bb9d123ed5e7858b8ccf5f388f76325675"/>
    <w:p>
      <w:pPr>
        <w:pStyle w:val="Title"/>
        <w:spacing w:before="0" w:after="120" w:line="276" w:lineRule="auto"/>
        <w:jc w:val="center"/>
      </w:pPr>
      <w:r>
        <w:rPr>
          <w:rFonts w:ascii="Times New Roman" w:hAnsi="Times New Roman" w:cs="Times New Roman"/>
          <w:b/>
          <w:i w:val="0"/>
          <w:color w:val="000000"/>
          <w:sz w:val="32"/>
        </w:rPr>
        <w:t>Temporal Knowledge-Graph Features for Firm-Specific Technology Opportunity Prediction</w:t>
      </w:r>
    </w:p>
    <w:p>
      <w:pPr>
        <w:pStyle w:val="FirstParagraph"/>
        <w:spacing w:before="0" w:after="120" w:line="276" w:lineRule="auto"/>
        <w:jc w:val="center"/>
      </w:pPr>
      <w:r>
        <w:rPr>
          <w:rFonts w:ascii="Times New Roman" w:hAnsi="Times New Roman" w:cs="Times New Roman"/>
          <w:b w:val="0"/>
          <w:i/>
          <w:color w:val="000000"/>
          <w:sz w:val="24"/>
        </w:rPr>
        <w:t>Short Communication</w:t>
      </w:r>
    </w:p>
    <w:p>
      <w:pPr>
        <w:pStyle w:val="BodyText"/>
        <w:spacing w:before="0" w:after="0" w:line="276" w:lineRule="auto"/>
        <w:jc w:val="center"/>
      </w:pPr>
      <w:r>
        <w:rPr>
          <w:rFonts w:ascii="Times New Roman" w:hAnsi="Times New Roman" w:cs="Times New Roman"/>
          <w:b/>
          <w:i w:val="0"/>
          <w:color w:val="000000"/>
          <w:sz w:val="24"/>
        </w:rPr>
        <w:t>Eeshwar</w:t>
      </w:r>
    </w:p>
    <w:p>
      <w:pPr>
        <w:pStyle w:val="BodyText"/>
        <w:spacing w:before="0" w:after="0" w:line="276" w:lineRule="auto"/>
        <w:jc w:val="center"/>
      </w:pPr>
      <w:r>
        <w:rPr>
          <w:rFonts w:ascii="Times New Roman" w:hAnsi="Times New Roman" w:cs="Times New Roman"/>
          <w:i w:val="0"/>
          <w:color w:val="000000"/>
          <w:sz w:val="24"/>
        </w:rPr>
        <w:t xml:space="preserve">Independent Researcher</w:t>
      </w:r>
    </w:p>
    <w:p>
      <w:pPr>
        <w:pStyle w:val="BodyText"/>
        <w:spacing w:before="0" w:after="0" w:line="276" w:lineRule="auto"/>
        <w:jc w:val="center"/>
      </w:pPr>
      <w:r>
        <w:rPr>
          <w:rFonts w:ascii="Times New Roman" w:hAnsi="Times New Roman" w:cs="Times New Roman"/>
          <w:i w:val="0"/>
          <w:color w:val="000000"/>
          <w:sz w:val="24"/>
        </w:rPr>
        <w:t xml:space="preserve">Corresponding author: eeshwar.business@gmail.com</w:t>
      </w:r>
    </w:p>
    <w:bookmarkStart w:id="20" w:name="abstract"/>
    <w:p>
      <w:pPr>
        <w:pStyle w:val="Heading2"/>
      </w:pPr>
      <w:r>
        <w:rPr>
          <w:rFonts w:ascii="Times New Roman" w:hAnsi="Times New Roman" w:cs="Times New Roman"/>
          <w:color w:val="000000"/>
        </w:rPr>
        <w:t xml:space="preserve">Abstract</w:t>
      </w:r>
    </w:p>
    <w:p>
      <w:pPr>
        <w:pStyle w:val="FirstParagraph"/>
      </w:pPr>
      <w:r>
        <w:rPr>
          <w:rFonts w:ascii="Times New Roman" w:hAnsi="Times New Roman" w:cs="Times New Roman"/>
          <w:color w:val="000000"/>
        </w:rPr>
        <w:t xml:space="preserve">Firms that pursue digital innovation must choose which technology domains to explore beyond their existing patent portfolios. Graph-based opportunity models can appear accurate when future firm–technology relations leak into features, candidate lists, or random splits. This short communication tests whether temporally valid, inspectable knowledge-graph features improve out-of-time prediction of a firm’s first entry into a previously unadopted Cooperative Patent Classification (CPC) subclass. A firm–technology graph is built from USPTO PatentsView records. Conventional activity features are compared with the same features plus common-neighbor, co-occurrence, and historical peer-adoption signals. Logistic regression and random forests are trained on identical candidates under chronological evaluation with an embargo year and a firm-clustered bootstrap. On 10,878 organization assignees (grant years 2010–2023), the graph-feature forest improved average precision versus the same-learner forest on 2021–2022 pairs (</w:t>
      </w:r>
      <m:oMath>
        <m:r>
          <m:t>Δ</m:t>
        </m:r>
        <m:r>
          <m:rPr>
            <m:sty m:val="p"/>
          </m:rPr>
          <m:t>A</m:t>
        </m:r>
        <m:r>
          <m:rPr>
            <m:sty m:val="p"/>
          </m:rPr>
          <m:t>P</m:t>
        </m:r>
        <m:r>
          <m:rPr>
            <m:sty m:val="p"/>
          </m:rPr>
          <m:t>=</m:t>
        </m:r>
        <m:r>
          <m:t>0.0172</m:t>
        </m:r>
      </m:oMath>
      <w:r>
        <w:rPr>
          <w:rFonts w:ascii="Times New Roman" w:hAnsi="Times New Roman" w:cs="Times New Roman"/>
          <w:color w:val="000000"/>
        </w:rPr>
        <w:t xml:space="preserve">; paired 95% interval 0.0155 to 0.0191). Absolute average precision remained low against a 1.11% positive rate, and logistic regression was a competitive ranking baseline. Relational features therefore add incremental signal for a knowledge-based ranking aid, but they do not make technology-entry prediction decision-ready.</w:t>
      </w:r>
    </w:p>
    <w:p>
      <w:pPr>
        <w:pStyle w:val="BodyText"/>
      </w:pPr>
      <w:r>
        <w:rPr>
          <w:bCs/>
          <w:rFonts w:ascii="Times New Roman" w:hAnsi="Times New Roman" w:cs="Times New Roman"/>
          <w:b/>
          <w:color w:val="000000"/>
        </w:rPr>
        <w:t xml:space="preserve">Keywords:</w:t>
      </w:r>
      <w:r>
        <w:rPr>
          <w:rFonts w:ascii="Times New Roman" w:hAnsi="Times New Roman" w:cs="Times New Roman"/>
          <w:color w:val="000000"/>
        </w:rPr>
        <w:t xml:space="preserve"> </w:t>
      </w:r>
      <w:r>
        <w:rPr>
          <w:rFonts w:ascii="Times New Roman" w:hAnsi="Times New Roman" w:cs="Times New Roman"/>
          <w:color w:val="000000"/>
        </w:rPr>
        <w:t xml:space="preserve">knowledge graph; technology opportunity; patent analytics; temporal validation; decision support; link prediction</w:t>
      </w:r>
    </w:p>
    <w:bookmarkEnd w:id="20"/>
    <w:bookmarkStart w:id="21" w:name="introduction"/>
    <w:p>
      <w:pPr>
        <w:pStyle w:val="Heading2"/>
      </w:pPr>
      <w:r>
        <w:rPr>
          <w:rFonts w:ascii="Times New Roman" w:hAnsi="Times New Roman" w:cs="Times New Roman"/>
          <w:color w:val="000000"/>
        </w:rPr>
        <w:t xml:space="preserve">1. Introduction</w:t>
      </w:r>
    </w:p>
    <w:p>
      <w:pPr>
        <w:pStyle w:val="FirstParagraph"/>
      </w:pPr>
      <w:r>
        <w:rPr>
          <w:rFonts w:ascii="Times New Roman" w:hAnsi="Times New Roman" w:cs="Times New Roman"/>
          <w:color w:val="000000"/>
        </w:rPr>
        <w:t xml:space="preserve">A firm entering a new technology class cannot rely on its own patent history alone: classes co-occur across assignees, peers adopt neighboring technologies, and those relations change over time. A knowledge-based prediction system can make the relations explicit only if every feature used at prediction time could have been observed then. Otherwise future classifications or future firm–class edges can make a retrospective model look stronger than a deployable decision aid. That distinction matters for knowledge-based decision support: an inspectable knowledge layer is useful only when it is time-valid, so that an analyst can tell whether graph performance is leakage or signal.</w:t>
      </w:r>
    </w:p>
    <w:p>
      <w:pPr>
        <w:pStyle w:val="BodyText"/>
      </w:pPr>
      <w:r>
        <w:rPr>
          <w:rFonts w:ascii="Times New Roman" w:hAnsi="Times New Roman" w:cs="Times New Roman"/>
          <w:color w:val="000000"/>
        </w:rPr>
        <w:t xml:space="preserve">Firm-specific technology opportunity discovery (TOD) already uses patent graphs and link prediction, typically for one or a few firms or under random or unspecified splits [1–7]. Adjacent-field ranking uses collaborative filtering, semantic graphs, citation flow, or unconnected-pair scores [8–15]. Inspectable patent networks and TechNet treat relations as ranking evidence [16–18]. Knowledge-graph surveys separate representation from scoring [19–21], and explainable recommenders isolate the knowledge layer before crediting it [22,23]. The remaining gap is a many-firm, leakage-controlled, out-of-time test of whether compact inspectable graph features improve on tabular activity baselines when candidates, timestamps, and cutoffs are fixed.</w:t>
      </w:r>
    </w:p>
    <w:p>
      <w:pPr>
        <w:pStyle w:val="BodyText"/>
      </w:pPr>
      <w:r>
        <w:rPr>
          <w:rFonts w:ascii="Times New Roman" w:hAnsi="Times New Roman" w:cs="Times New Roman"/>
          <w:color w:val="000000"/>
        </w:rPr>
        <w:t xml:space="preserve">This short communication supplies that test on public PatentsView records [24,25]. The contribution is a leakage-aware technology-entry benchmark for a knowledge-based ranking system, not a new embedding model. Specifically: (i) candidates, timestamps, and cutoffs are frozen before scoring; (ii) the knowledge layer is a compact inspectable block (common-neighbor overlap, peer adoption, and co-occurrence degree) rather than a graph neural network; and (iii) the primary contrast holds the learner fixed so that any gain can be attributed to that block. Two hypotheses are pre-specified.</w:t>
      </w:r>
      <w:r>
        <w:rPr>
          <w:rFonts w:ascii="Times New Roman" w:hAnsi="Times New Roman" w:cs="Times New Roman"/>
          <w:color w:val="000000"/>
        </w:rPr>
        <w:t xml:space="preserve"> </w:t>
      </w:r>
      <w:r>
        <w:rPr>
          <w:bCs/>
          <w:rFonts w:ascii="Times New Roman" w:hAnsi="Times New Roman" w:cs="Times New Roman"/>
          <w:b/>
          <w:color w:val="000000"/>
        </w:rPr>
        <w:t xml:space="preserve">H1:</w:t>
      </w:r>
      <w:r>
        <w:rPr>
          <w:rFonts w:ascii="Times New Roman" w:hAnsi="Times New Roman" w:cs="Times New Roman"/>
          <w:color w:val="000000"/>
        </w:rPr>
        <w:t xml:space="preserve"> </w:t>
      </w:r>
      <w:r>
        <w:rPr>
          <w:rFonts w:ascii="Times New Roman" w:hAnsi="Times New Roman" w:cs="Times New Roman"/>
          <w:color w:val="000000"/>
        </w:rPr>
        <w:t xml:space="preserve">the graph-feature model achieves higher average precision than the strongest tabular baseline on the held-out period.</w:t>
      </w:r>
      <w:r>
        <w:rPr>
          <w:rFonts w:ascii="Times New Roman" w:hAnsi="Times New Roman" w:cs="Times New Roman"/>
          <w:color w:val="000000"/>
        </w:rPr>
        <w:t xml:space="preserve"> </w:t>
      </w:r>
      <w:r>
        <w:rPr>
          <w:bCs/>
          <w:rFonts w:ascii="Times New Roman" w:hAnsi="Times New Roman" w:cs="Times New Roman"/>
          <w:b/>
          <w:color w:val="000000"/>
        </w:rPr>
        <w:t xml:space="preserve">H2:</w:t>
      </w:r>
      <w:r>
        <w:rPr>
          <w:rFonts w:ascii="Times New Roman" w:hAnsi="Times New Roman" w:cs="Times New Roman"/>
          <w:color w:val="000000"/>
        </w:rPr>
        <w:t xml:space="preserve"> </w:t>
      </w:r>
      <w:r>
        <w:rPr>
          <w:rFonts w:ascii="Times New Roman" w:hAnsi="Times New Roman" w:cs="Times New Roman"/>
          <w:color w:val="000000"/>
        </w:rPr>
        <w:t xml:space="preserve">removing graph features reduces performance when the learner is held constant. H1 is read against the best tabular model on average precision. H2 is the same-learner contrast of the graph-feature forest versus the tabular forest.</w:t>
      </w:r>
    </w:p>
    <w:bookmarkEnd w:id="21"/>
    <w:bookmarkStart w:id="25" w:name="data-and-method"/>
    <w:p>
      <w:pPr>
        <w:pStyle w:val="Heading2"/>
      </w:pPr>
      <w:r>
        <w:rPr>
          <w:rFonts w:ascii="Times New Roman" w:hAnsi="Times New Roman" w:cs="Times New Roman"/>
          <w:color w:val="000000"/>
        </w:rPr>
        <w:t xml:space="preserve">2. Data and Method</w:t>
      </w:r>
    </w:p>
    <w:bookmarkStart w:id="22" w:name="patentsview-extract"/>
    <w:p>
      <w:pPr>
        <w:pStyle w:val="Heading3"/>
      </w:pPr>
      <w:r>
        <w:rPr>
          <w:rFonts w:ascii="Times New Roman" w:hAnsi="Times New Roman" w:cs="Times New Roman"/>
          <w:color w:val="000000"/>
        </w:rPr>
        <w:t xml:space="preserve">2.1 PatentsView Extract</w:t>
      </w:r>
    </w:p>
    <w:p>
      <w:pPr>
        <w:pStyle w:val="FirstParagraph"/>
      </w:pPr>
      <w:r>
        <w:rPr>
          <w:rFonts w:ascii="Times New Roman" w:hAnsi="Times New Roman" w:cs="Times New Roman"/>
          <w:color w:val="000000"/>
        </w:rPr>
        <w:t xml:space="preserve">The source is the USPTO PatentsView granted-patent metadata dump through 31 December 2024, archived on Zenodo [24]. Later Open Data Portal files require authentication [25]. The granted-patent, disambiguated-assignee, and current-CPC tables were downloaded on 23 October 2026 and joined on</w:t>
      </w:r>
      <w:r>
        <w:rPr>
          <w:rFonts w:ascii="Times New Roman" w:hAnsi="Times New Roman" w:cs="Times New Roman"/>
          <w:color w:val="000000"/>
        </w:rPr>
        <w:t xml:space="preserve"> </w:t>
      </w:r>
      <w:r>
        <w:rPr>
          <w:rStyle w:val="VerbatimChar"/>
          <w:rFonts w:ascii="Times New Roman" w:hAnsi="Times New Roman" w:cs="Times New Roman"/>
          <w:color w:val="000000"/>
        </w:rPr>
        <w:t xml:space="preserve">patent_id</w:t>
      </w:r>
      <w:r>
        <w:rPr>
          <w:rFonts w:ascii="Times New Roman" w:hAnsi="Times New Roman" w:cs="Times New Roman"/>
          <w:color w:val="000000"/>
        </w:rPr>
        <w:t xml:space="preserve">. One unique row is kept per firm–year–CPC subclass. The firm identifier is the disambiguated organization</w:t>
      </w:r>
      <w:r>
        <w:rPr>
          <w:rFonts w:ascii="Times New Roman" w:hAnsi="Times New Roman" w:cs="Times New Roman"/>
          <w:color w:val="000000"/>
        </w:rPr>
        <w:t xml:space="preserve"> </w:t>
      </w:r>
      <w:r>
        <w:rPr>
          <w:rStyle w:val="VerbatimChar"/>
          <w:rFonts w:ascii="Times New Roman" w:hAnsi="Times New Roman" w:cs="Times New Roman"/>
          <w:color w:val="000000"/>
        </w:rPr>
        <w:t xml:space="preserve">assignee_id</w:t>
      </w:r>
      <w:r>
        <w:rPr>
          <w:rFonts w:ascii="Times New Roman" w:hAnsi="Times New Roman" w:cs="Times New Roman"/>
          <w:color w:val="000000"/>
        </w:rPr>
        <w:t xml:space="preserve">. Year is the grant year. Withdrawn and non-utility patents are dropped;</w:t>
      </w:r>
      <w:r>
        <w:rPr>
          <w:rFonts w:ascii="Times New Roman" w:hAnsi="Times New Roman" w:cs="Times New Roman"/>
          <w:color w:val="000000"/>
        </w:rPr>
        <w:t xml:space="preserve"> </w:t>
      </w:r>
      <w:r>
        <w:rPr>
          <w:rStyle w:val="VerbatimChar"/>
          <w:rFonts w:ascii="Times New Roman" w:hAnsi="Times New Roman" w:cs="Times New Roman"/>
          <w:color w:val="000000"/>
        </w:rPr>
        <w:t xml:space="preserve">Y10*</w:t>
      </w:r>
      <w:r>
        <w:rPr>
          <w:rFonts w:ascii="Times New Roman" w:hAnsi="Times New Roman" w:cs="Times New Roman"/>
          <w:color w:val="000000"/>
        </w:rPr>
        <w:t xml:space="preserve"> </w:t>
      </w:r>
      <w:r>
        <w:rPr>
          <w:rFonts w:ascii="Times New Roman" w:hAnsi="Times New Roman" w:cs="Times New Roman"/>
          <w:color w:val="000000"/>
        </w:rPr>
        <w:t xml:space="preserve">indexing codes are excluded. Joint assignees create multiple rows. Firms must have at least eight grant years, eight subclasses, twenty rows, and one G or H subclass in 2010–2023. The extract has 1,453,416 rows, 10,878 firms, and 668 subclasses. After the candidate universe is frozen (Section 2.2), portfolios and first-entry labels are defined only inside that universe and the 2010–2023 window. The outcome is first observed CPC-subclass entry in granted patents inside that window, not commercial innovation and not a lifetime first filing.</w:t>
      </w:r>
    </w:p>
    <w:bookmarkEnd w:id="22"/>
    <w:bookmarkStart w:id="23" w:name="knowledge-graph-and-features"/>
    <w:p>
      <w:pPr>
        <w:pStyle w:val="Heading3"/>
      </w:pPr>
      <w:r>
        <w:rPr>
          <w:rFonts w:ascii="Times New Roman" w:hAnsi="Times New Roman" w:cs="Times New Roman"/>
          <w:color w:val="000000"/>
        </w:rPr>
        <w:t xml:space="preserve">2.2 Knowledge Graph and Features</w:t>
      </w:r>
    </w:p>
    <w:p>
      <w:pPr>
        <w:pStyle w:val="FirstParagraph"/>
      </w:pPr>
      <w:r>
        <w:rPr>
          <w:rFonts w:ascii="Times New Roman" w:hAnsi="Times New Roman" w:cs="Times New Roman"/>
          <w:color w:val="000000"/>
        </w:rPr>
        <w:t xml:space="preserve">Let</w:t>
      </w:r>
      <w:r>
        <w:rPr>
          <w:rFonts w:ascii="Times New Roman" w:hAnsi="Times New Roman" w:cs="Times New Roman"/>
          <w:color w:val="000000"/>
        </w:rPr>
        <w:t xml:space="preserve"> </w:t>
      </w:r>
      <m:oMath>
        <m:r>
          <m:t>F</m:t>
        </m:r>
      </m:oMath>
      <w:r>
        <w:rPr>
          <w:rFonts w:ascii="Times New Roman" w:hAnsi="Times New Roman" w:cs="Times New Roman"/>
          <w:color w:val="000000"/>
        </w:rPr>
        <w:t xml:space="preserve"> </w:t>
      </w:r>
      <w:r>
        <w:rPr>
          <w:rFonts w:ascii="Times New Roman" w:hAnsi="Times New Roman" w:cs="Times New Roman"/>
          <w:color w:val="000000"/>
        </w:rPr>
        <w:t xml:space="preserve">be firms and</w:t>
      </w:r>
      <w:r>
        <w:rPr>
          <w:rFonts w:ascii="Times New Roman" w:hAnsi="Times New Roman" w:cs="Times New Roman"/>
          <w:color w:val="000000"/>
        </w:rPr>
        <w:t xml:space="preserve"> </w:t>
      </w:r>
      <m:oMath>
        <m:r>
          <m:t>C</m:t>
        </m:r>
      </m:oMath>
      <w:r>
        <w:rPr>
          <w:rFonts w:ascii="Times New Roman" w:hAnsi="Times New Roman" w:cs="Times New Roman"/>
          <w:color w:val="000000"/>
        </w:rPr>
        <w:t xml:space="preserve"> </w:t>
      </w:r>
      <w:r>
        <w:rPr>
          <w:rFonts w:ascii="Times New Roman" w:hAnsi="Times New Roman" w:cs="Times New Roman"/>
          <w:color w:val="000000"/>
        </w:rPr>
        <w:t xml:space="preserve">candidate CPC subclasses. For prediction year</w:t>
      </w:r>
      <w:r>
        <w:rPr>
          <w:rFonts w:ascii="Times New Roman" w:hAnsi="Times New Roman" w:cs="Times New Roman"/>
          <w:color w:val="000000"/>
        </w:rPr>
        <w:t xml:space="preserve"> </w:t>
      </w:r>
      <m:oMath>
        <m:r>
          <m:t>t</m:t>
        </m:r>
      </m:oMath>
      <w:r>
        <w:rPr>
          <w:rFonts w:ascii="Times New Roman" w:hAnsi="Times New Roman" w:cs="Times New Roman"/>
          <w:color w:val="000000"/>
        </w:rPr>
        <w:t xml:space="preserve">,</w:t>
      </w:r>
    </w:p>
    <w:p>
      <w:pPr>
        <w:pStyle w:val="BodyText"/>
      </w:pPr>
    </w:p>
    <w:p>
      <w:pPr>
        <w:pStyle w:val="BodyText"/>
      </w:pPr>
      <w:r>
        <w:rPr>
          <w:rFonts w:ascii="Times New Roman" w:hAnsi="Times New Roman" w:cs="Times New Roman"/>
          <w:color w:val="000000"/>
        </w:rPr>
        <w:t xml:space="preserve">Technology–technology relations are induced from co-occurrence in portfolios observed by</w:t>
      </w:r>
      <w:r>
        <w:rPr>
          <w:rFonts w:ascii="Times New Roman" w:hAnsi="Times New Roman" w:cs="Times New Roman"/>
          <w:color w:val="000000"/>
        </w:rPr>
        <w:t xml:space="preserve"> </w:t>
      </w:r>
      <m:oMath>
        <m:r>
          <m:t>t</m:t>
        </m:r>
      </m:oMath>
      <w:r>
        <w:rPr>
          <w:rFonts w:ascii="Times New Roman" w:hAnsi="Times New Roman" w:cs="Times New Roman"/>
          <w:color w:val="000000"/>
        </w:rPr>
        <w:t xml:space="preserve">. The candidate set</w:t>
      </w:r>
      <w:r>
        <w:rPr>
          <w:rFonts w:ascii="Times New Roman" w:hAnsi="Times New Roman" w:cs="Times New Roman"/>
          <w:color w:val="000000"/>
        </w:rPr>
        <w:t xml:space="preserve"> </w:t>
      </w:r>
      <m:oMath>
        <m:r>
          <m:t>C</m:t>
        </m:r>
      </m:oMath>
      <w:r>
        <w:rPr>
          <w:rFonts w:ascii="Times New Roman" w:hAnsi="Times New Roman" w:cs="Times New Roman"/>
          <w:color w:val="000000"/>
        </w:rPr>
        <w:t xml:space="preserve"> </w:t>
      </w:r>
      <w:r>
        <w:rPr>
          <w:rFonts w:ascii="Times New Roman" w:hAnsi="Times New Roman" w:cs="Times New Roman"/>
          <w:color w:val="000000"/>
        </w:rPr>
        <w:t xml:space="preserve">is the 30 most frequent subclasses in 2010–2012 and is then held fixed. A pair</w:t>
      </w:r>
      <w:r>
        <w:rPr>
          <w:rFonts w:ascii="Times New Roman" w:hAnsi="Times New Roman" w:cs="Times New Roman"/>
          <w:color w:val="000000"/>
        </w:rPr>
        <w:t xml:space="preserve"> </w:t>
      </w:r>
      <m:oMath>
        <m:d>
          <m:dPr>
            <m:begChr m:val="("/>
            <m:endChr m:val=")"/>
            <m:sepChr m:val=""/>
            <m:grow/>
          </m:dPr>
          <m:e>
            <m:r>
              <m:t>f</m:t>
            </m:r>
            <m:r>
              <m:rPr>
                <m:sty m:val="p"/>
              </m:rPr>
              <m:t>,</m:t>
            </m:r>
            <m:r>
              <m:t>c</m:t>
            </m:r>
            <m:r>
              <m:rPr>
                <m:sty m:val="p"/>
              </m:rPr>
              <m:t>,</m:t>
            </m:r>
            <m:r>
              <m:t>t</m:t>
            </m:r>
          </m:e>
        </m:d>
      </m:oMath>
      <w:r>
        <w:rPr>
          <w:rFonts w:ascii="Times New Roman" w:hAnsi="Times New Roman" w:cs="Times New Roman"/>
          <w:color w:val="000000"/>
        </w:rPr>
        <w:t xml:space="preserve"> </w:t>
      </w:r>
      <w:r>
        <w:rPr>
          <w:rFonts w:ascii="Times New Roman" w:hAnsi="Times New Roman" w:cs="Times New Roman"/>
          <w:color w:val="000000"/>
        </w:rPr>
        <w:t xml:space="preserve">is eligible only if</w:t>
      </w:r>
      <w:r>
        <w:rPr>
          <w:rFonts w:ascii="Times New Roman" w:hAnsi="Times New Roman" w:cs="Times New Roman"/>
          <w:color w:val="000000"/>
        </w:rPr>
        <w:t xml:space="preserve"> </w:t>
      </w:r>
      <m:oMath>
        <m:r>
          <m:t>c</m:t>
        </m:r>
        <m:r>
          <m:rPr>
            <m:sty m:val="p"/>
          </m:rPr>
          <m:t>∉</m:t>
        </m:r>
        <m:sSub>
          <m:e>
            <m:r>
              <m:t>P</m:t>
            </m:r>
          </m:e>
          <m:sub>
            <m:r>
              <m:t>f</m:t>
            </m:r>
            <m:r>
              <m:rPr>
                <m:sty m:val="p"/>
              </m:rPr>
              <m:t>,</m:t>
            </m:r>
            <m:r>
              <m:t>t</m:t>
            </m:r>
          </m:sub>
        </m:sSub>
      </m:oMath>
      <w:r>
        <w:rPr>
          <w:rFonts w:ascii="Times New Roman" w:hAnsi="Times New Roman" w:cs="Times New Roman"/>
          <w:color w:val="000000"/>
        </w:rPr>
        <w:t xml:space="preserve">, where</w:t>
      </w:r>
      <w:r>
        <w:rPr>
          <w:rFonts w:ascii="Times New Roman" w:hAnsi="Times New Roman" w:cs="Times New Roman"/>
          <w:color w:val="000000"/>
        </w:rPr>
        <w:t xml:space="preserve"> </w:t>
      </w:r>
      <m:oMath>
        <m:sSub>
          <m:e>
            <m:r>
              <m:t>P</m:t>
            </m:r>
          </m:e>
          <m:sub>
            <m:r>
              <m:t>f</m:t>
            </m:r>
            <m:r>
              <m:rPr>
                <m:sty m:val="p"/>
              </m:rPr>
              <m:t>,</m:t>
            </m:r>
            <m:r>
              <m:t>t</m:t>
            </m:r>
          </m:sub>
        </m:sSub>
      </m:oMath>
      <w:r>
        <w:rPr>
          <w:rFonts w:ascii="Times New Roman" w:hAnsi="Times New Roman" w:cs="Times New Roman"/>
          <w:color w:val="000000"/>
        </w:rPr>
        <w:t xml:space="preserve"> </w:t>
      </w:r>
      <w:r>
        <w:rPr>
          <w:rFonts w:ascii="Times New Roman" w:hAnsi="Times New Roman" w:cs="Times New Roman"/>
          <w:color w:val="000000"/>
        </w:rPr>
        <w:t xml:space="preserve">is the firm’s classes in</w:t>
      </w:r>
      <w:r>
        <w:rPr>
          <w:rFonts w:ascii="Times New Roman" w:hAnsi="Times New Roman" w:cs="Times New Roman"/>
          <w:color w:val="000000"/>
        </w:rPr>
        <w:t xml:space="preserve"> </w:t>
      </w:r>
      <m:oMath>
        <m:r>
          <m:t>C</m:t>
        </m:r>
      </m:oMath>
      <w:r>
        <w:rPr>
          <w:rFonts w:ascii="Times New Roman" w:hAnsi="Times New Roman" w:cs="Times New Roman"/>
          <w:color w:val="000000"/>
        </w:rPr>
        <w:t xml:space="preserve"> </w:t>
      </w:r>
      <w:r>
        <w:rPr>
          <w:rFonts w:ascii="Times New Roman" w:hAnsi="Times New Roman" w:cs="Times New Roman"/>
          <w:color w:val="000000"/>
        </w:rPr>
        <w:t xml:space="preserve">through year</w:t>
      </w:r>
      <w:r>
        <w:rPr>
          <w:rFonts w:ascii="Times New Roman" w:hAnsi="Times New Roman" w:cs="Times New Roman"/>
          <w:color w:val="000000"/>
        </w:rPr>
        <w:t xml:space="preserve"> </w:t>
      </w:r>
      <m:oMath>
        <m:r>
          <m:t>t</m:t>
        </m:r>
      </m:oMath>
      <w:r>
        <w:rPr>
          <w:rFonts w:ascii="Times New Roman" w:hAnsi="Times New Roman" w:cs="Times New Roman"/>
          <w:color w:val="000000"/>
        </w:rPr>
        <w:t xml:space="preserve">. The target is</w:t>
      </w:r>
      <w:r>
        <w:rPr>
          <w:rFonts w:ascii="Times New Roman" w:hAnsi="Times New Roman" w:cs="Times New Roman"/>
          <w:color w:val="000000"/>
        </w:rPr>
        <w:t xml:space="preserve"> </w:t>
      </w:r>
      <m:oMath>
        <m:sSub>
          <m:e>
            <m:r>
              <m:t>y</m:t>
            </m:r>
          </m:e>
          <m:sub>
            <m:r>
              <m:t>f</m:t>
            </m:r>
            <m:r>
              <m:rPr>
                <m:sty m:val="p"/>
              </m:rPr>
              <m:t>,</m:t>
            </m:r>
            <m:r>
              <m:t>c</m:t>
            </m:r>
            <m:r>
              <m:rPr>
                <m:sty m:val="p"/>
              </m:rPr>
              <m:t>,</m:t>
            </m:r>
            <m:r>
              <m:t>t</m:t>
            </m:r>
          </m:sub>
        </m:sSub>
        <m:r>
          <m:rPr>
            <m:sty m:val="p"/>
          </m:rPr>
          <m:t>=</m:t>
        </m:r>
        <m:r>
          <m:t>1</m:t>
        </m:r>
      </m:oMath>
      <w:r>
        <w:rPr>
          <w:rFonts w:ascii="Times New Roman" w:hAnsi="Times New Roman" w:cs="Times New Roman"/>
          <w:color w:val="000000"/>
        </w:rPr>
        <w:t xml:space="preserve"> </w:t>
      </w:r>
      <w:r>
        <w:rPr>
          <w:rFonts w:ascii="Times New Roman" w:hAnsi="Times New Roman" w:cs="Times New Roman"/>
          <w:color w:val="000000"/>
        </w:rPr>
        <w:t xml:space="preserve">if</w:t>
      </w:r>
      <w:r>
        <w:rPr>
          <w:rFonts w:ascii="Times New Roman" w:hAnsi="Times New Roman" w:cs="Times New Roman"/>
          <w:color w:val="000000"/>
        </w:rPr>
        <w:t xml:space="preserve"> </w:t>
      </w:r>
      <m:oMath>
        <m:r>
          <m:t>c</m:t>
        </m:r>
      </m:oMath>
      <w:r>
        <w:rPr>
          <w:rFonts w:ascii="Times New Roman" w:hAnsi="Times New Roman" w:cs="Times New Roman"/>
          <w:color w:val="000000"/>
        </w:rPr>
        <w:t xml:space="preserve"> </w:t>
      </w:r>
      <w:r>
        <w:rPr>
          <w:rFonts w:ascii="Times New Roman" w:hAnsi="Times New Roman" w:cs="Times New Roman"/>
          <w:color w:val="000000"/>
        </w:rPr>
        <w:t xml:space="preserve">first appears in year</w:t>
      </w:r>
      <w:r>
        <w:rPr>
          <w:rFonts w:ascii="Times New Roman" w:hAnsi="Times New Roman" w:cs="Times New Roman"/>
          <w:color w:val="000000"/>
        </w:rPr>
        <w:t xml:space="preserve"> </w:t>
      </w:r>
      <m:oMath>
        <m:r>
          <m:t>t</m:t>
        </m:r>
        <m:r>
          <m:rPr>
            <m:sty m:val="p"/>
          </m:rPr>
          <m:t>+</m:t>
        </m:r>
        <m:r>
          <m:t>1</m:t>
        </m:r>
      </m:oMath>
      <w:r>
        <w:rPr>
          <w:rFonts w:ascii="Times New Roman" w:hAnsi="Times New Roman" w:cs="Times New Roman"/>
          <w:color w:val="000000"/>
        </w:rPr>
        <w:t xml:space="preserve"> </w:t>
      </w:r>
      <w:r>
        <w:rPr>
          <w:rFonts w:ascii="Times New Roman" w:hAnsi="Times New Roman" w:cs="Times New Roman"/>
          <w:color w:val="000000"/>
        </w:rPr>
        <w:t xml:space="preserve">within the extract. Training uses prediction years 2013–2019, 2020 is embargoed, and 2021–2022 are the test window. Every feature for</w:t>
      </w:r>
      <w:r>
        <w:rPr>
          <w:rFonts w:ascii="Times New Roman" w:hAnsi="Times New Roman" w:cs="Times New Roman"/>
          <w:color w:val="000000"/>
        </w:rPr>
        <w:t xml:space="preserve"> </w:t>
      </w:r>
      <m:oMath>
        <m:d>
          <m:dPr>
            <m:begChr m:val="("/>
            <m:endChr m:val=")"/>
            <m:sepChr m:val=""/>
            <m:grow/>
          </m:dPr>
          <m:e>
            <m:r>
              <m:t>f</m:t>
            </m:r>
            <m:r>
              <m:rPr>
                <m:sty m:val="p"/>
              </m:rPr>
              <m:t>,</m:t>
            </m:r>
            <m:r>
              <m:t>c</m:t>
            </m:r>
            <m:r>
              <m:rPr>
                <m:sty m:val="p"/>
              </m:rPr>
              <m:t>,</m:t>
            </m:r>
            <m:r>
              <m:t>t</m:t>
            </m:r>
          </m:e>
        </m:d>
      </m:oMath>
      <w:r>
        <w:rPr>
          <w:rFonts w:ascii="Times New Roman" w:hAnsi="Times New Roman" w:cs="Times New Roman"/>
          <w:color w:val="000000"/>
        </w:rPr>
        <w:t xml:space="preserve"> </w:t>
      </w:r>
      <w:r>
        <w:rPr>
          <w:rFonts w:ascii="Times New Roman" w:hAnsi="Times New Roman" w:cs="Times New Roman"/>
          <w:color w:val="000000"/>
        </w:rPr>
        <w:t xml:space="preserve">uses records dated</w:t>
      </w:r>
      <w:r>
        <w:rPr>
          <w:rFonts w:ascii="Times New Roman" w:hAnsi="Times New Roman" w:cs="Times New Roman"/>
          <w:color w:val="000000"/>
        </w:rPr>
        <w:t xml:space="preserve"> </w:t>
      </w:r>
      <m:oMath>
        <m:r>
          <m:rPr>
            <m:sty m:val="p"/>
          </m:rPr>
          <m:t>≤</m:t>
        </m:r>
        <m:r>
          <m:t>t</m:t>
        </m:r>
      </m:oMath>
      <w:r>
        <w:rPr>
          <w:rFonts w:ascii="Times New Roman" w:hAnsi="Times New Roman" w:cs="Times New Roman"/>
          <w:color w:val="000000"/>
        </w:rPr>
        <w:t xml:space="preserve">.</w:t>
      </w:r>
    </w:p>
    <w:p>
      <w:pPr>
        <w:pStyle w:val="BodyText"/>
      </w:pPr>
      <w:r>
        <w:rPr>
          <w:rFonts w:ascii="Times New Roman" w:hAnsi="Times New Roman" w:cs="Times New Roman"/>
          <w:color w:val="000000"/>
        </w:rPr>
        <w:t xml:space="preserve">The conventional block, computed inside</w:t>
      </w:r>
      <w:r>
        <w:rPr>
          <w:rFonts w:ascii="Times New Roman" w:hAnsi="Times New Roman" w:cs="Times New Roman"/>
          <w:color w:val="000000"/>
        </w:rPr>
        <w:t xml:space="preserve"> </w:t>
      </w:r>
      <m:oMath>
        <m:r>
          <m:t>C</m:t>
        </m:r>
      </m:oMath>
      <w:r>
        <w:rPr>
          <w:rFonts w:ascii="Times New Roman" w:hAnsi="Times New Roman" w:cs="Times New Roman"/>
          <w:color w:val="000000"/>
        </w:rPr>
        <w:t xml:space="preserve"> </w:t>
      </w:r>
      <w:r>
        <w:rPr>
          <w:rFonts w:ascii="Times New Roman" w:hAnsi="Times New Roman" w:cs="Times New Roman"/>
          <w:color w:val="000000"/>
        </w:rPr>
        <w:t xml:space="preserve">from records dated</w:t>
      </w:r>
      <w:r>
        <w:rPr>
          <w:rFonts w:ascii="Times New Roman" w:hAnsi="Times New Roman" w:cs="Times New Roman"/>
          <w:color w:val="000000"/>
        </w:rPr>
        <w:t xml:space="preserve"> </w:t>
      </w:r>
      <m:oMath>
        <m:r>
          <m:rPr>
            <m:sty m:val="p"/>
          </m:rPr>
          <m:t>≤</m:t>
        </m:r>
        <m:r>
          <m:t>t</m:t>
        </m:r>
      </m:oMath>
      <w:r>
        <w:rPr>
          <w:rFonts w:ascii="Times New Roman" w:hAnsi="Times New Roman" w:cs="Times New Roman"/>
          <w:color w:val="000000"/>
        </w:rPr>
        <w:t xml:space="preserve">, is portfolio size</w:t>
      </w:r>
      <w:r>
        <w:rPr>
          <w:rFonts w:ascii="Times New Roman" w:hAnsi="Times New Roman" w:cs="Times New Roman"/>
          <w:color w:val="000000"/>
        </w:rPr>
        <w:t xml:space="preserve"> </w:t>
      </w:r>
      <m:oMath>
        <m:d>
          <m:dPr>
            <m:begChr m:val="|"/>
            <m:endChr m:val="|"/>
            <m:sepChr m:val=""/>
            <m:grow/>
          </m:dPr>
          <m:e>
            <m:sSub>
              <m:e>
                <m:r>
                  <m:t>P</m:t>
                </m:r>
              </m:e>
              <m:sub>
                <m:r>
                  <m:t>f</m:t>
                </m:r>
                <m:r>
                  <m:rPr>
                    <m:sty m:val="p"/>
                  </m:rPr>
                  <m:t>,</m:t>
                </m:r>
                <m:r>
                  <m:t>t</m:t>
                </m:r>
              </m:sub>
            </m:sSub>
          </m:e>
        </m:d>
      </m:oMath>
      <w:r>
        <w:rPr>
          <w:rFonts w:ascii="Times New Roman" w:hAnsi="Times New Roman" w:cs="Times New Roman"/>
          <w:color w:val="000000"/>
        </w:rPr>
        <w:t xml:space="preserve">, the firm’s historical firm–year–class relation count through</w:t>
      </w:r>
      <w:r>
        <w:rPr>
          <w:rFonts w:ascii="Times New Roman" w:hAnsi="Times New Roman" w:cs="Times New Roman"/>
          <w:color w:val="000000"/>
        </w:rPr>
        <w:t xml:space="preserve"> </w:t>
      </w:r>
      <m:oMath>
        <m:r>
          <m:t>t</m:t>
        </m:r>
      </m:oMath>
      <w:r>
        <w:rPr>
          <w:rFonts w:ascii="Times New Roman" w:hAnsi="Times New Roman" w:cs="Times New Roman"/>
          <w:color w:val="000000"/>
        </w:rPr>
        <w:t xml:space="preserve"> </w:t>
      </w:r>
      <w:r>
        <w:rPr>
          <w:rFonts w:ascii="Times New Roman" w:hAnsi="Times New Roman" w:cs="Times New Roman"/>
          <w:color w:val="000000"/>
        </w:rPr>
        <w:t xml:space="preserve">(rows in</w:t>
      </w:r>
      <w:r>
        <w:rPr>
          <w:rFonts w:ascii="Times New Roman" w:hAnsi="Times New Roman" w:cs="Times New Roman"/>
          <w:color w:val="000000"/>
        </w:rPr>
        <w:t xml:space="preserve"> </w:t>
      </w:r>
      <m:oMath>
        <m:r>
          <m:t>C</m:t>
        </m:r>
      </m:oMath>
      <w:r>
        <w:rPr>
          <w:rFonts w:ascii="Times New Roman" w:hAnsi="Times New Roman" w:cs="Times New Roman"/>
          <w:color w:val="000000"/>
        </w:rPr>
        <w:t xml:space="preserve">), class prevalence</w:t>
      </w:r>
      <w:r>
        <w:rPr>
          <w:rFonts w:ascii="Times New Roman" w:hAnsi="Times New Roman" w:cs="Times New Roman"/>
          <w:color w:val="000000"/>
        </w:rPr>
        <w:t xml:space="preserve"> </w:t>
      </w:r>
      <m:oMath>
        <m:sSub>
          <m:e>
            <m:r>
              <m:t>n</m:t>
            </m:r>
          </m:e>
          <m:sub>
            <m:r>
              <m:t>c</m:t>
            </m:r>
            <m:r>
              <m:rPr>
                <m:sty m:val="p"/>
              </m:rPr>
              <m:t>,</m:t>
            </m:r>
            <m:r>
              <m:t>t</m:t>
            </m:r>
          </m:sub>
        </m:sSub>
        <m:r>
          <m:rPr>
            <m:sty m:val="p"/>
          </m:rPr>
          <m:t>/</m:t>
        </m:r>
        <m:d>
          <m:dPr>
            <m:begChr m:val="|"/>
            <m:endChr m:val="|"/>
            <m:sepChr m:val=""/>
            <m:grow/>
          </m:dPr>
          <m:e>
            <m:sSub>
              <m:e>
                <m:r>
                  <m:t>F</m:t>
                </m:r>
              </m:e>
              <m:sub>
                <m:r>
                  <m:t>t</m:t>
                </m:r>
              </m:sub>
            </m:sSub>
          </m:e>
        </m:d>
      </m:oMath>
      <w:r>
        <w:rPr>
          <w:rFonts w:ascii="Times New Roman" w:hAnsi="Times New Roman" w:cs="Times New Roman"/>
          <w:color w:val="000000"/>
        </w:rPr>
        <w:t xml:space="preserve">, and the relative growth of firm counts in</w:t>
      </w:r>
      <w:r>
        <w:rPr>
          <w:rFonts w:ascii="Times New Roman" w:hAnsi="Times New Roman" w:cs="Times New Roman"/>
          <w:color w:val="000000"/>
        </w:rPr>
        <w:t xml:space="preserve"> </w:t>
      </w:r>
      <m:oMath>
        <m:r>
          <m:rPr>
            <m:sty m:val="p"/>
          </m:rPr>
          <m:t>{</m:t>
        </m:r>
        <m:r>
          <m:t>t</m:t>
        </m:r>
        <m:r>
          <m:rPr>
            <m:sty m:val="p"/>
          </m:rPr>
          <m:t>−</m:t>
        </m:r>
        <m:r>
          <m:t>1</m:t>
        </m:r>
        <m:r>
          <m:rPr>
            <m:sty m:val="p"/>
          </m:rPr>
          <m:t>,</m:t>
        </m:r>
        <m:r>
          <m:t>t</m:t>
        </m:r>
        <m:r>
          <m:rPr>
            <m:sty m:val="p"/>
          </m:rPr>
          <m:t>}</m:t>
        </m:r>
      </m:oMath>
      <w:r>
        <w:rPr>
          <w:rFonts w:ascii="Times New Roman" w:hAnsi="Times New Roman" w:cs="Times New Roman"/>
          <w:color w:val="000000"/>
        </w:rPr>
        <w:t xml:space="preserve"> </w:t>
      </w:r>
      <w:r>
        <w:rPr>
          <w:rFonts w:ascii="Times New Roman" w:hAnsi="Times New Roman" w:cs="Times New Roman"/>
          <w:color w:val="000000"/>
        </w:rPr>
        <w:t xml:space="preserve">versus</w:t>
      </w:r>
      <w:r>
        <w:rPr>
          <w:rFonts w:ascii="Times New Roman" w:hAnsi="Times New Roman" w:cs="Times New Roman"/>
          <w:color w:val="000000"/>
        </w:rPr>
        <w:t xml:space="preserve"> </w:t>
      </w:r>
      <m:oMath>
        <m:r>
          <m:rPr>
            <m:sty m:val="p"/>
          </m:rPr>
          <m:t>{</m:t>
        </m:r>
        <m:r>
          <m:t>t</m:t>
        </m:r>
        <m:r>
          <m:rPr>
            <m:sty m:val="p"/>
          </m:rPr>
          <m:t>−</m:t>
        </m:r>
        <m:r>
          <m:t>3</m:t>
        </m:r>
        <m:r>
          <m:rPr>
            <m:sty m:val="p"/>
          </m:rPr>
          <m:t>,</m:t>
        </m:r>
        <m:r>
          <m:t>t</m:t>
        </m:r>
        <m:r>
          <m:rPr>
            <m:sty m:val="p"/>
          </m:rPr>
          <m:t>−</m:t>
        </m:r>
        <m:r>
          <m:t>2</m:t>
        </m:r>
        <m:r>
          <m:rPr>
            <m:sty m:val="p"/>
          </m:rPr>
          <m:t>}</m:t>
        </m:r>
      </m:oMath>
      <w:r>
        <w:rPr>
          <w:rFonts w:ascii="Times New Roman" w:hAnsi="Times New Roman" w:cs="Times New Roman"/>
          <w:color w:val="000000"/>
        </w:rPr>
        <w:t xml:space="preserve">,</w:t>
      </w:r>
      <w:r>
        <w:rPr>
          <w:rFonts w:ascii="Times New Roman" w:hAnsi="Times New Roman" w:cs="Times New Roman"/>
          <w:color w:val="000000"/>
        </w:rPr>
        <w:t xml:space="preserve"> </w:t>
      </w:r>
      <m:oMath>
        <m:d>
          <m:dPr>
            <m:begChr m:val="("/>
            <m:endChr m:val=")"/>
            <m:sepChr m:val=""/>
            <m:grow/>
          </m:dPr>
          <m:e>
            <m:sSubSup>
              <m:e>
                <m:r>
                  <m:t>n</m:t>
                </m:r>
              </m:e>
              <m:sub>
                <m:r>
                  <m:t>c</m:t>
                </m:r>
                <m:r>
                  <m:rPr>
                    <m:sty m:val="p"/>
                  </m:rPr>
                  <m:t>,</m:t>
                </m:r>
                <m:r>
                  <m:t>t</m:t>
                </m:r>
              </m:sub>
              <m:sup>
                <m:r>
                  <m:rPr>
                    <m:sty m:val="p"/>
                  </m:rPr>
                  <m:t>r</m:t>
                </m:r>
                <m:r>
                  <m:rPr>
                    <m:sty m:val="p"/>
                  </m:rPr>
                  <m:t>e</m:t>
                </m:r>
                <m:r>
                  <m:rPr>
                    <m:sty m:val="p"/>
                  </m:rPr>
                  <m:t>c</m:t>
                </m:r>
                <m:r>
                  <m:rPr>
                    <m:sty m:val="p"/>
                  </m:rPr>
                  <m:t>e</m:t>
                </m:r>
                <m:r>
                  <m:rPr>
                    <m:sty m:val="p"/>
                  </m:rPr>
                  <m:t>n</m:t>
                </m:r>
                <m:r>
                  <m:rPr>
                    <m:sty m:val="p"/>
                  </m:rPr>
                  <m:t>t</m:t>
                </m:r>
              </m:sup>
            </m:sSubSup>
            <m:r>
              <m:rPr>
                <m:sty m:val="p"/>
              </m:rPr>
              <m:t>−</m:t>
            </m:r>
            <m:sSubSup>
              <m:e>
                <m:r>
                  <m:t>n</m:t>
                </m:r>
              </m:e>
              <m:sub>
                <m:r>
                  <m:t>c</m:t>
                </m:r>
                <m:r>
                  <m:rPr>
                    <m:sty m:val="p"/>
                  </m:rPr>
                  <m:t>,</m:t>
                </m:r>
                <m:r>
                  <m:t>t</m:t>
                </m:r>
              </m:sub>
              <m:sup>
                <m:r>
                  <m:rPr>
                    <m:sty m:val="p"/>
                  </m:rPr>
                  <m:t>p</m:t>
                </m:r>
                <m:r>
                  <m:rPr>
                    <m:sty m:val="p"/>
                  </m:rPr>
                  <m:t>r</m:t>
                </m:r>
                <m:r>
                  <m:rPr>
                    <m:sty m:val="p"/>
                  </m:rPr>
                  <m:t>i</m:t>
                </m:r>
                <m:r>
                  <m:rPr>
                    <m:sty m:val="p"/>
                  </m:rPr>
                  <m:t>o</m:t>
                </m:r>
                <m:r>
                  <m:rPr>
                    <m:sty m:val="p"/>
                  </m:rPr>
                  <m:t>r</m:t>
                </m:r>
              </m:sup>
            </m:sSubSup>
          </m:e>
        </m:d>
        <m:r>
          <m:rPr>
            <m:sty m:val="p"/>
          </m:rPr>
          <m:t>/</m:t>
        </m:r>
        <m:r>
          <m:rPr>
            <m:sty m:val="p"/>
          </m:rPr>
          <m:t>max</m:t>
        </m:r>
        <m:d>
          <m:dPr>
            <m:begChr m:val="("/>
            <m:endChr m:val=")"/>
            <m:sepChr m:val=""/>
            <m:grow/>
          </m:dPr>
          <m:e>
            <m:r>
              <m:t>1</m:t>
            </m:r>
            <m:r>
              <m:rPr>
                <m:sty m:val="p"/>
              </m:rPr>
              <m:t>,</m:t>
            </m:r>
            <m:sSubSup>
              <m:e>
                <m:r>
                  <m:t>n</m:t>
                </m:r>
              </m:e>
              <m:sub>
                <m:r>
                  <m:t>c</m:t>
                </m:r>
                <m:r>
                  <m:rPr>
                    <m:sty m:val="p"/>
                  </m:rPr>
                  <m:t>,</m:t>
                </m:r>
                <m:r>
                  <m:t>t</m:t>
                </m:r>
              </m:sub>
              <m:sup>
                <m:r>
                  <m:rPr>
                    <m:sty m:val="p"/>
                  </m:rPr>
                  <m:t>p</m:t>
                </m:r>
                <m:r>
                  <m:rPr>
                    <m:sty m:val="p"/>
                  </m:rPr>
                  <m:t>r</m:t>
                </m:r>
                <m:r>
                  <m:rPr>
                    <m:sty m:val="p"/>
                  </m:rPr>
                  <m:t>i</m:t>
                </m:r>
                <m:r>
                  <m:rPr>
                    <m:sty m:val="p"/>
                  </m:rPr>
                  <m:t>o</m:t>
                </m:r>
                <m:r>
                  <m:rPr>
                    <m:sty m:val="p"/>
                  </m:rPr>
                  <m:t>r</m:t>
                </m:r>
              </m:sup>
            </m:sSubSup>
          </m:e>
        </m:d>
      </m:oMath>
      <w:r>
        <w:rPr>
          <w:rFonts w:ascii="Times New Roman" w:hAnsi="Times New Roman" w:cs="Times New Roman"/>
          <w:color w:val="000000"/>
        </w:rPr>
        <w:t xml:space="preserve">, clipped to</w:t>
      </w:r>
      <w:r>
        <w:rPr>
          <w:rFonts w:ascii="Times New Roman" w:hAnsi="Times New Roman" w:cs="Times New Roman"/>
          <w:color w:val="000000"/>
        </w:rPr>
        <w:t xml:space="preserve"> </w:t>
      </w:r>
      <m:oMath>
        <m:d>
          <m:dPr>
            <m:begChr m:val="["/>
            <m:endChr m:val="]"/>
            <m:sepChr m:val=""/>
            <m:grow/>
          </m:dPr>
          <m:e>
            <m:r>
              <m:rPr>
                <m:sty m:val="p"/>
              </m:rPr>
              <m:t>−</m:t>
            </m:r>
            <m:r>
              <m:t>5</m:t>
            </m:r>
            <m:r>
              <m:rPr>
                <m:sty m:val="p"/>
              </m:rPr>
              <m:t>,</m:t>
            </m:r>
            <m:r>
              <m:t>5</m:t>
            </m:r>
          </m:e>
        </m:d>
      </m:oMath>
      <w:r>
        <w:rPr>
          <w:rFonts w:ascii="Times New Roman" w:hAnsi="Times New Roman" w:cs="Times New Roman"/>
          <w:color w:val="000000"/>
        </w:rPr>
        <w:t xml:space="preserve">. The graph block is inspectable. With</w:t>
      </w:r>
      <w:r>
        <w:rPr>
          <w:rFonts w:ascii="Times New Roman" w:hAnsi="Times New Roman" w:cs="Times New Roman"/>
          <w:color w:val="000000"/>
        </w:rPr>
        <w:t xml:space="preserve"> </w:t>
      </w:r>
      <m:oMath>
        <m:sSub>
          <m:e>
            <m:r>
              <m:t>ω</m:t>
            </m:r>
          </m:e>
          <m:sub>
            <m:r>
              <m:t>t</m:t>
            </m:r>
          </m:sub>
        </m:sSub>
        <m:d>
          <m:dPr>
            <m:begChr m:val="("/>
            <m:endChr m:val=")"/>
            <m:sepChr m:val=""/>
            <m:grow/>
          </m:dPr>
          <m:e>
            <m:r>
              <m:t>c</m:t>
            </m:r>
            <m:r>
              <m:rPr>
                <m:sty m:val="p"/>
              </m:rPr>
              <m:t>,</m:t>
            </m:r>
            <m:r>
              <m:t>c</m:t>
            </m:r>
            <m:r>
              <m:rPr>
                <m:sty m:val="p"/>
              </m:rPr>
              <m:t>′</m:t>
            </m:r>
          </m:e>
        </m:d>
      </m:oMath>
      <w:r>
        <w:rPr>
          <w:rFonts w:ascii="Times New Roman" w:hAnsi="Times New Roman" w:cs="Times New Roman"/>
          <w:color w:val="000000"/>
        </w:rPr>
        <w:t xml:space="preserve"> </w:t>
      </w:r>
      <w:r>
        <w:rPr>
          <w:rFonts w:ascii="Times New Roman" w:hAnsi="Times New Roman" w:cs="Times New Roman"/>
          <w:color w:val="000000"/>
        </w:rPr>
        <w:t xml:space="preserve">the number of historical portfolios containing both classes and</w:t>
      </w:r>
      <w:r>
        <w:rPr>
          <w:rFonts w:ascii="Times New Roman" w:hAnsi="Times New Roman" w:cs="Times New Roman"/>
          <w:color w:val="000000"/>
        </w:rPr>
        <w:t xml:space="preserve"> </w:t>
      </w:r>
      <m:oMath>
        <m:sSub>
          <m:e>
            <m:r>
              <m:rPr>
                <m:sty m:val="p"/>
              </m:rPr>
              <m:t>p</m:t>
            </m:r>
            <m:r>
              <m:rPr>
                <m:sty m:val="p"/>
              </m:rPr>
              <m:t>e</m:t>
            </m:r>
            <m:r>
              <m:rPr>
                <m:sty m:val="p"/>
              </m:rPr>
              <m:t>e</m:t>
            </m:r>
            <m:r>
              <m:rPr>
                <m:sty m:val="p"/>
              </m:rPr>
              <m:t>r</m:t>
            </m:r>
            <m:r>
              <m:rPr>
                <m:sty m:val="p"/>
              </m:rPr>
              <m:t>s</m:t>
            </m:r>
          </m:e>
          <m:sub>
            <m:r>
              <m:t>f</m:t>
            </m:r>
            <m:r>
              <m:rPr>
                <m:sty m:val="p"/>
              </m:rPr>
              <m:t>,</m:t>
            </m:r>
            <m:r>
              <m:t>t</m:t>
            </m:r>
          </m:sub>
        </m:sSub>
      </m:oMath>
      <w:r>
        <w:rPr>
          <w:rFonts w:ascii="Times New Roman" w:hAnsi="Times New Roman" w:cs="Times New Roman"/>
          <w:color w:val="000000"/>
        </w:rPr>
        <w:t xml:space="preserve"> </w:t>
      </w:r>
      <w:r>
        <w:rPr>
          <w:rFonts w:ascii="Times New Roman" w:hAnsi="Times New Roman" w:cs="Times New Roman"/>
          <w:color w:val="000000"/>
        </w:rPr>
        <w:t xml:space="preserve">other firms sharing at least one class in</w:t>
      </w:r>
      <w:r>
        <w:rPr>
          <w:rFonts w:ascii="Times New Roman" w:hAnsi="Times New Roman" w:cs="Times New Roman"/>
          <w:color w:val="000000"/>
        </w:rPr>
        <w:t xml:space="preserve"> </w:t>
      </w:r>
      <m:oMath>
        <m:r>
          <m:t>C</m:t>
        </m:r>
      </m:oMath>
      <w:r>
        <w:rPr>
          <w:rFonts w:ascii="Times New Roman" w:hAnsi="Times New Roman" w:cs="Times New Roman"/>
          <w:color w:val="000000"/>
        </w:rPr>
        <w:t xml:space="preserve"> </w:t>
      </w:r>
      <w:r>
        <w:rPr>
          <w:rFonts w:ascii="Times New Roman" w:hAnsi="Times New Roman" w:cs="Times New Roman"/>
          <w:color w:val="000000"/>
        </w:rPr>
        <w:t xml:space="preserve">with</w:t>
      </w:r>
      <w:r>
        <w:rPr>
          <w:rFonts w:ascii="Times New Roman" w:hAnsi="Times New Roman" w:cs="Times New Roman"/>
          <w:color w:val="000000"/>
        </w:rPr>
        <w:t xml:space="preserve"> </w:t>
      </w:r>
      <m:oMath>
        <m:r>
          <m:t>f</m:t>
        </m:r>
      </m:oMath>
      <w:r>
        <w:rPr>
          <w:rFonts w:ascii="Times New Roman" w:hAnsi="Times New Roman" w:cs="Times New Roman"/>
          <w:color w:val="000000"/>
        </w:rPr>
        <w:t xml:space="preserve">,</w:t>
      </w:r>
    </w:p>
    <w:p>
      <w:pPr>
        <w:pStyle w:val="BodyText"/>
      </w:pPr>
    </w:p>
    <w:p>
      <w:pPr>
        <w:pStyle w:val="BodyText"/>
      </w:pPr>
      <m:oMath>
        <m:sSup>
          <m:e>
            <m:r>
              <m:t>x</m:t>
            </m:r>
          </m:e>
          <m:sup>
            <m:r>
              <m:rPr>
                <m:sty m:val="p"/>
              </m:rPr>
              <m:t>c</m:t>
            </m:r>
            <m:r>
              <m:rPr>
                <m:sty m:val="p"/>
              </m:rPr>
              <m:t>n</m:t>
            </m:r>
          </m:sup>
        </m:sSup>
      </m:oMath>
      <w:r>
        <w:rPr>
          <w:rFonts w:ascii="Times New Roman" w:hAnsi="Times New Roman" w:cs="Times New Roman"/>
          <w:color w:val="000000"/>
        </w:rPr>
        <w:t xml:space="preserve"> </w:t>
      </w:r>
      <w:r>
        <w:rPr>
          <w:rFonts w:ascii="Times New Roman" w:hAnsi="Times New Roman" w:cs="Times New Roman"/>
          <w:color w:val="000000"/>
        </w:rPr>
        <w:t xml:space="preserve">is co-occurrence-weighted overlap with the candidate,</w:t>
      </w:r>
      <w:r>
        <w:rPr>
          <w:rFonts w:ascii="Times New Roman" w:hAnsi="Times New Roman" w:cs="Times New Roman"/>
          <w:color w:val="000000"/>
        </w:rPr>
        <w:t xml:space="preserve"> </w:t>
      </w:r>
      <m:oMath>
        <m:sSup>
          <m:e>
            <m:r>
              <m:t>x</m:t>
            </m:r>
          </m:e>
          <m:sup>
            <m:r>
              <m:rPr>
                <m:sty m:val="p"/>
              </m:rPr>
              <m:t>p</m:t>
            </m:r>
            <m:r>
              <m:rPr>
                <m:sty m:val="p"/>
              </m:rPr>
              <m:t>e</m:t>
            </m:r>
            <m:r>
              <m:rPr>
                <m:sty m:val="p"/>
              </m:rPr>
              <m:t>e</m:t>
            </m:r>
            <m:r>
              <m:rPr>
                <m:sty m:val="p"/>
              </m:rPr>
              <m:t>r</m:t>
            </m:r>
          </m:sup>
        </m:sSup>
      </m:oMath>
      <w:r>
        <w:rPr>
          <w:rFonts w:ascii="Times New Roman" w:hAnsi="Times New Roman" w:cs="Times New Roman"/>
          <w:color w:val="000000"/>
        </w:rPr>
        <w:t xml:space="preserve"> </w:t>
      </w:r>
      <w:r>
        <w:rPr>
          <w:rFonts w:ascii="Times New Roman" w:hAnsi="Times New Roman" w:cs="Times New Roman"/>
          <w:color w:val="000000"/>
        </w:rPr>
        <w:t xml:space="preserve">is peer adoption, and</w:t>
      </w:r>
      <w:r>
        <w:rPr>
          <w:rFonts w:ascii="Times New Roman" w:hAnsi="Times New Roman" w:cs="Times New Roman"/>
          <w:color w:val="000000"/>
        </w:rPr>
        <w:t xml:space="preserve"> </w:t>
      </w:r>
      <m:oMath>
        <m:sSup>
          <m:e>
            <m:r>
              <m:t>x</m:t>
            </m:r>
          </m:e>
          <m:sup>
            <m:r>
              <m:rPr>
                <m:sty m:val="p"/>
              </m:rPr>
              <m:t>d</m:t>
            </m:r>
            <m:r>
              <m:rPr>
                <m:sty m:val="p"/>
              </m:rPr>
              <m:t>e</m:t>
            </m:r>
            <m:r>
              <m:rPr>
                <m:sty m:val="p"/>
              </m:rPr>
              <m:t>g</m:t>
            </m:r>
          </m:sup>
        </m:sSup>
      </m:oMath>
      <w:r>
        <w:rPr>
          <w:rFonts w:ascii="Times New Roman" w:hAnsi="Times New Roman" w:cs="Times New Roman"/>
          <w:color w:val="000000"/>
        </w:rPr>
        <w:t xml:space="preserve"> </w:t>
      </w:r>
      <w:r>
        <w:rPr>
          <w:rFonts w:ascii="Times New Roman" w:hAnsi="Times New Roman" w:cs="Times New Roman"/>
          <w:color w:val="000000"/>
        </w:rPr>
        <w:t xml:space="preserve">is co-occurrence degree inside</w:t>
      </w:r>
      <w:r>
        <w:rPr>
          <w:rFonts w:ascii="Times New Roman" w:hAnsi="Times New Roman" w:cs="Times New Roman"/>
          <w:color w:val="000000"/>
        </w:rPr>
        <w:t xml:space="preserve"> </w:t>
      </w:r>
      <m:oMath>
        <m:r>
          <m:t>C</m:t>
        </m:r>
      </m:oMath>
      <w:r>
        <w:rPr>
          <w:rFonts w:ascii="Times New Roman" w:hAnsi="Times New Roman" w:cs="Times New Roman"/>
          <w:color w:val="000000"/>
        </w:rPr>
        <w:t xml:space="preserve">. No graph neural network is trained.</w:t>
      </w:r>
    </w:p>
    <w:bookmarkEnd w:id="23"/>
    <w:bookmarkStart w:id="24" w:name="models-and-evaluation"/>
    <w:p>
      <w:pPr>
        <w:pStyle w:val="Heading3"/>
      </w:pPr>
      <w:r>
        <w:rPr>
          <w:rFonts w:ascii="Times New Roman" w:hAnsi="Times New Roman" w:cs="Times New Roman"/>
          <w:color w:val="000000"/>
        </w:rPr>
        <w:t xml:space="preserve">2.3 Models and Evaluation</w:t>
      </w:r>
    </w:p>
    <w:p>
      <w:pPr>
        <w:pStyle w:val="FirstParagraph"/>
      </w:pPr>
      <w:r>
        <w:rPr>
          <w:rFonts w:ascii="Times New Roman" w:hAnsi="Times New Roman" w:cs="Times New Roman"/>
          <w:color w:val="000000"/>
        </w:rPr>
        <w:t xml:space="preserve">Three models are compared on the same pairs (Table 1).</w:t>
      </w:r>
      <w:r>
        <w:rPr>
          <w:rFonts w:ascii="Times New Roman" w:hAnsi="Times New Roman" w:cs="Times New Roman"/>
          <w:color w:val="000000"/>
        </w:rPr>
        <w:t xml:space="preserve"> </w:t>
      </w:r>
      <w:r>
        <w:rPr>
          <w:bCs/>
          <w:rFonts w:ascii="Times New Roman" w:hAnsi="Times New Roman" w:cs="Times New Roman"/>
          <w:b/>
          <w:color w:val="000000"/>
        </w:rPr>
        <w:t xml:space="preserve">M1</w:t>
      </w:r>
      <w:r>
        <w:rPr>
          <w:rFonts w:ascii="Times New Roman" w:hAnsi="Times New Roman" w:cs="Times New Roman"/>
          <w:color w:val="000000"/>
        </w:rPr>
        <w:t xml:space="preserve"> </w:t>
      </w:r>
      <w:r>
        <w:rPr>
          <w:rFonts w:ascii="Times New Roman" w:hAnsi="Times New Roman" w:cs="Times New Roman"/>
          <w:color w:val="000000"/>
        </w:rPr>
        <w:t xml:space="preserve">is</w:t>
      </w:r>
      <w:r>
        <w:rPr>
          <w:rFonts w:ascii="Times New Roman" w:hAnsi="Times New Roman" w:cs="Times New Roman"/>
          <w:color w:val="000000"/>
        </w:rPr>
        <w:t xml:space="preserve"> </w:t>
      </w:r>
      <m:oMath>
        <m:sSub>
          <m:e>
            <m:r>
              <m:rPr>
                <m:sty m:val="p"/>
              </m:rPr>
              <m:t>ℓ</m:t>
            </m:r>
          </m:e>
          <m:sub>
            <m:r>
              <m:t>2</m:t>
            </m:r>
          </m:sub>
        </m:sSub>
      </m:oMath>
      <w:r>
        <w:rPr>
          <w:rFonts w:ascii="Times New Roman" w:hAnsi="Times New Roman" w:cs="Times New Roman"/>
          <w:color w:val="000000"/>
        </w:rPr>
        <w:t xml:space="preserve">-regularized logistic regression (default</w:t>
      </w:r>
      <w:r>
        <w:rPr>
          <w:rFonts w:ascii="Times New Roman" w:hAnsi="Times New Roman" w:cs="Times New Roman"/>
          <w:color w:val="000000"/>
        </w:rPr>
        <w:t xml:space="preserve"> </w:t>
      </w:r>
      <m:oMath>
        <m:r>
          <m:t>C</m:t>
        </m:r>
        <m:r>
          <m:rPr>
            <m:sty m:val="p"/>
          </m:rPr>
          <m:t>=</m:t>
        </m:r>
        <m:r>
          <m:t>1</m:t>
        </m:r>
      </m:oMath>
      <w:r>
        <w:rPr>
          <w:rFonts w:ascii="Times New Roman" w:hAnsi="Times New Roman" w:cs="Times New Roman"/>
          <w:color w:val="000000"/>
        </w:rPr>
        <w:t xml:space="preserve">) with balanced class weights and the conventional block.</w:t>
      </w:r>
      <w:r>
        <w:rPr>
          <w:rFonts w:ascii="Times New Roman" w:hAnsi="Times New Roman" w:cs="Times New Roman"/>
          <w:color w:val="000000"/>
        </w:rPr>
        <w:t xml:space="preserve"> </w:t>
      </w:r>
      <w:r>
        <w:rPr>
          <w:bCs/>
          <w:rFonts w:ascii="Times New Roman" w:hAnsi="Times New Roman" w:cs="Times New Roman"/>
          <w:b/>
          <w:color w:val="000000"/>
        </w:rPr>
        <w:t xml:space="preserve">M2</w:t>
      </w:r>
      <w:r>
        <w:rPr>
          <w:rFonts w:ascii="Times New Roman" w:hAnsi="Times New Roman" w:cs="Times New Roman"/>
          <w:color w:val="000000"/>
        </w:rPr>
        <w:t xml:space="preserve"> </w:t>
      </w:r>
      <w:r>
        <w:rPr>
          <w:rFonts w:ascii="Times New Roman" w:hAnsi="Times New Roman" w:cs="Times New Roman"/>
          <w:color w:val="000000"/>
        </w:rPr>
        <w:t xml:space="preserve">is a random forest (300 trees,</w:t>
      </w:r>
      <w:r>
        <w:rPr>
          <w:rFonts w:ascii="Times New Roman" w:hAnsi="Times New Roman" w:cs="Times New Roman"/>
          <w:color w:val="000000"/>
        </w:rPr>
        <w:t xml:space="preserve"> </w:t>
      </w:r>
      <m:oMath>
        <m:rad>
          <m:radPr>
            <m:degHide m:val="on"/>
          </m:radPr>
          <m:deg/>
          <m:e>
            <m:r>
              <m:t>p</m:t>
            </m:r>
          </m:e>
        </m:rad>
      </m:oMath>
      <w:r>
        <w:rPr>
          <w:rFonts w:ascii="Times New Roman" w:hAnsi="Times New Roman" w:cs="Times New Roman"/>
          <w:color w:val="000000"/>
        </w:rPr>
        <w:t xml:space="preserve"> </w:t>
      </w:r>
      <w:r>
        <w:rPr>
          <w:rFonts w:ascii="Times New Roman" w:hAnsi="Times New Roman" w:cs="Times New Roman"/>
          <w:color w:val="000000"/>
        </w:rPr>
        <w:t xml:space="preserve">features, minimum leaf size 5, balanced subsample weights) with the same block.</w:t>
      </w:r>
      <w:r>
        <w:rPr>
          <w:rFonts w:ascii="Times New Roman" w:hAnsi="Times New Roman" w:cs="Times New Roman"/>
          <w:color w:val="000000"/>
        </w:rPr>
        <w:t xml:space="preserve"> </w:t>
      </w:r>
      <w:r>
        <w:rPr>
          <w:bCs/>
          <w:rFonts w:ascii="Times New Roman" w:hAnsi="Times New Roman" w:cs="Times New Roman"/>
          <w:b/>
          <w:color w:val="000000"/>
        </w:rPr>
        <w:t xml:space="preserve">M3</w:t>
      </w:r>
      <w:r>
        <w:rPr>
          <w:rFonts w:ascii="Times New Roman" w:hAnsi="Times New Roman" w:cs="Times New Roman"/>
          <w:color w:val="000000"/>
        </w:rPr>
        <w:t xml:space="preserve"> </w:t>
      </w:r>
      <w:r>
        <w:rPr>
          <w:rFonts w:ascii="Times New Roman" w:hAnsi="Times New Roman" w:cs="Times New Roman"/>
          <w:color w:val="000000"/>
        </w:rPr>
        <w:t xml:space="preserve">is the same forest with the graph block appended. The primary contrast is M3 versus M2. Hyperparameters and the random seed (41) were fixed before test scoring. Imputation and standardization are fitted on training rows only. The balanced-accuracy threshold is chosen on 2019, the last training year, from the grid</w:t>
      </w:r>
      <w:r>
        <w:rPr>
          <w:rFonts w:ascii="Times New Roman" w:hAnsi="Times New Roman" w:cs="Times New Roman"/>
          <w:color w:val="000000"/>
        </w:rPr>
        <w:t xml:space="preserve"> </w:t>
      </w:r>
      <m:oMath>
        <m:r>
          <m:rPr>
            <m:sty m:val="p"/>
          </m:rPr>
          <m:t>{</m:t>
        </m:r>
        <m:r>
          <m:t>0.10</m:t>
        </m:r>
        <m:r>
          <m:rPr>
            <m:sty m:val="p"/>
          </m:rPr>
          <m:t>,</m:t>
        </m:r>
        <m:r>
          <m:t>0.11</m:t>
        </m:r>
        <m:r>
          <m:rPr>
            <m:sty m:val="p"/>
          </m:rPr>
          <m:t>,</m:t>
        </m:r>
        <m:r>
          <m:rPr>
            <m:sty m:val="p"/>
          </m:rPr>
          <m:t>…</m:t>
        </m:r>
        <m:r>
          <m:rPr>
            <m:sty m:val="p"/>
          </m:rPr>
          <m:t>,</m:t>
        </m:r>
        <m:r>
          <m:t>0.90</m:t>
        </m:r>
        <m:r>
          <m:rPr>
            <m:sty m:val="p"/>
          </m:rPr>
          <m:t>}</m:t>
        </m:r>
      </m:oMath>
      <w:r>
        <w:rPr>
          <w:rFonts w:ascii="Times New Roman" w:hAnsi="Times New Roman" w:cs="Times New Roman"/>
          <w:color w:val="000000"/>
        </w:rPr>
        <w:t xml:space="preserve">.</w:t>
      </w:r>
    </w:p>
    <w:p>
      <w:pPr>
        <w:pStyle w:val="BodyText"/>
      </w:pPr>
      <w:r>
        <w:rPr>
          <w:bCs/>
          <w:rFonts w:ascii="Times New Roman" w:hAnsi="Times New Roman" w:cs="Times New Roman"/>
          <w:b/>
          <w:color w:val="000000"/>
        </w:rPr>
        <w:t xml:space="preserve">Table 1.</w:t>
      </w:r>
      <w:r>
        <w:rPr>
          <w:rFonts w:ascii="Times New Roman" w:hAnsi="Times New Roman" w:cs="Times New Roman"/>
          <w:color w:val="000000"/>
        </w:rPr>
        <w:t xml:space="preserve"> </w:t>
      </w:r>
      <w:r>
        <w:rPr>
          <w:rFonts w:ascii="Times New Roman" w:hAnsi="Times New Roman" w:cs="Times New Roman"/>
          <w:color w:val="000000"/>
        </w:rPr>
        <w:t xml:space="preserve">Models compared on identical firm–class–year candidates.</w:t>
      </w:r>
    </w:p>
    <w:tbl>
      <w:tblPr>
        <w:tblStyle w:val="Table"/>
        <w:tblW w:type="pct" w:w="5000"/>
        <w:tblLook w:firstRow="1" w:lastRow="0" w:firstColumn="0" w:lastColumn="0" w:noHBand="0" w:noVBand="0" w:val="0020"/>
        <w:jc w:val="star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true"/>
        </w:trPr>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b/>
                <w:color w:val="000000"/>
                <w:sz w:val="22"/>
              </w:rPr>
              <w:t xml:space="preserve">Model</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b/>
                <w:color w:val="000000"/>
                <w:sz w:val="22"/>
              </w:rPr>
              <w:t xml:space="preserve">Feature block</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b/>
                <w:color w:val="000000"/>
                <w:sz w:val="22"/>
              </w:rPr>
              <w:t xml:space="preserve">Purpose</w:t>
            </w:r>
          </w:p>
        </w:tc>
      </w:tr>
      <w:tr>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M1 logistic</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Firm history and class activity</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Transparent tabular baseline</w:t>
            </w:r>
          </w:p>
        </w:tc>
      </w:tr>
      <w:tr>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M2 random forest</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Same conventional features as M1</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Nonlinear tabular baseline</w:t>
            </w:r>
          </w:p>
        </w:tc>
      </w:tr>
      <w:tr>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M3 graph-feature forest</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M2 features plus Eq. (2)</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Incremental value of graph features</w:t>
            </w:r>
          </w:p>
        </w:tc>
      </w:tr>
    </w:tbl>
    <w:p>
      <w:pPr>
        <w:pStyle w:val="BodyText"/>
      </w:pPr>
      <w:r>
        <w:rPr>
          <w:rFonts w:ascii="Times New Roman" w:hAnsi="Times New Roman" w:cs="Times New Roman"/>
          <w:color w:val="000000"/>
        </w:rPr>
        <w:t xml:space="preserve">All models score the same</w:t>
      </w:r>
      <w:r>
        <w:rPr>
          <w:rFonts w:ascii="Times New Roman" w:hAnsi="Times New Roman" w:cs="Times New Roman"/>
          <w:color w:val="000000"/>
        </w:rPr>
        <w:t xml:space="preserve"> </w:t>
      </w:r>
      <m:oMath>
        <m:d>
          <m:dPr>
            <m:begChr m:val="("/>
            <m:endChr m:val=")"/>
            <m:sepChr m:val=""/>
            <m:grow/>
          </m:dPr>
          <m:e>
            <m:r>
              <m:t>f</m:t>
            </m:r>
            <m:r>
              <m:rPr>
                <m:sty m:val="p"/>
              </m:rPr>
              <m:t>,</m:t>
            </m:r>
            <m:r>
              <m:t>c</m:t>
            </m:r>
            <m:r>
              <m:rPr>
                <m:sty m:val="p"/>
              </m:rPr>
              <m:t>,</m:t>
            </m:r>
            <m:r>
              <m:t>t</m:t>
            </m:r>
          </m:e>
        </m:d>
      </m:oMath>
      <w:r>
        <w:rPr>
          <w:rFonts w:ascii="Times New Roman" w:hAnsi="Times New Roman" w:cs="Times New Roman"/>
          <w:color w:val="000000"/>
        </w:rPr>
        <w:t xml:space="preserve"> </w:t>
      </w:r>
      <w:r>
        <w:rPr>
          <w:rFonts w:ascii="Times New Roman" w:hAnsi="Times New Roman" w:cs="Times New Roman"/>
          <w:color w:val="000000"/>
        </w:rPr>
        <w:t xml:space="preserve">pairs. Features from Eq. (2) enter only in M3.</w:t>
      </w:r>
    </w:p>
    <w:p>
      <w:pPr>
        <w:pStyle w:val="BodyText"/>
      </w:pPr>
      <w:r>
        <w:rPr>
          <w:rFonts w:ascii="Times New Roman" w:hAnsi="Times New Roman" w:cs="Times New Roman"/>
          <w:color w:val="000000"/>
        </w:rPr>
        <w:t xml:space="preserve">The primary metric is average precision, reported with positive prevalence. ROC-AUC is secondary. Balanced accuracy uses the training-year threshold. Brier score measures probability quality. For M3 versus M2, a paired bootstrap resamples held-out firms as clusters (1,000 replicates) and reports a 95% interval for the average-precision difference.</w:t>
      </w:r>
    </w:p>
    <w:bookmarkEnd w:id="24"/>
    <w:bookmarkEnd w:id="25"/>
    <w:bookmarkStart w:id="32" w:name="results-and-discussion"/>
    <w:p>
      <w:pPr>
        <w:pStyle w:val="Heading2"/>
      </w:pPr>
      <w:r>
        <w:rPr>
          <w:rFonts w:ascii="Times New Roman" w:hAnsi="Times New Roman" w:cs="Times New Roman"/>
          <w:color w:val="000000"/>
        </w:rPr>
        <w:t xml:space="preserve">3. Results and Discussion</w:t>
      </w:r>
    </w:p>
    <w:p>
      <w:pPr>
        <w:pStyle w:val="FirstParagraph"/>
      </w:pPr>
      <w:r>
        <w:rPr>
          <w:rFonts w:ascii="Times New Roman" w:hAnsi="Times New Roman" w:cs="Times New Roman"/>
          <w:color w:val="000000"/>
        </w:rPr>
        <w:t xml:space="preserve">Results come from the released experiment code on the normalized PatentsView file. Synthetic smoke-test scores are not reported. Training uses 1,540,698 pairs (2013–2019). The 2021–2022 test set has 455,458 pairs, 10,411 of the 10,878 extract firms, 30 classes, and 5,057 first entries (prevalence 1.11%). Firms without an eligible unadopted candidate in the test window do not contribute test pairs. Figure 1 shows the pipeline; Figure 2 shows the executed split.</w:t>
      </w:r>
    </w:p>
    <w:p>
      <w:pPr>
        <w:pStyle w:val="BodyText"/>
      </w:pPr>
      <w:r>
        <w:rPr>
          <w:bCs/>
          <w:rFonts w:ascii="Times New Roman" w:hAnsi="Times New Roman" w:cs="Times New Roman"/>
          <w:b/>
          <w:color w:val="000000"/>
        </w:rPr>
        <w:t xml:space="preserve">Figure 1.</w:t>
      </w:r>
      <w:r>
        <w:rPr>
          <w:rFonts w:ascii="Times New Roman" w:hAnsi="Times New Roman" w:cs="Times New Roman"/>
          <w:color w:val="000000"/>
        </w:rPr>
        <w:t xml:space="preserve"> </w:t>
      </w:r>
      <w:r>
        <w:rPr>
          <w:rFonts w:ascii="Times New Roman" w:hAnsi="Times New Roman" w:cs="Times New Roman"/>
          <w:color w:val="000000"/>
        </w:rPr>
        <w:t xml:space="preserve">Time-valid feature pipeline. PatentsView relations dated</w:t>
      </w:r>
      <w:r>
        <w:rPr>
          <w:rFonts w:ascii="Times New Roman" w:hAnsi="Times New Roman" w:cs="Times New Roman"/>
          <w:color w:val="000000"/>
        </w:rPr>
        <w:t xml:space="preserve"> </w:t>
      </w:r>
      <m:oMath>
        <m:r>
          <m:rPr>
            <m:sty m:val="p"/>
          </m:rPr>
          <m:t>≤</m:t>
        </m:r>
        <m:r>
          <m:t>t</m:t>
        </m:r>
      </m:oMath>
      <w:r>
        <w:rPr>
          <w:rFonts w:ascii="Times New Roman" w:hAnsi="Times New Roman" w:cs="Times New Roman"/>
          <w:color w:val="000000"/>
        </w:rPr>
        <w:t xml:space="preserve"> </w:t>
      </w:r>
      <w:r>
        <w:rPr>
          <w:rFonts w:ascii="Times New Roman" w:hAnsi="Times New Roman" w:cs="Times New Roman"/>
          <w:color w:val="000000"/>
        </w:rPr>
        <w:t xml:space="preserve">feed conventional activity features (M1, M2) and the inspectable graph block (M3 only). The label is first CPC-subclass entry in</w:t>
      </w:r>
      <w:r>
        <w:rPr>
          <w:rFonts w:ascii="Times New Roman" w:hAnsi="Times New Roman" w:cs="Times New Roman"/>
          <w:color w:val="000000"/>
        </w:rPr>
        <w:t xml:space="preserve"> </w:t>
      </w:r>
      <m:oMath>
        <m:r>
          <m:t>t</m:t>
        </m:r>
        <m:r>
          <m:rPr>
            <m:sty m:val="p"/>
          </m:rPr>
          <m:t>+</m:t>
        </m:r>
        <m:r>
          <m:t>1</m:t>
        </m:r>
      </m:oMath>
      <w:r>
        <w:rPr>
          <w:rFonts w:ascii="Times New Roman" w:hAnsi="Times New Roman" w:cs="Times New Roman"/>
          <w:color w:val="000000"/>
        </w:rPr>
        <w:t xml:space="preserve">.</w:t>
      </w:r>
    </w:p>
    <w:p>
      <w:pPr>
        <w:pStyle w:val="BodyText"/>
      </w:pPr>
      <w:r>
        <w:rPr>
          <w:rFonts w:ascii="Times New Roman" w:hAnsi="Times New Roman" w:cs="Times New Roman"/>
          <w:color w:val="000000"/>
        </w:rPr>
        <w:drawing>
          <wp:inline>
            <wp:extent cx="5943600" cy="1358537"/>
            <wp:effectExtent b="0" l="0" r="0" t="0"/>
            <wp:docPr descr="" title="" id="27" name="Picture"/>
            <a:graphic>
              <a:graphicData uri="http://schemas.openxmlformats.org/drawingml/2006/picture">
                <pic:pic>
                  <pic:nvPicPr>
                    <pic:cNvPr descr="figures/figure1_architecture.png" id="28" name="Picture"/>
                    <pic:cNvPicPr>
                      <a:picLocks noChangeArrowheads="1" noChangeAspect="1"/>
                    </pic:cNvPicPr>
                  </pic:nvPicPr>
                  <pic:blipFill>
                    <a:blip r:embed="rId26"/>
                    <a:stretch>
                      <a:fillRect/>
                    </a:stretch>
                  </pic:blipFill>
                  <pic:spPr bwMode="auto">
                    <a:xfrm>
                      <a:off x="0" y="0"/>
                      <a:ext cx="5943600" cy="1358537"/>
                    </a:xfrm>
                    <a:prstGeom prst="rect">
                      <a:avLst/>
                    </a:prstGeom>
                    <a:noFill/>
                    <a:ln w="9525">
                      <a:noFill/>
                      <a:headEnd/>
                      <a:tailEnd/>
                    </a:ln>
                  </pic:spPr>
                </pic:pic>
              </a:graphicData>
            </a:graphic>
          </wp:inline>
        </w:drawing>
      </w:r>
    </w:p>
    <w:p>
      <w:pPr>
        <w:pStyle w:val="BodyText"/>
      </w:pPr>
      <w:r>
        <w:rPr>
          <w:bCs/>
          <w:rFonts w:ascii="Times New Roman" w:hAnsi="Times New Roman" w:cs="Times New Roman"/>
          <w:b/>
          <w:color w:val="000000"/>
        </w:rPr>
        <w:t xml:space="preserve">Figure 2.</w:t>
      </w:r>
      <w:r>
        <w:rPr>
          <w:rFonts w:ascii="Times New Roman" w:hAnsi="Times New Roman" w:cs="Times New Roman"/>
          <w:color w:val="000000"/>
        </w:rPr>
        <w:t xml:space="preserve"> </w:t>
      </w:r>
      <w:r>
        <w:rPr>
          <w:rFonts w:ascii="Times New Roman" w:hAnsi="Times New Roman" w:cs="Times New Roman"/>
          <w:color w:val="000000"/>
        </w:rPr>
        <w:t xml:space="preserve">Executed chronological split. Burn-in 2010–2012 freezes 30 CPC candidates; training uses 2013–2019; the dashed box is the unused 2020 embargo year; 2021–2022 is the test window. Thresholds are selected on 2019.</w:t>
      </w:r>
    </w:p>
    <w:p>
      <w:pPr>
        <w:pStyle w:val="BodyText"/>
      </w:pPr>
      <w:r>
        <w:rPr>
          <w:rFonts w:ascii="Times New Roman" w:hAnsi="Times New Roman" w:cs="Times New Roman"/>
          <w:color w:val="000000"/>
        </w:rPr>
        <w:drawing>
          <wp:inline>
            <wp:extent cx="5943600" cy="933994"/>
            <wp:effectExtent b="0" l="0" r="0" t="0"/>
            <wp:docPr descr="" title="" id="30" name="Picture"/>
            <a:graphic>
              <a:graphicData uri="http://schemas.openxmlformats.org/drawingml/2006/picture">
                <pic:pic>
                  <pic:nvPicPr>
                    <pic:cNvPr descr="figures/figure2_evaluation.png" id="31" name="Picture"/>
                    <pic:cNvPicPr>
                      <a:picLocks noChangeArrowheads="1" noChangeAspect="1"/>
                    </pic:cNvPicPr>
                  </pic:nvPicPr>
                  <pic:blipFill>
                    <a:blip r:embed="rId29"/>
                    <a:stretch>
                      <a:fillRect/>
                    </a:stretch>
                  </pic:blipFill>
                  <pic:spPr bwMode="auto">
                    <a:xfrm>
                      <a:off x="0" y="0"/>
                      <a:ext cx="5943600" cy="933994"/>
                    </a:xfrm>
                    <a:prstGeom prst="rect">
                      <a:avLst/>
                    </a:prstGeom>
                    <a:noFill/>
                    <a:ln w="9525">
                      <a:noFill/>
                      <a:headEnd/>
                      <a:tailEnd/>
                    </a:ln>
                  </pic:spPr>
                </pic:pic>
              </a:graphicData>
            </a:graphic>
          </wp:inline>
        </w:drawing>
      </w:r>
    </w:p>
    <w:p>
      <w:pPr>
        <w:pStyle w:val="BodyText"/>
      </w:pPr>
      <w:r>
        <w:rPr>
          <w:bCs/>
          <w:rFonts w:ascii="Times New Roman" w:hAnsi="Times New Roman" w:cs="Times New Roman"/>
          <w:b/>
          <w:color w:val="000000"/>
        </w:rPr>
        <w:t xml:space="preserve">Table 2.</w:t>
      </w:r>
      <w:r>
        <w:rPr>
          <w:rFonts w:ascii="Times New Roman" w:hAnsi="Times New Roman" w:cs="Times New Roman"/>
          <w:color w:val="000000"/>
        </w:rPr>
        <w:t xml:space="preserve"> </w:t>
      </w:r>
      <w:r>
        <w:rPr>
          <w:rFonts w:ascii="Times New Roman" w:hAnsi="Times New Roman" w:cs="Times New Roman"/>
          <w:color w:val="000000"/>
        </w:rPr>
        <w:t xml:space="preserve">Held-out performance on 2021–2022 (prevalence</w:t>
      </w:r>
      <w:r>
        <w:rPr>
          <w:rFonts w:ascii="Times New Roman" w:hAnsi="Times New Roman" w:cs="Times New Roman"/>
          <w:color w:val="000000"/>
        </w:rPr>
        <w:t xml:space="preserve"> </w:t>
      </w:r>
      <m:oMath>
        <m:r>
          <m:rPr>
            <m:sty m:val="p"/>
          </m:rPr>
          <m:t>=</m:t>
        </m:r>
        <m:r>
          <m:t>0.0111</m:t>
        </m:r>
      </m:oMath>
      <w:r>
        <w:rPr>
          <w:rFonts w:ascii="Times New Roman" w:hAnsi="Times New Roman" w:cs="Times New Roman"/>
          <w:color w:val="000000"/>
        </w:rPr>
        <w:t xml:space="preserve">). Higher is better except Brier score.</w:t>
      </w:r>
    </w:p>
    <w:tbl>
      <w:tblPr>
        <w:tblStyle w:val="Table"/>
        <w:tblW w:type="pct" w:w="5000"/>
        <w:tblLook w:firstRow="1" w:lastRow="0" w:firstColumn="0" w:lastColumn="0" w:noHBand="0" w:noVBand="0" w:val="0020"/>
        <w:jc w:val="star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50"/>
        <w:gridCol w:w="1667"/>
        <w:gridCol w:w="1667"/>
        <w:gridCol w:w="1667"/>
        <w:gridCol w:w="1667"/>
      </w:tblGrid>
      <w:tr>
        <w:trPr>
          <w:tblHeader w:val="true"/>
        </w:trPr>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b/>
                <w:color w:val="000000"/>
                <w:sz w:val="22"/>
              </w:rPr>
              <w:t xml:space="preserve">Model</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b/>
                <w:color w:val="000000"/>
                <w:sz w:val="22"/>
              </w:rPr>
              <w:t xml:space="preserve">Average precision</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b/>
                <w:color w:val="000000"/>
                <w:sz w:val="22"/>
              </w:rPr>
              <w:t xml:space="preserve">ROC-AUC</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b/>
                <w:color w:val="000000"/>
                <w:sz w:val="22"/>
              </w:rPr>
              <w:t xml:space="preserve">Balanced accuracy</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b/>
                <w:color w:val="000000"/>
                <w:sz w:val="22"/>
              </w:rPr>
              <w:t xml:space="preserve">Brier score</w:t>
            </w:r>
          </w:p>
        </w:tc>
      </w:tr>
      <w:tr>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M1 logistic</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0.0313</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0.703</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0.644</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0.156</w:t>
            </w:r>
          </w:p>
        </w:tc>
      </w:tr>
      <w:tr>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M2 random forest</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0.0155</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0.597</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0.573</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0.046</w:t>
            </w:r>
          </w:p>
        </w:tc>
      </w:tr>
      <w:tr>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left"/>
            </w:pPr>
            <w:r>
              <w:rPr>
                <w:rFonts w:ascii="Times New Roman" w:hAnsi="Times New Roman" w:cs="Times New Roman"/>
                <w:color w:val="000000"/>
                <w:sz w:val="22"/>
              </w:rPr>
              <w:t xml:space="preserve">M3 graph-feature forest</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0.0326</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0.748</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0.684</w:t>
            </w:r>
          </w:p>
        </w:tc>
        <w:tc>
          <w:tcPr>
            <w:tcBorders>
              <w:top w:val="single" w:sz="8" w:space="0" w:color="000000"/>
              <w:left w:val="single" w:sz="8" w:space="0" w:color="000000"/>
              <w:bottom w:val="single" w:sz="8" w:space="0" w:color="000000"/>
              <w:right w:val="single" w:sz="8" w:space="0" w:color="000000"/>
            </w:tcBorders>
            <w:shd w:val="clear" w:color="auto" w:fill="FFFFFF"/>
          </w:tcPr>
          <w:p>
            <w:pPr>
              <w:pStyle w:val="Compact"/>
              <w:spacing w:line="276" w:lineRule="auto" w:after="40" w:before="40"/>
              <w:jc w:val="right"/>
            </w:pPr>
            <w:r>
              <w:rPr>
                <w:rFonts w:ascii="Times New Roman" w:hAnsi="Times New Roman" w:cs="Times New Roman"/>
                <w:color w:val="000000"/>
                <w:sz w:val="22"/>
              </w:rPr>
              <w:t xml:space="preserve">0.025</w:t>
            </w:r>
          </w:p>
        </w:tc>
      </w:tr>
    </w:tbl>
    <w:p>
      <w:pPr>
        <w:pStyle w:val="BodyText"/>
      </w:pPr>
      <w:r>
        <w:rPr>
          <w:rFonts w:ascii="Times New Roman" w:hAnsi="Times New Roman" w:cs="Times New Roman"/>
          <w:color w:val="000000"/>
        </w:rPr>
        <w:t xml:space="preserve">Notes: Thresholds selected on 2019: 0.45 (M1), 0.11 (M2), 0.10 (M3). Firm-cluster bootstrap for M3</w:t>
      </w:r>
      <w:r>
        <w:rPr>
          <w:rFonts w:ascii="Times New Roman" w:hAnsi="Times New Roman" w:cs="Times New Roman"/>
          <w:color w:val="000000"/>
        </w:rPr>
        <w:t xml:space="preserve"> </w:t>
      </w:r>
      <m:oMath>
        <m:r>
          <m:rPr>
            <m:sty m:val="p"/>
          </m:rPr>
          <m:t>−</m:t>
        </m:r>
      </m:oMath>
      <w:r>
        <w:rPr>
          <w:rFonts w:ascii="Times New Roman" w:hAnsi="Times New Roman" w:cs="Times New Roman"/>
          <w:color w:val="000000"/>
        </w:rPr>
        <w:t xml:space="preserve"> </w:t>
      </w:r>
      <w:r>
        <w:rPr>
          <w:rFonts w:ascii="Times New Roman" w:hAnsi="Times New Roman" w:cs="Times New Roman"/>
          <w:color w:val="000000"/>
        </w:rPr>
        <w:t xml:space="preserve">M2 average precision:</w:t>
      </w:r>
      <w:r>
        <w:rPr>
          <w:rFonts w:ascii="Times New Roman" w:hAnsi="Times New Roman" w:cs="Times New Roman"/>
          <w:color w:val="000000"/>
        </w:rPr>
        <w:t xml:space="preserve"> </w:t>
      </w:r>
      <m:oMath>
        <m:r>
          <m:t>Δ</m:t>
        </m:r>
        <m:r>
          <m:rPr>
            <m:sty m:val="p"/>
          </m:rPr>
          <m:t>A</m:t>
        </m:r>
        <m:r>
          <m:rPr>
            <m:sty m:val="p"/>
          </m:rPr>
          <m:t>P</m:t>
        </m:r>
        <m:r>
          <m:rPr>
            <m:sty m:val="p"/>
          </m:rPr>
          <m:t>=</m:t>
        </m:r>
        <m:r>
          <m:t>0.0172</m:t>
        </m:r>
      </m:oMath>
      <w:r>
        <w:rPr>
          <w:rFonts w:ascii="Times New Roman" w:hAnsi="Times New Roman" w:cs="Times New Roman"/>
          <w:color w:val="000000"/>
        </w:rPr>
        <w:t xml:space="preserve"> </w:t>
      </w:r>
      <w:r>
        <w:rPr>
          <w:rFonts w:ascii="Times New Roman" w:hAnsi="Times New Roman" w:cs="Times New Roman"/>
          <w:color w:val="000000"/>
        </w:rPr>
        <w:t xml:space="preserve">(95% interval 0.0155 to 0.0191; 1,000 resamples).</w:t>
      </w:r>
    </w:p>
    <w:p>
      <w:pPr>
        <w:pStyle w:val="BodyText"/>
      </w:pPr>
      <w:r>
        <w:rPr>
          <w:rFonts w:ascii="Times New Roman" w:hAnsi="Times New Roman" w:cs="Times New Roman"/>
          <w:color w:val="000000"/>
        </w:rPr>
        <w:t xml:space="preserve">The M3–M2 interval excludes zero, so</w:t>
      </w:r>
      <w:r>
        <w:rPr>
          <w:rFonts w:ascii="Times New Roman" w:hAnsi="Times New Roman" w:cs="Times New Roman"/>
          <w:color w:val="000000"/>
        </w:rPr>
        <w:t xml:space="preserve"> </w:t>
      </w:r>
      <w:r>
        <w:rPr>
          <w:bCs/>
          <w:rFonts w:ascii="Times New Roman" w:hAnsi="Times New Roman" w:cs="Times New Roman"/>
          <w:b/>
          <w:color w:val="000000"/>
        </w:rPr>
        <w:t xml:space="preserve">H2 is supported</w:t>
      </w:r>
      <w:r>
        <w:rPr>
          <w:rFonts w:ascii="Times New Roman" w:hAnsi="Times New Roman" w:cs="Times New Roman"/>
          <w:color w:val="000000"/>
        </w:rPr>
        <w:t xml:space="preserve">. M3 also has the best ROC-AUC, balanced accuracy, and Brier score. Absolute average precision remains low (0.033, about 2.9 times the 1.11% base rate).</w:t>
      </w:r>
      <w:r>
        <w:rPr>
          <w:rFonts w:ascii="Times New Roman" w:hAnsi="Times New Roman" w:cs="Times New Roman"/>
          <w:color w:val="000000"/>
        </w:rPr>
        <w:t xml:space="preserve"> </w:t>
      </w:r>
      <w:r>
        <w:rPr>
          <w:bCs/>
          <w:rFonts w:ascii="Times New Roman" w:hAnsi="Times New Roman" w:cs="Times New Roman"/>
          <w:b/>
          <w:color w:val="000000"/>
        </w:rPr>
        <w:t xml:space="preserve">H1 is not claimed:</w:t>
      </w:r>
      <w:r>
        <w:rPr>
          <w:rFonts w:ascii="Times New Roman" w:hAnsi="Times New Roman" w:cs="Times New Roman"/>
          <w:color w:val="000000"/>
        </w:rPr>
        <w:t xml:space="preserve"> </w:t>
      </w:r>
      <w:r>
        <w:rPr>
          <w:rFonts w:ascii="Times New Roman" w:hAnsi="Times New Roman" w:cs="Times New Roman"/>
          <w:color w:val="000000"/>
        </w:rPr>
        <w:t xml:space="preserve">the strongest tabular model on average precision is M1 (0.0313), not M2 (0.0155). M3’s point-estimate advantage over M1 is 0.0013 and has no pre-specified interval. M2 is the weaker ranker on the same activity features, so the M3–M2 gain is evidence for the graph block rather than a generic advantage of random forests. A regularized linear ranker can outperform an untuned forest on rare events; that is why H1 is read against M1 and why H2, not a forest-versus-logistic contrast, is the graph-feature test.</w:t>
      </w:r>
    </w:p>
    <w:p>
      <w:pPr>
        <w:pStyle w:val="BodyText"/>
      </w:pPr>
      <w:r>
        <w:rPr>
          <w:rFonts w:ascii="Times New Roman" w:hAnsi="Times New Roman" w:cs="Times New Roman"/>
          <w:color w:val="000000"/>
        </w:rPr>
        <w:t xml:space="preserve">Graph features therefore add information the forest does not recover from activity features alone. That increment is what prior firm-specific TOD studies [1–7,11,17] typically leave unmeasured when evaluation is not leakage-controlled and many-firm. The increment still does not yield operational opportunity lists. M1 matches M3 on ranking yet has a much worse Brier score, so ranking and calibration must be reported together [22,23]. An average precision of 0.033 can help an analyst prioritize a review list; it cannot authorize class entry [8,15]. In R&amp;D portfolio screening, the scores can order a shortlist for human review, but they cannot replace due diligence on capability, market, or legal fit. The knowledge layer is an auditable feature block, not an opaque embedding or a new GNN [2,6,9,19–21].</w:t>
      </w:r>
    </w:p>
    <w:p>
      <w:pPr>
        <w:pStyle w:val="BodyText"/>
      </w:pPr>
      <w:r>
        <w:rPr>
          <w:rFonts w:ascii="Times New Roman" w:hAnsi="Times New Roman" w:cs="Times New Roman"/>
          <w:color w:val="000000"/>
        </w:rPr>
        <w:t xml:space="preserve">Assignee disambiguation, grant rather than filing dates, dump-dated current CPC rather than grant-time CPC, the 2010–2012 candidate freeze, restriction of</w:t>
      </w:r>
      <w:r>
        <w:rPr>
          <w:rFonts w:ascii="Times New Roman" w:hAnsi="Times New Roman" w:cs="Times New Roman"/>
          <w:color w:val="000000"/>
        </w:rPr>
        <w:t xml:space="preserve"> </w:t>
      </w:r>
      <m:oMath>
        <m:sSub>
          <m:e>
            <m:r>
              <m:t>P</m:t>
            </m:r>
          </m:e>
          <m:sub>
            <m:r>
              <m:t>f</m:t>
            </m:r>
            <m:r>
              <m:rPr>
                <m:sty m:val="p"/>
              </m:rPr>
              <m:t>,</m:t>
            </m:r>
            <m:r>
              <m:t>t</m:t>
            </m:r>
          </m:sub>
        </m:sSub>
      </m:oMath>
      <w:r>
        <w:rPr>
          <w:rFonts w:ascii="Times New Roman" w:hAnsi="Times New Roman" w:cs="Times New Roman"/>
          <w:color w:val="000000"/>
        </w:rPr>
        <w:t xml:space="preserve"> </w:t>
      </w:r>
      <w:r>
        <w:rPr>
          <w:rFonts w:ascii="Times New Roman" w:hAnsi="Times New Roman" w:cs="Times New Roman"/>
          <w:color w:val="000000"/>
        </w:rPr>
        <w:t xml:space="preserve">to those 30 classes, the window-relative first-entry definition, the absence of a per-feature graph ablation, and the single embargoed cutoff remain limitations [24,25]. A second chronological cutoff was not run. Scores should not be used for high-stakes decisions without independent validation.</w:t>
      </w:r>
    </w:p>
    <w:bookmarkEnd w:id="32"/>
    <w:bookmarkStart w:id="33" w:name="conclusion"/>
    <w:p>
      <w:pPr>
        <w:pStyle w:val="Heading2"/>
      </w:pPr>
      <w:r>
        <w:rPr>
          <w:rFonts w:ascii="Times New Roman" w:hAnsi="Times New Roman" w:cs="Times New Roman"/>
          <w:color w:val="000000"/>
        </w:rPr>
        <w:t xml:space="preserve">4. Conclusion</w:t>
      </w:r>
    </w:p>
    <w:p>
      <w:pPr>
        <w:pStyle w:val="FirstParagraph"/>
      </w:pPr>
      <w:r>
        <w:rPr>
          <w:rFonts w:ascii="Times New Roman" w:hAnsi="Times New Roman" w:cs="Times New Roman"/>
          <w:color w:val="000000"/>
        </w:rPr>
        <w:t xml:space="preserve">This short communication showed that, on PatentsView organization assignees from 2010–2023, temporal graph features improved the random forest on a 2021–2022 holdout, with a firm-clustered interval that excluded no gain. Logistic regression remained a strong ranking baseline, and absolute average precision stayed low. Relational features earn a place in a knowledge-based technology-opportunity system only as incremental, inspectable ranking signals.</w:t>
      </w:r>
    </w:p>
    <w:bookmarkEnd w:id="33"/>
    <w:bookmarkStart w:id="34" w:name="data-availability"/>
    <w:p>
      <w:pPr>
        <w:pStyle w:val="Heading2"/>
      </w:pPr>
      <w:r>
        <w:rPr>
          <w:rFonts w:ascii="Times New Roman" w:hAnsi="Times New Roman" w:cs="Times New Roman"/>
          <w:color w:val="000000"/>
        </w:rPr>
        <w:t xml:space="preserve">Data Availability</w:t>
      </w:r>
    </w:p>
    <w:p>
      <w:pPr>
        <w:pStyle w:val="FirstParagraph"/>
      </w:pPr>
      <w:r>
        <w:rPr>
          <w:rFonts w:ascii="Times New Roman" w:hAnsi="Times New Roman" w:cs="Times New Roman"/>
          <w:color w:val="000000"/>
        </w:rPr>
        <w:t xml:space="preserve">PatentsView metadata: Zenodo DOI 10.5281/zenodo.15058362 [24]. Processed extract, code, and reported outputs: https://github.com/eeshwar-research/research-paper. A DOI deposit of the processed table and metrics is still required for the journal’s research-data Option C. The GitHub archive is not a substitute for that deposit.</w:t>
      </w:r>
    </w:p>
    <w:bookmarkEnd w:id="34"/>
    <w:bookmarkStart w:id="35" w:name="declaration-of-competing-interest"/>
    <w:p>
      <w:pPr>
        <w:pStyle w:val="Heading2"/>
      </w:pPr>
      <w:r>
        <w:rPr>
          <w:rFonts w:ascii="Times New Roman" w:hAnsi="Times New Roman" w:cs="Times New Roman"/>
          <w:color w:val="000000"/>
        </w:rPr>
        <w:t xml:space="preserve">Declaration of Competing Interest</w:t>
      </w:r>
    </w:p>
    <w:p>
      <w:pPr>
        <w:pStyle w:val="FirstParagraph"/>
      </w:pPr>
      <w:r>
        <w:rPr>
          <w:rFonts w:ascii="Times New Roman" w:hAnsi="Times New Roman" w:cs="Times New Roman"/>
          <w:color w:val="000000"/>
        </w:rPr>
        <w:t xml:space="preserve">The author declares that there are no known competing financial interests or personal relationships that could have appeared to influence the work reported in this paper.</w:t>
      </w:r>
    </w:p>
    <w:bookmarkEnd w:id="35"/>
    <w:bookmarkStart w:id="36" w:name="Xfd35355eaff5be7167e13ac5f8f9ba5509cc5e8"/>
    <w:p>
      <w:pPr>
        <w:pStyle w:val="Heading2"/>
      </w:pPr>
      <w:r>
        <w:rPr>
          <w:rFonts w:ascii="Times New Roman" w:hAnsi="Times New Roman" w:cs="Times New Roman"/>
          <w:color w:val="000000"/>
        </w:rPr>
        <w:t xml:space="preserve">Declaration of Generative AI and AI-Assisted Technologies</w:t>
      </w:r>
    </w:p>
    <w:p>
      <w:pPr>
        <w:pStyle w:val="FirstParagraph"/>
      </w:pPr>
      <w:r>
        <w:rPr>
          <w:rFonts w:ascii="Times New Roman" w:hAnsi="Times New Roman" w:cs="Times New Roman"/>
          <w:color w:val="000000"/>
        </w:rPr>
        <w:t xml:space="preserve">During the preparation of this work the author used Cursor-hosted AI tools for literature metadata checking, language editing, and code documentation, and for artwork in the separate graphical-abstract file (not a manuscript figure). Figures 1 and 2 are author-drawn vector diagrams generated from the experiment protocol, not generative-AI images. After using these tools, the author reviewed and edited the content as needed and takes full responsibility for the content of the published article.</w:t>
      </w:r>
    </w:p>
    <w:bookmarkEnd w:id="36"/>
    <w:bookmarkStart w:id="37" w:name="funding"/>
    <w:p>
      <w:pPr>
        <w:pStyle w:val="Heading2"/>
      </w:pPr>
      <w:r>
        <w:rPr>
          <w:rFonts w:ascii="Times New Roman" w:hAnsi="Times New Roman" w:cs="Times New Roman"/>
          <w:color w:val="000000"/>
        </w:rPr>
        <w:t xml:space="preserve">Funding</w:t>
      </w:r>
    </w:p>
    <w:p>
      <w:pPr>
        <w:pStyle w:val="FirstParagraph"/>
      </w:pPr>
      <w:r>
        <w:rPr>
          <w:rFonts w:ascii="Times New Roman" w:hAnsi="Times New Roman" w:cs="Times New Roman"/>
          <w:color w:val="000000"/>
        </w:rPr>
        <w:t xml:space="preserve">This research did not receive any specific grant from funding agencies in the public, commercial, or not-for-profit sectors.</w:t>
      </w:r>
    </w:p>
    <w:bookmarkEnd w:id="37"/>
    <w:bookmarkStart w:id="38" w:name="credit-authorship-contribution-statement"/>
    <w:p>
      <w:pPr>
        <w:pStyle w:val="Heading2"/>
      </w:pPr>
      <w:r>
        <w:rPr>
          <w:rFonts w:ascii="Times New Roman" w:hAnsi="Times New Roman" w:cs="Times New Roman"/>
          <w:color w:val="000000"/>
        </w:rPr>
        <w:t xml:space="preserve">CRediT Authorship Contribution Statement</w:t>
      </w:r>
    </w:p>
    <w:p>
      <w:pPr>
        <w:pStyle w:val="FirstParagraph"/>
      </w:pPr>
      <w:r>
        <w:rPr>
          <w:bCs/>
          <w:rFonts w:ascii="Times New Roman" w:hAnsi="Times New Roman" w:cs="Times New Roman"/>
          <w:b/>
          <w:color w:val="000000"/>
        </w:rPr>
        <w:t xml:space="preserve">Eeshwar:</w:t>
      </w:r>
      <w:r>
        <w:rPr>
          <w:rFonts w:ascii="Times New Roman" w:hAnsi="Times New Roman" w:cs="Times New Roman"/>
          <w:color w:val="000000"/>
        </w:rPr>
        <w:t xml:space="preserve"> </w:t>
      </w:r>
      <w:r>
        <w:rPr>
          <w:rFonts w:ascii="Times New Roman" w:hAnsi="Times New Roman" w:cs="Times New Roman"/>
          <w:color w:val="000000"/>
        </w:rPr>
        <w:t xml:space="preserve">Conceptualization, Methodology, Software, Investigation, Formal analysis, Validation, Data curation, Visualization, Writing – original draft, Writing – review and editing.</w:t>
      </w:r>
    </w:p>
    <w:bookmarkEnd w:id="38"/>
    <w:bookmarkStart w:id="39" w:name="acknowledgements"/>
    <w:p>
      <w:pPr>
        <w:pStyle w:val="Heading2"/>
      </w:pPr>
      <w:r>
        <w:rPr>
          <w:rFonts w:ascii="Times New Roman" w:hAnsi="Times New Roman" w:cs="Times New Roman"/>
          <w:color w:val="000000"/>
        </w:rPr>
        <w:t xml:space="preserve">Acknowledgements</w:t>
      </w:r>
    </w:p>
    <w:p>
      <w:pPr>
        <w:pStyle w:val="FirstParagraph"/>
      </w:pPr>
      <w:r>
        <w:rPr>
          <w:rFonts w:ascii="Times New Roman" w:hAnsi="Times New Roman" w:cs="Times New Roman"/>
          <w:color w:val="000000"/>
        </w:rPr>
        <w:t xml:space="preserve">The author thanks the USPTO PatentsView program for disambiguated patent metadata.</w:t>
      </w:r>
    </w:p>
    <w:bookmarkEnd w:id="39"/>
    <w:bookmarkStart w:id="40" w:name="references"/>
    <w:p>
      <w:pPr>
        <w:pStyle w:val="Heading2"/>
      </w:pPr>
      <w:r>
        <w:rPr>
          <w:rFonts w:ascii="Times New Roman" w:hAnsi="Times New Roman" w:cs="Times New Roman"/>
          <w:color w:val="000000"/>
        </w:rPr>
        <w:t xml:space="preserve">References</w:t>
      </w:r>
    </w:p>
    <w:p>
      <w:pPr>
        <w:pStyle w:val="FirstParagraph"/>
      </w:pPr>
      <w:r>
        <w:rPr>
          <w:rFonts w:ascii="Times New Roman" w:hAnsi="Times New Roman" w:cs="Times New Roman"/>
          <w:color w:val="000000"/>
        </w:rPr>
        <w:t xml:space="preserve">[1] J. Lee, N. Ko, J. Yoon, C. Son, An approach for discovering firm-specific technology opportunities: Application of link prediction to F-term networks, Technol. Forecast. Soc. Change 168 (2021) 120746. https://doi.org/10.1016/j.techfore.2021.120746.</w:t>
      </w:r>
    </w:p>
    <w:p>
      <w:pPr>
        <w:pStyle w:val="BodyText"/>
      </w:pPr>
      <w:r>
        <w:rPr>
          <w:rFonts w:ascii="Times New Roman" w:hAnsi="Times New Roman" w:cs="Times New Roman"/>
          <w:color w:val="000000"/>
        </w:rPr>
        <w:t xml:space="preserve">[2] M. Park, Y. Geum, Two-stage technology opportunity discovery for firm-level decision making: GCN-based link-prediction approach, Technol. Forecast. Soc. Change 183 (2022) 121934. https://doi.org/10.1016/j.techfore.2022.121934.</w:t>
      </w:r>
    </w:p>
    <w:p>
      <w:pPr>
        <w:pStyle w:val="BodyText"/>
      </w:pPr>
      <w:r>
        <w:rPr>
          <w:rFonts w:ascii="Times New Roman" w:hAnsi="Times New Roman" w:cs="Times New Roman"/>
          <w:color w:val="000000"/>
        </w:rPr>
        <w:t xml:space="preserve">[3] J. Choi, C. Lee, J. Yoon, Exploring a technology ecology for technology opportunity discovery: A link prediction approach using heterogeneous knowledge graphs, Technol. Forecast. Soc. Change 186 (2023) 122161. https://doi.org/10.1016/j.techfore.2022.122161.</w:t>
      </w:r>
    </w:p>
    <w:p>
      <w:pPr>
        <w:pStyle w:val="BodyText"/>
      </w:pPr>
      <w:r>
        <w:rPr>
          <w:rFonts w:ascii="Times New Roman" w:hAnsi="Times New Roman" w:cs="Times New Roman"/>
          <w:color w:val="000000"/>
        </w:rPr>
        <w:t xml:space="preserve">[4] Y. Seol, S. Lee, C. Kim, J. Yoon, J. Choi, Towards firm-specific technology opportunities: A rule-based machine learning approach to technology portfolio analysis, J. Informetr. 17 (4) (2023) 101464. https://doi.org/10.1016/j.joi.2023.101464.</w:t>
      </w:r>
    </w:p>
    <w:p>
      <w:pPr>
        <w:pStyle w:val="BodyText"/>
      </w:pPr>
      <w:r>
        <w:rPr>
          <w:rFonts w:ascii="Times New Roman" w:hAnsi="Times New Roman" w:cs="Times New Roman"/>
          <w:color w:val="000000"/>
        </w:rPr>
        <w:t xml:space="preserve">[5] Y. Wu, Y. Ji, Identifying firm-specific technology opportunities from the perspective of competitors by using association rule mining, J. Informetr. 17 (2) (2023) 101398. https://doi.org/10.1016/j.joi.2023.101398.</w:t>
      </w:r>
    </w:p>
    <w:p>
      <w:pPr>
        <w:pStyle w:val="BodyText"/>
      </w:pPr>
      <w:r>
        <w:rPr>
          <w:rFonts w:ascii="Times New Roman" w:hAnsi="Times New Roman" w:cs="Times New Roman"/>
          <w:color w:val="000000"/>
        </w:rPr>
        <w:t xml:space="preserve">[6] Y. Wu, Z. Lin, Y. Ji, F. Gu, Identifying firm-specific technology opportunities: Heterogeneous graph neural network-based link prediction, Technovation 151 (2026) 103405. https://doi.org/10.1016/j.technovation.2025.103405.</w:t>
      </w:r>
    </w:p>
    <w:p>
      <w:pPr>
        <w:pStyle w:val="BodyText"/>
      </w:pPr>
      <w:r>
        <w:rPr>
          <w:rFonts w:ascii="Times New Roman" w:hAnsi="Times New Roman" w:cs="Times New Roman"/>
          <w:color w:val="000000"/>
        </w:rPr>
        <w:t xml:space="preserve">[7] R. Zhao, W. Wei, Z. Zhu, Discovering firm technology opportunities by machine learning prediction method based on firm’s technology portfolio, Technol. Forecast. Soc. Change 221 (2025) 124305. https://doi.org/10.1016/j.techfore.2025.124305.</w:t>
      </w:r>
    </w:p>
    <w:p>
      <w:pPr>
        <w:pStyle w:val="BodyText"/>
      </w:pPr>
      <w:r>
        <w:rPr>
          <w:rFonts w:ascii="Times New Roman" w:hAnsi="Times New Roman" w:cs="Times New Roman"/>
          <w:color w:val="000000"/>
        </w:rPr>
        <w:t xml:space="preserve">[8] Y. Park, J. Yoon, Application technology opportunity discovery from technology portfolios: Use of patent classification and collaborative filtering, Technol. Forecast. Soc. Change 118 (2017) 170–183. https://doi.org/10.1016/j.techfore.2017.02.018.</w:t>
      </w:r>
    </w:p>
    <w:p>
      <w:pPr>
        <w:pStyle w:val="BodyText"/>
      </w:pPr>
      <w:r>
        <w:rPr>
          <w:rFonts w:ascii="Times New Roman" w:hAnsi="Times New Roman" w:cs="Times New Roman"/>
          <w:color w:val="000000"/>
        </w:rPr>
        <w:t xml:space="preserve">[9] Z. Liu, J. Feng, L. Uden, Technology opportunity analysis using hierarchical semantic networks and dual link prediction, Technovation 128 (2023) 102872. https://doi.org/10.1016/j.technovation.2023.102872.</w:t>
      </w:r>
    </w:p>
    <w:p>
      <w:pPr>
        <w:pStyle w:val="BodyText"/>
      </w:pPr>
      <w:r>
        <w:rPr>
          <w:rFonts w:ascii="Times New Roman" w:hAnsi="Times New Roman" w:cs="Times New Roman"/>
          <w:color w:val="000000"/>
        </w:rPr>
        <w:t xml:space="preserve">[10] I. Park, B. Yoon, Technological opportunity discovery for technological convergence based on the prediction of technology knowledge flow in a citation network, J. Informetr. 12 (4) (2018) 1199–1222. https://doi.org/10.1016/j.joi.2018.09.007.</w:t>
      </w:r>
    </w:p>
    <w:p>
      <w:pPr>
        <w:pStyle w:val="BodyText"/>
      </w:pPr>
      <w:r>
        <w:rPr>
          <w:rFonts w:ascii="Times New Roman" w:hAnsi="Times New Roman" w:cs="Times New Roman"/>
          <w:color w:val="000000"/>
        </w:rPr>
        <w:t xml:space="preserve">[11] J. Feng, M. Li, X. Wang, Knowledge-driven patent recommendation toward firm-specific technology opportunities using multilayer cross-citation network and machine learning, Adv. Eng. Inform. 76 (2026) 104850. https://doi.org/10.1016/j.aei.2026.104850.</w:t>
      </w:r>
    </w:p>
    <w:p>
      <w:pPr>
        <w:pStyle w:val="BodyText"/>
      </w:pPr>
      <w:r>
        <w:rPr>
          <w:rFonts w:ascii="Times New Roman" w:hAnsi="Times New Roman" w:cs="Times New Roman"/>
          <w:color w:val="000000"/>
        </w:rPr>
        <w:t xml:space="preserve">[12] Z.-X. Chang, W. Guo, H.-Y. Shao, L. Wang, Z.-L. Wang, Y.-R. Zhang, A framework for technology opportunity discovery using GAT-based link prediction and network analysis, Adv. Eng. Inform. 66 (2025) 103498. https://doi.org/10.1016/j.aei.2025.103498.</w:t>
      </w:r>
    </w:p>
    <w:p>
      <w:pPr>
        <w:pStyle w:val="BodyText"/>
      </w:pPr>
      <w:r>
        <w:rPr>
          <w:rFonts w:ascii="Times New Roman" w:hAnsi="Times New Roman" w:cs="Times New Roman"/>
          <w:color w:val="000000"/>
        </w:rPr>
        <w:t xml:space="preserve">[13] Z. Wang, W. Guo, H. Shao, L. Wang, Z. Chang, Y. Zhang, Z. Liu, From technology opportunities to solutions generation via patent analysis: Application of machine learning-based link prediction, Adv. Eng. Inform. 62 (2024) 102944. https://doi.org/10.1016/j.aei.2024.102944.</w:t>
      </w:r>
    </w:p>
    <w:p>
      <w:pPr>
        <w:pStyle w:val="BodyText"/>
      </w:pPr>
      <w:r>
        <w:rPr>
          <w:rFonts w:ascii="Times New Roman" w:hAnsi="Times New Roman" w:cs="Times New Roman"/>
          <w:color w:val="000000"/>
        </w:rPr>
        <w:t xml:space="preserve">[14] Y. Geum, M. Kim, How to identify promising chances for technological innovation: Keygraph-based patent analysis, Adv. Eng. Inform. 46 (2020) 101155. https://doi.org/10.1016/j.aei.2020.101155.</w:t>
      </w:r>
    </w:p>
    <w:p>
      <w:pPr>
        <w:pStyle w:val="BodyText"/>
      </w:pPr>
      <w:r>
        <w:rPr>
          <w:rFonts w:ascii="Times New Roman" w:hAnsi="Times New Roman" w:cs="Times New Roman"/>
          <w:color w:val="000000"/>
        </w:rPr>
        <w:t xml:space="preserve">[15] J. Zhao, J. Li, X. Xi, W. Liu, Embracing technological opportunities based on heterogeneous networks: An integrated link prediction approach for technology convergence of firms, Technol. Forecast. Soc. Change 229 (2026) 124701. https://doi.org/10.1016/j.techfore.2026.124701.</w:t>
      </w:r>
    </w:p>
    <w:p>
      <w:pPr>
        <w:pStyle w:val="BodyText"/>
      </w:pPr>
      <w:r>
        <w:rPr>
          <w:rFonts w:ascii="Times New Roman" w:hAnsi="Times New Roman" w:cs="Times New Roman"/>
          <w:color w:val="000000"/>
        </w:rPr>
        <w:t xml:space="preserve">[16] A. Rodriguez, A. Tosyali, B. Kim, J. Choi, J.-M. Lee, B.-Y. Coh, M.K. Jeong, Patent clustering and outlier ranking methodologies for attributed patent citation networks for technology opportunity discovery, IEEE Trans. Eng. Manag. 63 (4) (2016) 426–437. https://doi.org/10.1109/TEM.2016.2580619.</w:t>
      </w:r>
    </w:p>
    <w:p>
      <w:pPr>
        <w:pStyle w:val="BodyText"/>
      </w:pPr>
      <w:r>
        <w:rPr>
          <w:rFonts w:ascii="Times New Roman" w:hAnsi="Times New Roman" w:cs="Times New Roman"/>
          <w:color w:val="000000"/>
        </w:rPr>
        <w:t xml:space="preserve">[17] Z. Liu, X. Wang, J. Feng, Firm-specific patent recommendation using topology-based link prediction and SAO embedding method, IEEE Trans. Eng. Manag. 72 (2025) 2097–2115. https://doi.org/10.1109/TEM.2025.3570659.</w:t>
      </w:r>
    </w:p>
    <w:p>
      <w:pPr>
        <w:pStyle w:val="BodyText"/>
      </w:pPr>
      <w:r>
        <w:rPr>
          <w:rFonts w:ascii="Times New Roman" w:hAnsi="Times New Roman" w:cs="Times New Roman"/>
          <w:color w:val="000000"/>
        </w:rPr>
        <w:t xml:space="preserve">[18] S. Sarica, J. Luo, K.L. Wood, TechNet: Technology semantic network based on patent data, Expert Syst. Appl. 142 (2020) 112995. https://doi.org/10.1016/j.eswa.2019.112995.</w:t>
      </w:r>
    </w:p>
    <w:p>
      <w:pPr>
        <w:pStyle w:val="BodyText"/>
      </w:pPr>
      <w:r>
        <w:rPr>
          <w:rFonts w:ascii="Times New Roman" w:hAnsi="Times New Roman" w:cs="Times New Roman"/>
          <w:color w:val="000000"/>
        </w:rPr>
        <w:t xml:space="preserve">[19] Q. Wang, Z. Mao, B. Wang, L. Guo, Knowledge graph embedding: A survey of approaches and applications, IEEE Trans. Knowl. Data Eng. 29 (12) (2017) 2724–2743. https://doi.org/10.1109/TKDE.2017.2754499.</w:t>
      </w:r>
    </w:p>
    <w:p>
      <w:pPr>
        <w:pStyle w:val="BodyText"/>
      </w:pPr>
      <w:r>
        <w:rPr>
          <w:rFonts w:ascii="Times New Roman" w:hAnsi="Times New Roman" w:cs="Times New Roman"/>
          <w:color w:val="000000"/>
        </w:rPr>
        <w:t xml:space="preserve">[20] S. Ji, S. Pan, E. Cambria, P. Marttinen, P.S. Yu, A survey on knowledge graphs: Representation, acquisition, and applications, IEEE Trans. Neural Netw. Learn. Syst. 33 (2) (2022) 494–514. https://doi.org/10.1109/TNNLS.2021.3070843.</w:t>
      </w:r>
    </w:p>
    <w:p>
      <w:pPr>
        <w:pStyle w:val="BodyText"/>
      </w:pPr>
      <w:r>
        <w:rPr>
          <w:rFonts w:ascii="Times New Roman" w:hAnsi="Times New Roman" w:cs="Times New Roman"/>
          <w:color w:val="000000"/>
        </w:rPr>
        <w:t xml:space="preserve">[21] P. Goyal, E. Ferrara, Graph embedding techniques, applications, and performance: A survey, Knowl.-Based Syst. 151 (2018) 78–94. https://doi.org/10.1016/j.knosys.2018.03.022.</w:t>
      </w:r>
    </w:p>
    <w:p>
      <w:pPr>
        <w:pStyle w:val="BodyText"/>
      </w:pPr>
      <w:r>
        <w:rPr>
          <w:rFonts w:ascii="Times New Roman" w:hAnsi="Times New Roman" w:cs="Times New Roman"/>
          <w:color w:val="000000"/>
        </w:rPr>
        <w:t xml:space="preserve">[22] Z. Yang, S. Dong, HAGERec: Hierarchical attention graph convolutional network incorporating knowledge graph for explainable recommendation, Knowl.-Based Syst. 204 (2020) 106194. https://doi.org/10.1016/j.knosys.2020.106194.</w:t>
      </w:r>
    </w:p>
    <w:p>
      <w:pPr>
        <w:pStyle w:val="BodyText"/>
      </w:pPr>
      <w:r>
        <w:rPr>
          <w:rFonts w:ascii="Times New Roman" w:hAnsi="Times New Roman" w:cs="Times New Roman"/>
          <w:color w:val="000000"/>
        </w:rPr>
        <w:t xml:space="preserve">[23] R. Shimizu, M. Matsutani, M. Goto, An explainable recommendation framework based on an improved knowledge graph attention network with massive volumes of side information, Knowl.-Based Syst. 239 (2022) 107970. https://doi.org/10.1016/j.knosys.2021.107970.</w:t>
      </w:r>
    </w:p>
    <w:p>
      <w:pPr>
        <w:pStyle w:val="BodyText"/>
      </w:pPr>
      <w:r>
        <w:rPr>
          <w:rFonts w:ascii="Times New Roman" w:hAnsi="Times New Roman" w:cs="Times New Roman"/>
          <w:color w:val="000000"/>
        </w:rPr>
        <w:t xml:space="preserve">[24] [dataset] United States Patent and Trademark Office, Final release of PatentsView metadata, pre-grant and granted (12/31/2024), Zenodo, 2025. https://doi.org/10.5281/zenodo.15058362.</w:t>
      </w:r>
    </w:p>
    <w:p>
      <w:pPr>
        <w:pStyle w:val="BodyText"/>
      </w:pPr>
      <w:r>
        <w:rPr>
          <w:rFonts w:ascii="Times New Roman" w:hAnsi="Times New Roman" w:cs="Times New Roman"/>
          <w:color w:val="000000"/>
        </w:rPr>
        <w:t xml:space="preserve">[25] United States Patent and Trademark Office, PatentsView: Research-ready patent data and data downloads, 2026. https://www.uspto.gov/ip-policy/economic-research/patentsview (accessed 24 October 2026).</w:t>
      </w:r>
    </w:p>
    <w:bookmarkEnd w:id="40"/>
    <w:bookmarkEnd w:id="41"/>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asciiTheme="majorHAnsi" w:cs="Times New Roman" w:cstheme="majorBidi" w:eastAsia="Times New Roman"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asciiTheme="majorHAnsi" w:cs="Times New Roman"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outlineLvl w:val="2"/>
    </w:pPr>
    <w:rPr>
      <w:rFonts w:ascii="Times New Roman" w:asciiTheme="majorHAnsi" w:cs="Times New Roman"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76" w:lineRule="auto"/>
      <w:contextualSpacing/>
      <w:jc w:val="center"/>
    </w:pPr>
    <w:rPr>
      <w:rFonts w:ascii="Times New Roman" w:asciiTheme="majorHAnsi" w:cs="Times New Roman"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2026-10-24T15:55:32Z</dcterms:created>
  <dcterms:modified xsi:type="dcterms:W3CDTF">2026-10-24T15:55:32Z</dcterms:modified>
</cp:coreProperties>
</file>

<file path=docProps/custom.xml><?xml version="1.0" encoding="utf-8"?>
<Properties xmlns="http://schemas.openxmlformats.org/officeDocument/2006/custom-properties" xmlns:vt="http://schemas.openxmlformats.org/officeDocument/2006/docPropsVTypes"/>
</file>