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F56EF">
      <w:pPr>
        <w:pStyle w:val="31"/>
        <w:widowControl/>
        <w:spacing w:before="0" w:after="80" w:line="600" w:lineRule="exact"/>
        <w:jc w:val="center"/>
        <w:ind w:right="1800"/>
      </w:pPr>
      <w:r>
        <w:rPr>
          <w:rFonts w:ascii="Arial" w:hAnsi="Arial" w:eastAsia="PingFang SC"/>
          <w:b/>
          <w:i w:val="0"/>
          <w:color w:val="000000"/>
          <w:sz w:val="46"/>
        </w:rPr>
        <w:t xml:space="preserve">Yue Chen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0">
            <wp:simplePos x="0" y="0"/>
            <wp:positionH relativeFrom="margin">
              <wp:posOffset>5458460</wp:posOffset>
            </wp:positionH>
            <wp:positionV relativeFrom="paragraph">
              <wp:posOffset>0</wp:posOffset>
            </wp:positionV>
            <wp:extent cx="914400" cy="1142593"/>
            <wp:effectExtent l="0" t="0" r="0" b="0"/>
            <wp:wrapNone/>
            <wp:docPr id="1" name="Picture 1" descr="Portrait of Yue Ch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1025000453_415_31.png"/>
                    <pic:cNvPicPr/>
                  </pic:nvPicPr>
                  <pic:blipFill>
                    <a:blip r:embed="rIdEnglishCVPortrai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42593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A26E6E0">
      <w:pPr>
        <w:widowControl/>
        <w:spacing w:before="0" w:after="100" w:line="284" w:lineRule="exact"/>
        <w:jc w:val="center"/>
        <w:ind w:right="1800"/>
      </w:pPr>
      <w:r>
        <w:rPr>
          <w:rFonts w:ascii="Arial" w:hAnsi="Arial" w:eastAsia="PingFang SC"/>
          <w:b w:val="0"/>
          <w:i w:val="0"/>
          <w:color w:val="444444"/>
          <w:sz w:val="19"/>
        </w:rPr>
        <w:t>cheny2639@mail2.sysu.edu.cn  |  github.com/ef1026</w:t>
      </w:r>
    </w:p>
    <w:p w14:paraId="68CED8D6">
      <w:pPr>
        <w:widowControl/>
        <w:spacing w:before="0" w:after="40" w:line="284" w:lineRule="exact"/>
        <w:jc w:val="center"/>
        <w:ind w:right="1800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Seeking: </w:t>
      </w: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Algorithm Research Internship</w:t>
        <w:br/>
        <w:t>Document Intelligence / Multimodal Learning / RAG</w:t>
      </w:r>
    </w:p>
    <w:p w14:paraId="1DA8ED6D">
      <w:pPr>
        <w:pStyle w:val="3"/>
        <w:keepNext/>
        <w:widowControl/>
        <w:pBdr>
          <w:bottom w:val="single" w:color="B8B8B8" w:sz="4" w:space="3"/>
        </w:pBdr>
        <w:spacing w:before="140" w:after="80" w:line="284" w:lineRule="exact"/>
      </w:pPr>
      <w:r>
        <w:rPr>
          <w:rFonts w:ascii="Arial" w:hAnsi="Arial" w:eastAsia="PingFang SC"/>
          <w:b/>
          <w:i w:val="0"/>
          <w:color w:val="000000"/>
          <w:sz w:val="23"/>
        </w:rPr>
        <w:t xml:space="preserve">Education</w:t>
      </w:r>
    </w:p>
    <w:p w14:paraId="20213A71">
      <w:pPr>
        <w:keepNext/>
        <w:widowControl/>
        <w:tabs>
          <w:tab w:val="right" w:pos="10035"/>
        </w:tabs>
        <w:spacing w:before="60" w:after="2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Sun Yat-sen University</w:t>
      </w:r>
      <w:r>
        <w:rPr>
          <w:rFonts w:ascii="Arial" w:hAnsi="Arial" w:eastAsia="PingFang SC"/>
          <w:b w:val="0"/>
          <w:i w:val="0"/>
          <w:color w:val="000000"/>
          <w:sz w:val="19"/>
        </w:rPr>
        <w:tab/>
      </w:r>
      <w:r>
        <w:rPr>
          <w:rFonts w:ascii="Arial" w:hAnsi="Arial" w:eastAsia="PingFang SC"/>
          <w:b w:val="0"/>
          <w:i w:val="0"/>
          <w:color w:val="000000"/>
          <w:sz w:val="19"/>
        </w:rPr>
        <w:t xml:space="preserve">2024–2028</w:t>
      </w:r>
    </w:p>
    <w:p w14:paraId="0955DF97">
      <w:pPr>
        <w:keepNext/>
        <w:widowControl/>
        <w:spacing w:before="0" w:after="40" w:line="260" w:lineRule="exact"/>
      </w:pPr>
      <w:r>
        <w:rPr>
          <w:rFonts w:ascii="Arial" w:hAnsi="Arial" w:eastAsia="PingFang SC"/>
          <w:b w:val="0"/>
          <w:i w:val="0"/>
          <w:color w:val="444444"/>
          <w:sz w:val="18"/>
        </w:rPr>
        <w:t xml:space="preserve">Microelectronics Science and Engineering · Undergraduate</w:t>
      </w:r>
    </w:p>
    <w:p w14:paraId="65DE4460">
      <w:pPr>
        <w:pStyle w:val="3"/>
        <w:keepNext/>
        <w:widowControl/>
        <w:pBdr>
          <w:bottom w:val="single" w:color="B8B8B8" w:sz="4" w:space="3"/>
        </w:pBdr>
        <w:spacing w:before="140" w:after="80" w:line="284" w:lineRule="exact"/>
      </w:pPr>
      <w:r>
        <w:rPr>
          <w:rFonts w:ascii="Arial" w:hAnsi="Arial" w:eastAsia="PingFang SC"/>
          <w:b/>
          <w:i w:val="0"/>
          <w:color w:val="000000"/>
          <w:sz w:val="23"/>
        </w:rPr>
        <w:t xml:space="preserve">Research and Algorithm Projects</w:t>
      </w:r>
    </w:p>
    <w:p w14:paraId="648061D6">
      <w:pPr>
        <w:keepNext/>
        <w:widowControl/>
        <w:tabs>
          <w:tab w:val="right" w:pos="10035"/>
        </w:tabs>
        <w:spacing w:before="60" w:after="2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ProSA | Structural Robustness Auditing for Document Parsing</w:t>
      </w:r>
      <w:r>
        <w:rPr>
          <w:rFonts w:ascii="Arial" w:hAnsi="Arial" w:eastAsia="PingFang SC"/>
          <w:b w:val="0"/>
          <w:i w:val="0"/>
          <w:color w:val="000000"/>
          <w:sz w:val="19"/>
        </w:rPr>
        <w:tab/>
      </w:r>
      <w:r>
        <w:rPr>
          <w:rFonts w:ascii="Arial" w:hAnsi="Arial" w:eastAsia="PingFang SC"/>
          <w:b w:val="0"/>
          <w:i w:val="0"/>
          <w:color w:val="000000"/>
          <w:sz w:val="19"/>
        </w:rPr>
        <w:t xml:space="preserve">2026</w:t>
      </w:r>
    </w:p>
    <w:p w14:paraId="3FEE44CA">
      <w:pPr>
        <w:keepNext/>
        <w:widowControl/>
        <w:spacing w:before="0" w:after="40" w:line="260" w:lineRule="exact"/>
      </w:pPr>
      <w:r>
        <w:rPr>
          <w:rFonts w:ascii="Arial" w:hAnsi="Arial" w:eastAsia="PingFang SC"/>
          <w:b w:val="0"/>
          <w:i w:val="0"/>
          <w:color w:val="444444"/>
          <w:sz w:val="18"/>
        </w:rPr>
        <w:t xml:space="preserve">Accepted at EMNLP 2026 Main Conference · First Author</w:t>
      </w:r>
      <w:r>
        <w:fldChar w:fldCharType="begin"/>
      </w:r>
      <w:r>
        <w:instrText xml:space="preserve"> HYPERLINK "https://arxiv.org/abs/2605.19309" \h </w:instrText>
      </w:r>
      <w:r>
        <w:fldChar w:fldCharType="separate"/>
      </w:r>
      <w:r>
        <w:rPr>
          <w:rFonts w:ascii="Arial" w:hAnsi="Arial" w:eastAsia="PingFang SC"/>
          <w:color w:val="444444"/>
          <w:sz w:val="18"/>
        </w:rPr>
        <w:br w:type="textWrapping"/>
      </w:r>
      <w:r>
        <w:rPr>
          <w:rFonts w:ascii="Arial" w:hAnsi="Arial" w:eastAsia="PingFang SC"/>
          <w:color w:val="444444"/>
          <w:sz w:val="18"/>
        </w:rPr>
        <w:t>arXiv: arxiv.org/abs/2605.19309</w:t>
      </w:r>
      <w:r>
        <w:rPr>
          <w:rFonts w:ascii="Arial" w:hAnsi="Arial" w:eastAsia="PingFang SC"/>
          <w:color w:val="444444"/>
          <w:sz w:val="18"/>
        </w:rPr>
        <w:fldChar w:fldCharType="end"/>
      </w:r>
      <w:r>
        <w:fldChar w:fldCharType="begin"/>
      </w:r>
      <w:r>
        <w:instrText xml:space="preserve"> HYPERLINK "https://github.com/ef1026/ProSA" \h </w:instrText>
      </w:r>
      <w:r>
        <w:fldChar w:fldCharType="separate"/>
      </w:r>
      <w:r>
        <w:rPr>
          <w:rFonts w:ascii="Arial" w:hAnsi="Arial" w:eastAsia="PingFang SC"/>
          <w:color w:val="444444"/>
          <w:sz w:val="18"/>
        </w:rPr>
        <w:t xml:space="preserve">   |   GitHub: github.com/ef1026/ProSA</w:t>
      </w:r>
      <w:r>
        <w:rPr>
          <w:rFonts w:ascii="Arial" w:hAnsi="Arial" w:eastAsia="PingFang SC"/>
          <w:color w:val="444444"/>
          <w:sz w:val="18"/>
        </w:rPr>
        <w:fldChar w:fldCharType="end"/>
      </w:r>
    </w:p>
    <w:p w14:paraId="5156E34F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Led the development of ProSA, an auditing framework requiring no access to parser internals. To address Footprint Bias in measuring parsing damage by perturbation area, designed the block-level structural loss rate B-SLR to jointly assess block locations and text preservation.</w:t>
      </w:r>
    </w:p>
    <w:p w14:paraId="209BE36A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Led the research direction, experimental design and core validation; evaluated MinerU and PP-StructureV3 and analyzed how structural errors propagate to downstream question answering and retrieval.</w:t>
      </w:r>
    </w:p>
    <w:p w14:paraId="5428B435">
      <w:pPr>
        <w:widowControl/>
        <w:spacing w:before="0" w:after="40" w:line="260" w:lineRule="exact"/>
        <w:ind w:left="181" w:hanging="181"/>
        <w:rPr>
          <w:rFonts w:ascii="Arial" w:hAnsi="Arial" w:eastAsia="PingFang SC"/>
          <w:b w:val="0"/>
          <w:i w:val="0"/>
          <w:color w:val="000000"/>
          <w:sz w:val="20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Across 1,000 document pages and 29 fixed perturbation configurations, B-SLR achieved fitted R² values of 0.727 / 0.916 against changes in OCR character error rate, exceeding 0.384 / 0.110 for the area-based metric.</w:t>
      </w:r>
    </w:p>
    <w:p w14:paraId="20D6A90D">
      <w:pPr>
        <w:keepNext/>
        <w:widowControl/>
        <w:tabs>
          <w:tab w:val="right" w:pos="10035"/>
        </w:tabs>
        <w:spacing w:before="60" w:after="2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SAE | Sprint Video Analysis and Evidence-Augmented Reports</w:t>
      </w:r>
      <w:r>
        <w:rPr>
          <w:rFonts w:ascii="Arial" w:hAnsi="Arial" w:eastAsia="PingFang SC"/>
          <w:b w:val="0"/>
          <w:i w:val="0"/>
          <w:color w:val="000000"/>
          <w:sz w:val="19"/>
        </w:rPr>
        <w:tab/>
      </w:r>
      <w:r>
        <w:rPr>
          <w:rFonts w:ascii="Arial" w:hAnsi="Arial" w:eastAsia="PingFang SC"/>
          <w:b w:val="0"/>
          <w:i w:val="0"/>
          <w:color w:val="000000"/>
          <w:sz w:val="19"/>
        </w:rPr>
        <w:t xml:space="preserve">2026</w:t>
      </w:r>
    </w:p>
    <w:p w14:paraId="71D89825">
      <w:pPr>
        <w:keepNext/>
        <w:widowControl/>
        <w:spacing w:before="0" w:after="40" w:line="260" w:lineRule="exact"/>
      </w:pPr>
      <w:r>
        <w:rPr>
          <w:rFonts w:ascii="Arial" w:hAnsi="Arial" w:eastAsia="PingFang SC"/>
          <w:b w:val="0"/>
          <w:i w:val="0"/>
          <w:color w:val="444444"/>
          <w:sz w:val="18"/>
        </w:rPr>
        <w:t xml:space="preserve">Under review at Biology of Sport · Co-first author (second-listed author)</w:t>
      </w:r>
    </w:p>
    <w:p w14:paraId="6BDCC1ED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Contributed to the SEE–ASSESS–EXPLAIN framework, combining pose estimation from single-view video, phase-specific rule assessment, literature retrieval and LLM explanations to generate technique analysis reports with cited evidence.</w:t>
      </w:r>
    </w:p>
    <w:p w14:paraId="1340AAB0">
      <w:pPr>
        <w:widowControl/>
        <w:spacing w:before="0" w:after="40" w:line="260" w:lineRule="exact"/>
        <w:ind w:left="181" w:hanging="181"/>
        <w:rPr>
          <w:rFonts w:ascii="Arial" w:hAnsi="Arial" w:eastAsia="PingFang SC"/>
          <w:b w:val="0"/>
          <w:i w:val="0"/>
          <w:color w:val="000000"/>
          <w:sz w:val="20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Contributed to expert agreement, retrieval and evidence comparison evaluations. Across 1,008 fixed phase-specific rule assessments from 112 sprint trials, rule judgments agreed with the majority judgment of three experts in 93.2% of cases.</w:t>
      </w:r>
      <w:bookmarkStart w:id="0" w:name="_GoBack"/>
      <w:bookmarkEnd w:id="0"/>
    </w:p>
    <w:p w14:paraId="0CE29F31">
      <w:pPr>
        <w:keepNext/>
        <w:widowControl/>
        <w:tabs>
          <w:tab w:val="right" w:pos="10035"/>
        </w:tabs>
        <w:spacing w:before="60" w:after="2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Physical Belief | Multimodal Physical State Estimation for Robots</w:t>
      </w:r>
      <w:r>
        <w:rPr>
          <w:rFonts w:ascii="Arial" w:hAnsi="Arial" w:eastAsia="PingFang SC"/>
          <w:b w:val="0"/>
          <w:i w:val="0"/>
          <w:color w:val="000000"/>
          <w:sz w:val="19"/>
        </w:rPr>
        <w:tab/>
      </w:r>
      <w:r>
        <w:rPr>
          <w:rFonts w:ascii="Arial" w:hAnsi="Arial" w:eastAsia="PingFang SC"/>
          <w:b w:val="0"/>
          <w:i w:val="0"/>
          <w:color w:val="000000"/>
          <w:sz w:val="19"/>
        </w:rPr>
        <w:t xml:space="preserve">2026–Present</w:t>
      </w:r>
    </w:p>
    <w:p w14:paraId="74044256">
      <w:pPr>
        <w:keepNext/>
        <w:widowControl/>
        <w:spacing w:before="0" w:after="40" w:line="260" w:lineRule="exact"/>
      </w:pPr>
      <w:r>
        <w:rPr>
          <w:rFonts w:ascii="Arial" w:hAnsi="Arial" w:eastAsia="PingFang SC"/>
          <w:b w:val="0"/>
          <w:i w:val="0"/>
          <w:color w:val="444444"/>
          <w:sz w:val="18"/>
        </w:rPr>
        <w:t xml:space="preserve">Multimodal Fusion · Temporal Modeling</w:t>
      </w:r>
    </w:p>
    <w:p w14:paraId="17EC1CFB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Fuse RGB-derived poses, robot states and interaction history using an MLP + GRU to estimate object mass, friction and center of mass, building a physical state representation continuously updated through interaction.</w:t>
      </w:r>
    </w:p>
    <w:p w14:paraId="712B1B05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Conduct training under multiple conditions, temporal ablations and generalization evaluations. In completed in-domain tests, full history reduced friction estimation MAE by approximately 65% relative to a short-history baseline.</w:t>
      </w:r>
    </w:p>
    <w:p w14:paraId="0644476B">
      <w:pPr>
        <w:pStyle w:val="3"/>
        <w:keepNext/>
        <w:widowControl/>
        <w:pBdr>
          <w:bottom w:val="single" w:color="B8B8B8" w:sz="4" w:space="3"/>
        </w:pBdr>
        <w:spacing w:before="140" w:after="80" w:line="284" w:lineRule="exact"/>
      </w:pPr>
      <w:r>
        <w:rPr>
          <w:rFonts w:ascii="Arial" w:hAnsi="Arial" w:eastAsia="PingFang SC"/>
          <w:b/>
          <w:i w:val="0"/>
          <w:color w:val="000000"/>
          <w:sz w:val="23"/>
        </w:rPr>
        <w:t xml:space="preserve">Other Projects</w:t>
      </w:r>
    </w:p>
    <w:p w14:paraId="2FD65039">
      <w:pPr>
        <w:keepNext/>
        <w:widowControl/>
        <w:tabs>
          <w:tab w:val="right" w:pos="10035"/>
        </w:tabs>
        <w:spacing w:before="60" w:after="2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Personalized Education RAG System</w:t>
      </w:r>
    </w:p>
    <w:p w14:paraId="12D9CD21">
      <w:pPr>
        <w:keepNext/>
        <w:widowControl/>
        <w:spacing w:before="0" w:after="40" w:line="260" w:lineRule="exact"/>
      </w:pPr>
      <w:r>
        <w:rPr>
          <w:rFonts w:ascii="Arial" w:hAnsi="Arial" w:eastAsia="PingFang SC"/>
          <w:b w:val="0"/>
          <w:i w:val="0"/>
          <w:color w:val="444444"/>
          <w:sz w:val="18"/>
        </w:rPr>
        <w:t xml:space="preserve">Undergraduate Innovation and Entrepreneurship Training Program · Project Lead</w:t>
      </w:r>
    </w:p>
    <w:p w14:paraId="5FCC9F8A">
      <w:pPr>
        <w:widowControl/>
        <w:spacing w:before="0" w:after="40" w:line="260" w:lineRule="exact"/>
        <w:ind w:left="181" w:hanging="181"/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Lead the technical roadmap and project execution; designed a personalized education system combining course knowledge bases, user information, retrieval and generation.</w:t>
      </w:r>
    </w:p>
    <w:p w14:paraId="0ED0E250">
      <w:pPr>
        <w:pStyle w:val="3"/>
        <w:keepNext/>
        <w:widowControl/>
        <w:pBdr>
          <w:bottom w:val="single" w:color="B8B8B8" w:sz="4" w:space="3"/>
        </w:pBdr>
        <w:spacing w:before="140" w:after="80" w:line="284" w:lineRule="exact"/>
      </w:pPr>
      <w:r>
        <w:rPr>
          <w:rFonts w:ascii="Arial" w:hAnsi="Arial" w:eastAsia="PingFang SC"/>
          <w:b/>
          <w:i w:val="0"/>
          <w:color w:val="000000"/>
          <w:sz w:val="23"/>
        </w:rPr>
        <w:t xml:space="preserve">Honors and Awards</w:t>
      </w:r>
    </w:p>
    <w:p w14:paraId="4B66AD92">
      <w:pPr>
        <w:widowControl/>
        <w:spacing w:before="0" w:after="40" w:line="260" w:lineRule="exact"/>
        <w:ind w:left="181" w:hanging="181"/>
        <w:rPr>
          <w:rFonts w:hint="eastAsia" w:eastAsia="PingFang SC"/>
          <w:lang w:eastAsia="zh-CN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National Scholarship and First-Class Outstanding Student Scholarship, Sun Yat-sen University (2024–2025)</w:t>
      </w:r>
    </w:p>
    <w:p w14:paraId="3AB250AE">
      <w:pPr>
        <w:widowControl/>
        <w:spacing w:before="0" w:after="40" w:line="260" w:lineRule="exact"/>
        <w:ind w:left="181" w:hanging="181"/>
        <w:rPr>
          <w:rFonts w:ascii="Arial" w:hAnsi="Arial" w:eastAsia="PingFang SC"/>
          <w:b w:val="0"/>
          <w:i w:val="0"/>
          <w:color w:val="000000"/>
          <w:sz w:val="20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Third-Class Outstanding Student Scholarship, Sun Yat-sen University (2025–2026)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 xml:space="preserve"/>
      </w:r>
      <w:r>
        <w:rPr>
          <w:rFonts w:ascii="Arial" w:hAnsi="Arial" w:eastAsia="PingFang SC"/>
          <w:b w:val="0"/>
          <w:i w:val="0"/>
          <w:color w:val="000000"/>
          <w:sz w:val="20"/>
        </w:rPr>
        <w:t/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/>
      </w:r>
      <w:r>
        <w:rPr>
          <w:rFonts w:ascii="Arial" w:hAnsi="Arial" w:eastAsia="PingFang SC"/>
          <w:b w:val="0"/>
          <w:i w:val="0"/>
          <w:color w:val="000000"/>
          <w:sz w:val="20"/>
        </w:rPr>
        <w:t/>
      </w:r>
      <w:r>
        <w:rPr>
          <w:rFonts w:hint="eastAsia" w:ascii="Arial" w:hAnsi="Arial"/>
          <w:b w:val="0"/>
          <w:i w:val="0"/>
          <w:color w:val="000000"/>
          <w:sz w:val="20"/>
          <w:lang w:val="en-US" w:eastAsia="zh-CN"/>
        </w:rPr>
        <w:t/>
      </w:r>
      <w:r>
        <w:rPr>
          <w:rFonts w:ascii="Arial" w:hAnsi="Arial" w:eastAsia="PingFang SC"/>
          <w:b w:val="0"/>
          <w:i w:val="0"/>
          <w:color w:val="000000"/>
          <w:sz w:val="20"/>
        </w:rPr>
        <w:t/>
      </w:r>
      <w:r>
        <w:rPr>
          <w:rFonts w:hint="eastAsia" w:ascii="Arial" w:hAnsi="Arial"/>
          <w:b w:val="0"/>
          <w:i w:val="0"/>
          <w:color w:val="000000"/>
          <w:sz w:val="20"/>
          <w:lang w:val="en-US" w:eastAsia="zh-CN"/>
        </w:rPr>
        <w:t/>
      </w:r>
      <w:r>
        <w:rPr>
          <w:rFonts w:ascii="Arial" w:hAnsi="Arial" w:eastAsia="PingFang SC"/>
          <w:b w:val="0"/>
          <w:i w:val="0"/>
          <w:color w:val="000000"/>
          <w:sz w:val="20"/>
        </w:rPr>
        <w:t xml:space="preserve"/>
      </w:r>
    </w:p>
    <w:p w14:paraId="15E602B8">
      <w:pPr>
        <w:widowControl/>
        <w:spacing w:before="0" w:after="40" w:line="260" w:lineRule="exact"/>
        <w:ind w:left="181" w:hanging="181"/>
        <w:rPr>
          <w:rFonts w:hint="default" w:eastAsia="PingFang SC"/>
          <w:lang w:val="en-US" w:eastAsia="zh-CN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First Prize, Guangdong Provincial Mathematics Competition for College Students (2024)</w:t>
      </w:r>
      <w:r>
        <w:rPr>
          <w:rFonts w:hint="eastAsia"/>
          <w:b w:val="0"/>
          <w:i w:val="0"/>
          <w:color w:val="000000"/>
          <w:sz w:val="20"/>
          <w:lang w:eastAsia="zh-CN"/>
        </w:rPr>
        <w:t/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/>
      </w:r>
    </w:p>
    <w:p w14:paraId="0C808AEE">
      <w:pPr>
        <w:widowControl/>
        <w:spacing w:before="0" w:after="40" w:line="260" w:lineRule="exact"/>
        <w:ind w:left="181" w:hanging="181"/>
        <w:rPr>
          <w:rFonts w:hint="default" w:eastAsia="PingFang SC"/>
          <w:lang w:val="en-US" w:eastAsia="zh-CN"/>
        </w:rPr>
      </w:pP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• Second Prize, China Undergraduate Mathematical Contest in Modeling, Guangdong Division (2026)</w:t>
      </w:r>
      <w:r>
        <w:rPr>
          <w:rFonts w:hint="eastAsia"/>
          <w:b w:val="0"/>
          <w:i w:val="0"/>
          <w:color w:val="000000"/>
          <w:sz w:val="20"/>
          <w:lang w:eastAsia="zh-CN"/>
        </w:rPr>
        <w:t/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/>
      </w:r>
    </w:p>
    <w:p w14:paraId="01524D23">
      <w:pPr>
        <w:pStyle w:val="3"/>
        <w:keepNext/>
        <w:widowControl/>
        <w:pBdr>
          <w:bottom w:val="single" w:color="B8B8B8" w:sz="4" w:space="3"/>
        </w:pBdr>
        <w:spacing w:before="140" w:after="80" w:line="284" w:lineRule="exact"/>
      </w:pPr>
      <w:r>
        <w:rPr>
          <w:rFonts w:ascii="Arial" w:hAnsi="Arial" w:eastAsia="PingFang SC"/>
          <w:b/>
          <w:i w:val="0"/>
          <w:color w:val="000000"/>
          <w:sz w:val="23"/>
        </w:rPr>
        <w:t xml:space="preserve">Skills</w:t>
      </w:r>
    </w:p>
    <w:p w14:paraId="38C72FCB">
      <w:pPr>
        <w:widowControl/>
        <w:spacing w:before="0" w:after="4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Programming and Tools: </w:t>
      </w: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Python, PyTorch, MuJoCo</w:t>
      </w:r>
    </w:p>
    <w:p w14:paraId="428E5C91">
      <w:pPr>
        <w:widowControl/>
        <w:spacing w:before="0" w:after="4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Research and Practice: </w:t>
      </w: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Document Intelligence / DLA, RAG / Agents, Temporal Deep Learning, Multimodal Fusion, Model Evaluation</w:t>
      </w:r>
    </w:p>
    <w:p w14:paraId="658EED77">
      <w:pPr>
        <w:widowControl/>
        <w:spacing w:before="0" w:after="40" w:line="260" w:lineRule="exact"/>
      </w:pPr>
      <w:r>
        <w:rPr>
          <w:rFonts w:ascii="Arial" w:hAnsi="Arial" w:eastAsia="PingFang SC"/>
          <w:b/>
          <w:i w:val="0"/>
          <w:color w:val="000000"/>
          <w:sz w:val="20"/>
        </w:rPr>
        <w:t xml:space="preserve">English: </w:t>
      </w:r>
      <w:r>
        <w:rPr>
          <w:rFonts w:ascii="Arial" w:hAnsi="Arial" w:eastAsia="PingFang SC"/>
          <w:b w:val="0"/>
          <w:i w:val="0"/>
          <w:color w:val="000000"/>
          <w:sz w:val="20"/>
        </w:rPr>
        <w:t xml:space="preserve">College English Test Band 6 (CET-6): 579</w:t>
      </w:r>
    </w:p>
    <w:sectPr>
      <w:pgSz w:w="11906" w:h="16838"/>
      <w:pgMar w:top="709" w:right="935" w:bottom="709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F7ADBC"/>
    <w:rsid w:val="79BBB0D7"/>
    <w:rsid w:val="FDEB9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PingFang SC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" w:hAnsi="Arial" w:eastAsia="PingFang SC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" w:hAnsi="Arial" w:eastAsia="PingFang SC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" w:hAnsi="Arial" w:eastAsia="PingFang SC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PingFang SC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PingFang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PingFang SC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" w:hAnsi="Arial" w:eastAsia="PingFang SC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" w:hAnsi="Arial" w:eastAsia="PingFang SC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" w:hAnsi="Arial" w:eastAsia="PingFang SC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" w:hAnsi="Arial" w:eastAsia="PingFang SC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" w:hAnsi="Arial" w:eastAsia="PingFang SC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" w:hAnsi="Arial" w:eastAsia="PingFang SC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" w:hAnsi="Arial" w:eastAsia="PingFang SC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PingFang SC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PingFang SC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" w:hAnsi="Arial" w:eastAsia="PingFang SC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" w:hAnsi="Arial" w:eastAsia="PingFang SC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" w:hAnsi="Arial" w:eastAsia="PingFang SC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" w:hAnsi="Arial" w:eastAsia="PingFang SC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Arial" w:hAnsi="Arial" w:eastAsia="PingFang SC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PingFang SC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" w:hAnsi="Arial" w:eastAsia="PingFang SC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" w:hAnsi="Arial" w:eastAsia="PingFang SC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" w:hAnsi="Arial" w:eastAsia="PingFang SC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EnglishCVPortrait" Type="http://schemas.openxmlformats.org/officeDocument/2006/relationships/image" Target="media/portra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陈越</dc:creator>
  <dc:description>generated by python-docx</dc:description>
  <cp:lastModifiedBy>陈越</cp:lastModifiedBy>
  <dcterms:modified xsi:type="dcterms:W3CDTF">2026-10-17T00:24:54Z</dcterms:modified>
  <dc:subject>文档智能 多模态学习 RAG</dc:subject>
  <dc:title>陈越 算法研究实习简历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3319568930AEE1FB854ED26AD083A84E_42</vt:lpwstr>
  </property>
</Properties>
</file>