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0202B"/>
          <w:sz w:val="40"/>
          <w:szCs w:val="40"/>
        </w:rPr>
        <w:t xml:space="preserve">From Programs to Policies: Locating the Change in Robot Development</w:t>
      </w:r>
    </w:p>
    <w:p>
      <w:pPr>
        <w:pBdr>
          <w:bottom w:val="single" w:color="BFBFBF" w:sz="6" w:space="8"/>
        </w:pBdr>
        <w:spacing w:after="240"/>
      </w:pPr>
      <w:r>
        <w:rPr>
          <w:rFonts w:ascii="Calibri" w:cs="Calibri" w:eastAsia="Calibri" w:hAnsi="Calibri"/>
          <w:color w:val="555555"/>
          <w:sz w:val="22"/>
          <w:szCs w:val="22"/>
        </w:rPr>
        <w:t xml:space="preserve">A position paper on where task knowledge now resides, and what follows for practice</w:t>
      </w:r>
    </w:p>
    <w:p>
      <w:pPr>
        <w:pStyle w:val="Heading1"/>
        <w:keepNext/>
        <w:spacing w:after="160" w:before="360"/>
      </w:pPr>
      <w:r>
        <w:rPr>
          <w:rFonts w:ascii="Calibri" w:cs="Calibri" w:eastAsia="Calibri" w:hAnsi="Calibri"/>
          <w:b/>
          <w:bCs/>
          <w:color w:val="10202B"/>
          <w:sz w:val="28"/>
          <w:szCs w:val="28"/>
        </w:rPr>
        <w:t xml:space="preserve">Abstract</w:t>
      </w:r>
    </w:p>
    <w:p>
      <w:pPr>
        <w:spacing w:after="120" w:line="276"/>
      </w:pPr>
      <w:r>
        <w:rPr>
          <w:rFonts w:ascii="Cambria" w:cs="Cambria" w:eastAsia="Cambria" w:hAnsi="Cambria"/>
          <w:b/>
          <w:bCs/>
          <w:color w:val="1A1A1A"/>
          <w:sz w:val="21"/>
          <w:szCs w:val="21"/>
        </w:rPr>
        <w:t xml:space="preserve">Context.</w:t>
      </w:r>
      <w:r>
        <w:rPr>
          <w:rFonts w:ascii="Cambria" w:cs="Cambria" w:eastAsia="Cambria" w:hAnsi="Cambria"/>
          <w:color w:val="1A1A1A"/>
          <w:sz w:val="21"/>
          <w:szCs w:val="21"/>
        </w:rPr>
        <w:t xml:space="preserve"> Robot development has undergone a structural change that is frequently described in imprecise terms. Popular accounts assert that artificial intelligence has “solved” perception, made hardware a commodity, or rendered classical robotics obsolete. Each claim is either overstated or false, yet a real and consequential change has occurred.</w:t>
      </w:r>
    </w:p>
    <w:p>
      <w:pPr>
        <w:spacing w:after="120" w:line="276"/>
      </w:pPr>
      <w:r>
        <w:rPr>
          <w:rFonts w:ascii="Cambria" w:cs="Cambria" w:eastAsia="Cambria" w:hAnsi="Cambria"/>
          <w:b/>
          <w:bCs/>
          <w:color w:val="1A1A1A"/>
          <w:sz w:val="21"/>
          <w:szCs w:val="21"/>
        </w:rPr>
        <w:t xml:space="preserve">Objective.</w:t>
      </w:r>
      <w:r>
        <w:rPr>
          <w:rFonts w:ascii="Cambria" w:cs="Cambria" w:eastAsia="Cambria" w:hAnsi="Cambria"/>
          <w:color w:val="1A1A1A"/>
          <w:sz w:val="21"/>
          <w:szCs w:val="21"/>
        </w:rPr>
        <w:t xml:space="preserve"> This paper locates that change precisely, characterises its costs and benefits analytically rather than rhetorically, and derives implications for practitioners trained in classical robotics.</w:t>
      </w:r>
    </w:p>
    <w:p>
      <w:pPr>
        <w:spacing w:after="120" w:line="276"/>
      </w:pPr>
      <w:r>
        <w:rPr>
          <w:rFonts w:ascii="Cambria" w:cs="Cambria" w:eastAsia="Cambria" w:hAnsi="Cambria"/>
          <w:b/>
          <w:bCs/>
          <w:color w:val="1A1A1A"/>
          <w:sz w:val="21"/>
          <w:szCs w:val="21"/>
        </w:rPr>
        <w:t xml:space="preserve">Method.</w:t>
      </w:r>
      <w:r>
        <w:rPr>
          <w:rFonts w:ascii="Cambria" w:cs="Cambria" w:eastAsia="Cambria" w:hAnsi="Cambria"/>
          <w:color w:val="1A1A1A"/>
          <w:sz w:val="21"/>
          <w:szCs w:val="21"/>
        </w:rPr>
        <w:t xml:space="preserve"> We combine (i) a historical review of the techniques that constitute the modern robot stack, (ii) an analytical treatment of the properties that distinguish embodied learning from supervised learning on static data, (iii) a simple cost model of task acquisition, and (iv) a survey of the 2026 state of tooling, model architectures and industrial deployment.</w:t>
      </w:r>
    </w:p>
    <w:p>
      <w:pPr>
        <w:spacing w:after="120" w:line="276"/>
      </w:pPr>
      <w:r>
        <w:rPr>
          <w:rFonts w:ascii="Cambria" w:cs="Cambria" w:eastAsia="Cambria" w:hAnsi="Cambria"/>
          <w:b/>
          <w:bCs/>
          <w:color w:val="1A1A1A"/>
          <w:sz w:val="21"/>
          <w:szCs w:val="21"/>
        </w:rPr>
        <w:t xml:space="preserve">Findings.</w:t>
      </w:r>
      <w:r>
        <w:rPr>
          <w:rFonts w:ascii="Cambria" w:cs="Cambria" w:eastAsia="Cambria" w:hAnsi="Cambria"/>
          <w:color w:val="1A1A1A"/>
          <w:sz w:val="21"/>
          <w:szCs w:val="21"/>
        </w:rPr>
        <w:t xml:space="preserve"> The change is confined to one layer. Task knowledge has migrated from hand-written program text to the parameters of a learned policy, while state estimation, low-level control and the safety case remain classical. This migration is economically motivated: classical task acquisition cost scales linearly in the number of tasks, whereas policy-based acquisition amortises a fixed infrastructure cost across tasks, yielding a break-even task count that is falling as hardware standardises. The binding constraints on deployment are not model capacity but the closed-loop compounding of errors, the arithmetic of reliability, the absence of a naturally occurring corpus of interaction data, and the absence of shared evaluation protocol.</w:t>
      </w:r>
    </w:p>
    <w:p>
      <w:pPr>
        <w:spacing w:after="120" w:line="276"/>
      </w:pPr>
      <w:r>
        <w:rPr>
          <w:rFonts w:ascii="Cambria" w:cs="Cambria" w:eastAsia="Cambria" w:hAnsi="Cambria"/>
          <w:b/>
          <w:bCs/>
          <w:color w:val="1A1A1A"/>
          <w:sz w:val="21"/>
          <w:szCs w:val="21"/>
        </w:rPr>
        <w:t xml:space="preserve">Conclusion.</w:t>
      </w:r>
      <w:r>
        <w:rPr>
          <w:rFonts w:ascii="Cambria" w:cs="Cambria" w:eastAsia="Cambria" w:hAnsi="Cambria"/>
          <w:color w:val="1A1A1A"/>
          <w:sz w:val="21"/>
          <w:szCs w:val="21"/>
        </w:rPr>
        <w:t xml:space="preserve"> Vision-language-action models are the leading frontier architecture but not a deployed production standard. The remaining obstacles are predominantly problems of data, measurement and systems engineering rather than of model design, which relocates the critical skill set towards, not away from, classically trained robotics engineers.</w:t>
      </w:r>
    </w:p>
    <w:p>
      <w:pPr>
        <w:spacing w:after="200" w:line="276"/>
      </w:pPr>
      <w:r>
        <w:rPr>
          <w:rFonts w:ascii="Cambria" w:cs="Cambria" w:eastAsia="Cambria" w:hAnsi="Cambria"/>
          <w:b/>
          <w:bCs/>
          <w:color w:val="555555"/>
          <w:sz w:val="19"/>
          <w:szCs w:val="19"/>
        </w:rPr>
        <w:t xml:space="preserve">Keywords:</w:t>
      </w:r>
      <w:r>
        <w:rPr>
          <w:rFonts w:ascii="Cambria" w:cs="Cambria" w:eastAsia="Cambria" w:hAnsi="Cambria"/>
          <w:color w:val="555555"/>
          <w:sz w:val="19"/>
          <w:szCs w:val="19"/>
        </w:rPr>
        <w:t xml:space="preserve"> embodied AI · robot learning · vision-language-action models · sim-to-real · imitation learning · covariate shift · robot evaluation · humanoid robotics</w:t>
      </w:r>
    </w:p>
    <w:p>
      <w:pPr>
        <w:pStyle w:val="Heading1"/>
        <w:keepNext/>
        <w:spacing w:after="160" w:before="360"/>
      </w:pPr>
      <w:r>
        <w:rPr>
          <w:rFonts w:ascii="Calibri" w:cs="Calibri" w:eastAsia="Calibri" w:hAnsi="Calibri"/>
          <w:b/>
          <w:bCs/>
          <w:color w:val="10202B"/>
          <w:sz w:val="28"/>
          <w:szCs w:val="28"/>
        </w:rPr>
        <w:t xml:space="preserve">1  Introduction</w:t>
      </w:r>
    </w:p>
    <w:p>
      <w:pPr>
        <w:pStyle w:val="Heading2"/>
        <w:keepNext/>
        <w:spacing w:after="120" w:before="260"/>
      </w:pPr>
      <w:r>
        <w:rPr>
          <w:rFonts w:ascii="Calibri" w:cs="Calibri" w:eastAsia="Calibri" w:hAnsi="Calibri"/>
          <w:b/>
          <w:bCs/>
          <w:color w:val="10202B"/>
          <w:sz w:val="23"/>
          <w:szCs w:val="23"/>
        </w:rPr>
        <w:t xml:space="preserve">1.1  Motivation</w:t>
      </w:r>
    </w:p>
    <w:p>
      <w:pPr>
        <w:spacing w:after="120" w:line="276"/>
      </w:pPr>
      <w:r>
        <w:rPr>
          <w:rFonts w:ascii="Cambria" w:cs="Cambria" w:eastAsia="Cambria" w:hAnsi="Cambria"/>
          <w:color w:val="1A1A1A"/>
          <w:sz w:val="21"/>
          <w:szCs w:val="21"/>
        </w:rPr>
        <w:t xml:space="preserve">The public account of recent progress in robotics is unusually poor. It attributes the change to the arrival of “reasoning,” implies that classical control has been superseded, and treats demonstration videos as evidence of capability. Practitioners trained before the learning-based era are therefore presented with a narrative that is simultaneously overheated and uninformative: it exaggerates what has been achieved while failing to say what, concretely, has changed in the construction of a robot programme.</w:t>
      </w:r>
    </w:p>
    <w:p>
      <w:pPr>
        <w:spacing w:after="120" w:line="276"/>
      </w:pPr>
      <w:r>
        <w:rPr>
          <w:rFonts w:ascii="Cambria" w:cs="Cambria" w:eastAsia="Cambria" w:hAnsi="Cambria"/>
          <w:color w:val="1A1A1A"/>
          <w:sz w:val="21"/>
          <w:szCs w:val="21"/>
        </w:rPr>
        <w:t xml:space="preserve">The change is real. It is also narrower and more specific than the narrative suggests, and its narrowness is what makes it tractable.</w:t>
      </w:r>
    </w:p>
    <w:p>
      <w:pPr>
        <w:pStyle w:val="Heading2"/>
        <w:keepNext/>
        <w:spacing w:after="120" w:before="260"/>
      </w:pPr>
      <w:r>
        <w:rPr>
          <w:rFonts w:ascii="Calibri" w:cs="Calibri" w:eastAsia="Calibri" w:hAnsi="Calibri"/>
          <w:b/>
          <w:bCs/>
          <w:color w:val="10202B"/>
          <w:sz w:val="23"/>
          <w:szCs w:val="23"/>
        </w:rPr>
        <w:t xml:space="preserve">1.2  Thesis</w:t>
      </w:r>
    </w:p>
    <w:p>
      <w:pPr>
        <w:spacing w:after="120" w:line="276"/>
      </w:pPr>
      <w:r>
        <w:rPr>
          <w:rFonts w:ascii="Cambria" w:cs="Cambria" w:eastAsia="Cambria" w:hAnsi="Cambria"/>
          <w:color w:val="1A1A1A"/>
          <w:sz w:val="21"/>
          <w:szCs w:val="21"/>
        </w:rPr>
        <w:t xml:space="preserve">We advance three claims.</w:t>
      </w:r>
    </w:p>
    <w:p>
      <w:pPr>
        <w:pStyle w:val="ListParagraph"/>
        <w:numPr>
          <w:ilvl w:val="0"/>
          <w:numId w:val="2"/>
        </w:numPr>
        <w:spacing w:after="90" w:line="276"/>
      </w:pPr>
      <w:r>
        <w:rPr>
          <w:rFonts w:ascii="Cambria" w:cs="Cambria" w:eastAsia="Cambria" w:hAnsi="Cambria"/>
          <w:b/>
          <w:bCs/>
          <w:color w:val="1A1A1A"/>
          <w:sz w:val="21"/>
          <w:szCs w:val="21"/>
        </w:rPr>
        <w:t xml:space="preserve">Localisation.</w:t>
      </w:r>
      <w:r>
        <w:rPr>
          <w:rFonts w:ascii="Cambria" w:cs="Cambria" w:eastAsia="Cambria" w:hAnsi="Cambria"/>
          <w:color w:val="1A1A1A"/>
          <w:sz w:val="21"/>
          <w:szCs w:val="21"/>
        </w:rPr>
        <w:t xml:space="preserve"> Exactly one layer of the classical robot stack is being displaced: the layer that encodes task knowledge. Perception is increasingly folded into that same layer; everything below it — state estimation, low-level control, actuation, the safety case — is unchanged.</w:t>
      </w:r>
    </w:p>
    <w:p>
      <w:pPr>
        <w:pStyle w:val="ListParagraph"/>
        <w:numPr>
          <w:ilvl w:val="0"/>
          <w:numId w:val="2"/>
        </w:numPr>
        <w:spacing w:after="90" w:line="276"/>
      </w:pPr>
      <w:r>
        <w:rPr>
          <w:rFonts w:ascii="Cambria" w:cs="Cambria" w:eastAsia="Cambria" w:hAnsi="Cambria"/>
          <w:b/>
          <w:bCs/>
          <w:color w:val="1A1A1A"/>
          <w:sz w:val="21"/>
          <w:szCs w:val="21"/>
        </w:rPr>
        <w:t xml:space="preserve">Economic motivation.</w:t>
      </w:r>
      <w:r>
        <w:rPr>
          <w:rFonts w:ascii="Cambria" w:cs="Cambria" w:eastAsia="Cambria" w:hAnsi="Cambria"/>
          <w:color w:val="1A1A1A"/>
          <w:sz w:val="21"/>
          <w:szCs w:val="21"/>
        </w:rPr>
        <w:t xml:space="preserve"> The displacement is driven less by capability than by cost structure. Hand-engineered task acquisition scales linearly in task count; policy-based acquisition does not. As hardware standardises, the marginal value of the mechanism falls and the marginal value of the policy rises.</w:t>
      </w:r>
    </w:p>
    <w:p>
      <w:pPr>
        <w:pStyle w:val="ListParagraph"/>
        <w:numPr>
          <w:ilvl w:val="0"/>
          <w:numId w:val="2"/>
        </w:numPr>
        <w:spacing w:after="90" w:line="276"/>
      </w:pPr>
      <w:r>
        <w:rPr>
          <w:rFonts w:ascii="Cambria" w:cs="Cambria" w:eastAsia="Cambria" w:hAnsi="Cambria"/>
          <w:b/>
          <w:bCs/>
          <w:color w:val="1A1A1A"/>
          <w:sz w:val="21"/>
          <w:szCs w:val="21"/>
        </w:rPr>
        <w:t xml:space="preserve">Relocation of difficulty.</w:t>
      </w:r>
      <w:r>
        <w:rPr>
          <w:rFonts w:ascii="Cambria" w:cs="Cambria" w:eastAsia="Cambria" w:hAnsi="Cambria"/>
          <w:color w:val="1A1A1A"/>
          <w:sz w:val="21"/>
          <w:szCs w:val="21"/>
        </w:rPr>
        <w:t xml:space="preserve"> The residual obstacles — compounding error under closed-loop execution, the arithmetic of reliability, data scarcity, sim-to-real transfer, and the absence of evaluation standards — are systems and measurement problems rather than model problems. They are consequently closer to the competence of classical robotics engineers than to that of the machine-learning workforce now entering the field.</w:t>
      </w:r>
    </w:p>
    <w:p>
      <w:pPr>
        <w:pStyle w:val="Heading2"/>
        <w:keepNext/>
        <w:spacing w:after="120" w:before="260"/>
      </w:pPr>
      <w:r>
        <w:rPr>
          <w:rFonts w:ascii="Calibri" w:cs="Calibri" w:eastAsia="Calibri" w:hAnsi="Calibri"/>
          <w:b/>
          <w:bCs/>
          <w:color w:val="10202B"/>
          <w:sz w:val="23"/>
          <w:szCs w:val="23"/>
        </w:rPr>
        <w:t xml:space="preserve">1.3  Contributions</w:t>
      </w:r>
    </w:p>
    <w:p>
      <w:pPr>
        <w:pStyle w:val="ListParagraph"/>
        <w:numPr>
          <w:ilvl w:val="0"/>
          <w:numId w:val="3"/>
        </w:numPr>
        <w:spacing w:after="90" w:line="276"/>
      </w:pPr>
      <w:r>
        <w:rPr>
          <w:rFonts w:ascii="Cambria" w:cs="Cambria" w:eastAsia="Cambria" w:hAnsi="Cambria"/>
          <w:color w:val="1A1A1A"/>
          <w:sz w:val="21"/>
          <w:szCs w:val="21"/>
        </w:rPr>
        <w:t xml:space="preserve">A layer-resolved account of what has and has not changed in robot programme construction (§3), correcting the common overstatement that classical robotics has been replaced.</w:t>
      </w:r>
    </w:p>
    <w:p>
      <w:pPr>
        <w:pStyle w:val="ListParagraph"/>
        <w:numPr>
          <w:ilvl w:val="0"/>
          <w:numId w:val="3"/>
        </w:numPr>
        <w:spacing w:after="90" w:line="276"/>
      </w:pPr>
      <w:r>
        <w:rPr>
          <w:rFonts w:ascii="Cambria" w:cs="Cambria" w:eastAsia="Cambria" w:hAnsi="Cambria"/>
          <w:color w:val="1A1A1A"/>
          <w:sz w:val="21"/>
          <w:szCs w:val="21"/>
        </w:rPr>
        <w:t xml:space="preserve">An analytical treatment of four properties that distinguish embodied learning from static supervised learning, including the quadratic horizon dependence of behaviour cloning error and the arithmetic of nines (§4).</w:t>
      </w:r>
    </w:p>
    <w:p>
      <w:pPr>
        <w:pStyle w:val="ListParagraph"/>
        <w:numPr>
          <w:ilvl w:val="0"/>
          <w:numId w:val="3"/>
        </w:numPr>
        <w:spacing w:after="90" w:line="276"/>
      </w:pPr>
      <w:r>
        <w:rPr>
          <w:rFonts w:ascii="Cambria" w:cs="Cambria" w:eastAsia="Cambria" w:hAnsi="Cambria"/>
          <w:color w:val="1A1A1A"/>
          <w:sz w:val="21"/>
          <w:szCs w:val="21"/>
        </w:rPr>
        <w:t xml:space="preserve">A cost model of task acquisition that makes explicit the break-even condition under which a learned policy is preferable to hand engineering (§7.1).</w:t>
      </w:r>
    </w:p>
    <w:p>
      <w:pPr>
        <w:pStyle w:val="ListParagraph"/>
        <w:numPr>
          <w:ilvl w:val="0"/>
          <w:numId w:val="3"/>
        </w:numPr>
        <w:spacing w:after="90" w:line="276"/>
      </w:pPr>
      <w:r>
        <w:rPr>
          <w:rFonts w:ascii="Cambria" w:cs="Cambria" w:eastAsia="Cambria" w:hAnsi="Cambria"/>
          <w:color w:val="1A1A1A"/>
          <w:sz w:val="21"/>
          <w:szCs w:val="21"/>
        </w:rPr>
        <w:t xml:space="preserve">A survey of the 2026 tooling and model landscape with two frequently mis-stated facts corrected: Isaac Lab is a learning framework rather than a simulator and supersedes the deprecated Isaac Gym; and ROS 1 has reached end of life (§5).</w:t>
      </w:r>
    </w:p>
    <w:p>
      <w:pPr>
        <w:pStyle w:val="ListParagraph"/>
        <w:numPr>
          <w:ilvl w:val="0"/>
          <w:numId w:val="3"/>
        </w:numPr>
        <w:spacing w:after="90" w:line="276"/>
      </w:pPr>
      <w:r>
        <w:rPr>
          <w:rFonts w:ascii="Cambria" w:cs="Cambria" w:eastAsia="Cambria" w:hAnsi="Cambria"/>
          <w:color w:val="1A1A1A"/>
          <w:sz w:val="21"/>
          <w:szCs w:val="21"/>
        </w:rPr>
        <w:t xml:space="preserve">A structural comparison of quadrupedal and humanoid programmes showing that they depend on learned policies in categorically different ways (§8).</w:t>
      </w:r>
    </w:p>
    <w:p>
      <w:pPr>
        <w:pStyle w:val="ListParagraph"/>
        <w:numPr>
          <w:ilvl w:val="0"/>
          <w:numId w:val="3"/>
        </w:numPr>
        <w:spacing w:after="90" w:line="276"/>
      </w:pPr>
      <w:r>
        <w:rPr>
          <w:rFonts w:ascii="Cambria" w:cs="Cambria" w:eastAsia="Cambria" w:hAnsi="Cambria"/>
          <w:color w:val="1A1A1A"/>
          <w:sz w:val="21"/>
          <w:szCs w:val="21"/>
        </w:rPr>
        <w:t xml:space="preserve">An explicit statement of limitations and threats to validity (§11), including the volatility of the market figures on which part of the argument rests.</w:t>
      </w:r>
    </w:p>
    <w:p>
      <w:pPr>
        <w:pStyle w:val="Heading2"/>
        <w:keepNext/>
        <w:spacing w:after="120" w:before="260"/>
      </w:pPr>
      <w:r>
        <w:rPr>
          <w:rFonts w:ascii="Calibri" w:cs="Calibri" w:eastAsia="Calibri" w:hAnsi="Calibri"/>
          <w:b/>
          <w:bCs/>
          <w:color w:val="10202B"/>
          <w:sz w:val="23"/>
          <w:szCs w:val="23"/>
        </w:rPr>
        <w:t xml:space="preserve">1.4  Scope</w:t>
      </w:r>
    </w:p>
    <w:p>
      <w:pPr>
        <w:spacing w:after="120" w:line="276"/>
      </w:pPr>
      <w:r>
        <w:rPr>
          <w:rFonts w:ascii="Cambria" w:cs="Cambria" w:eastAsia="Cambria" w:hAnsi="Cambria"/>
          <w:color w:val="1A1A1A"/>
          <w:sz w:val="21"/>
          <w:szCs w:val="21"/>
        </w:rPr>
        <w:t xml:space="preserve">This is a position paper, not an empirical study. It contributes no new experiments. Its value, if any, lies in framing: in separating claims that the evidence supports from claims that it does not, and in identifying which open problems are load-bearing.</w:t>
      </w:r>
    </w:p>
    <w:p>
      <w:pPr>
        <w:pStyle w:val="Heading1"/>
        <w:keepNext/>
        <w:spacing w:after="160" w:before="360"/>
      </w:pPr>
      <w:r>
        <w:rPr>
          <w:rFonts w:ascii="Calibri" w:cs="Calibri" w:eastAsia="Calibri" w:hAnsi="Calibri"/>
          <w:b/>
          <w:bCs/>
          <w:color w:val="10202B"/>
          <w:sz w:val="28"/>
          <w:szCs w:val="28"/>
        </w:rPr>
        <w:t xml:space="preserve">2  Background</w:t>
      </w:r>
    </w:p>
    <w:p>
      <w:pPr>
        <w:pStyle w:val="Heading2"/>
        <w:keepNext/>
        <w:spacing w:after="120" w:before="260"/>
      </w:pPr>
      <w:r>
        <w:rPr>
          <w:rFonts w:ascii="Calibri" w:cs="Calibri" w:eastAsia="Calibri" w:hAnsi="Calibri"/>
          <w:b/>
          <w:bCs/>
          <w:color w:val="10202B"/>
          <w:sz w:val="23"/>
          <w:szCs w:val="23"/>
        </w:rPr>
        <w:t xml:space="preserve">2.1  The first era: hand-engineered programmes</w:t>
      </w:r>
    </w:p>
    <w:p>
      <w:pPr>
        <w:spacing w:after="120" w:line="276"/>
      </w:pPr>
      <w:r>
        <w:rPr>
          <w:rFonts w:ascii="Cambria" w:cs="Cambria" w:eastAsia="Cambria" w:hAnsi="Cambria"/>
          <w:color w:val="1A1A1A"/>
          <w:sz w:val="21"/>
          <w:szCs w:val="21"/>
        </w:rPr>
        <w:t xml:space="preserve">The vocabulary predates the machinery. Čapek [1] introduced </w:t>
      </w:r>
      <w:r>
        <w:rPr>
          <w:rFonts w:ascii="Cambria" w:cs="Cambria" w:eastAsia="Cambria" w:hAnsi="Cambria"/>
          <w:i/>
          <w:iCs/>
          <w:color w:val="1A1A1A"/>
          <w:sz w:val="21"/>
          <w:szCs w:val="21"/>
        </w:rPr>
        <w:t xml:space="preserve">robot</w:t>
      </w:r>
      <w:r>
        <w:rPr>
          <w:rFonts w:ascii="Cambria" w:cs="Cambria" w:eastAsia="Cambria" w:hAnsi="Cambria"/>
          <w:color w:val="1A1A1A"/>
          <w:sz w:val="21"/>
          <w:szCs w:val="21"/>
        </w:rPr>
        <w:t xml:space="preserve"> in 1920 from the Czech </w:t>
      </w:r>
      <w:r>
        <w:rPr>
          <w:rFonts w:ascii="Cambria" w:cs="Cambria" w:eastAsia="Cambria" w:hAnsi="Cambria"/>
          <w:i/>
          <w:iCs/>
          <w:color w:val="1A1A1A"/>
          <w:sz w:val="21"/>
          <w:szCs w:val="21"/>
        </w:rPr>
        <w:t xml:space="preserve">robota</w:t>
      </w:r>
      <w:r>
        <w:rPr>
          <w:rFonts w:ascii="Cambria" w:cs="Cambria" w:eastAsia="Cambria" w:hAnsi="Cambria"/>
          <w:color w:val="1A1A1A"/>
          <w:sz w:val="21"/>
          <w:szCs w:val="21"/>
        </w:rPr>
        <w:t xml:space="preserve"> (forced labour); the semantics of substituted work were present before any implementation existed. The first industrial deployment, a Unimate arm at a General Motors plant in 1961, exemplified the paradigm that followed for six decades: a fixture constrains the world so that the state is known a priori, and a program specifies motion in that constrained state space.</w:t>
      </w:r>
    </w:p>
    <w:p>
      <w:pPr>
        <w:spacing w:after="120" w:line="276"/>
      </w:pPr>
      <w:r>
        <w:rPr>
          <w:rFonts w:ascii="Cambria" w:cs="Cambria" w:eastAsia="Cambria" w:hAnsi="Cambria"/>
          <w:color w:val="1A1A1A"/>
          <w:sz w:val="21"/>
          <w:szCs w:val="21"/>
        </w:rPr>
        <w:t xml:space="preserve">A persistent misreading holds that this era was limited by an absence of reasoning. It was not. Shakey [2], operating at SRI between 1966 and 1972, performed multi-step task planning using STRIPS [3] and search, replanning when observations contradicted its model. Symbolic planning was available early. What was unavailable was reliable perception and dexterous manipulation in unstructured settings.</w:t>
      </w:r>
    </w:p>
    <w:p>
      <w:pPr>
        <w:spacing w:after="120" w:line="276"/>
      </w:pPr>
      <w:r>
        <w:rPr>
          <w:rFonts w:ascii="Cambria" w:cs="Cambria" w:eastAsia="Cambria" w:hAnsi="Cambria"/>
          <w:color w:val="1A1A1A"/>
          <w:sz w:val="21"/>
          <w:szCs w:val="21"/>
        </w:rPr>
        <w:t xml:space="preserve">Moravec [4] articulated the general form of this observation: tasks requiring explicit reasoning yielded readily to computation, while sensorimotor tasks performed effortlessly by humans proved intractable. The usual explanation appeals to the disparity in evolutionary optimisation time between perceptual-motor and symbolic faculties. Whatever its causal status, the empirical pattern held for four decades.</w:t>
      </w:r>
    </w:p>
    <w:p>
      <w:pPr>
        <w:pStyle w:val="Heading2"/>
        <w:keepNext/>
        <w:spacing w:after="120" w:before="260"/>
      </w:pPr>
      <w:r>
        <w:rPr>
          <w:rFonts w:ascii="Calibri" w:cs="Calibri" w:eastAsia="Calibri" w:hAnsi="Calibri"/>
          <w:b/>
          <w:bCs/>
          <w:color w:val="10202B"/>
          <w:sz w:val="23"/>
          <w:szCs w:val="23"/>
        </w:rPr>
        <w:t xml:space="preserve">2.2  The second era: learned components</w:t>
      </w:r>
    </w:p>
    <w:p>
      <w:pPr>
        <w:spacing w:after="120" w:line="276"/>
      </w:pPr>
      <w:r>
        <w:rPr>
          <w:rFonts w:ascii="Cambria" w:cs="Cambria" w:eastAsia="Cambria" w:hAnsi="Cambria"/>
          <w:color w:val="1A1A1A"/>
          <w:sz w:val="21"/>
          <w:szCs w:val="21"/>
        </w:rPr>
        <w:t xml:space="preserve">Three developments moved capability without changing the paradigm. Behaviour-based architectures [5] demonstrated competent mobile robots without world models. Probabilistic state estimation, from the spatial-uncertainty formulation of Smith and Cheeseman [6] onward, gave robots reliable self-localisation. ROS [7] made drivers, planners and tooling reusable across institutions, materially lowering the cost of building a system.</w:t>
      </w:r>
    </w:p>
    <w:p>
      <w:pPr>
        <w:spacing w:after="120" w:line="276"/>
      </w:pPr>
      <w:r>
        <w:rPr>
          <w:rFonts w:ascii="Cambria" w:cs="Cambria" w:eastAsia="Cambria" w:hAnsi="Cambria"/>
          <w:color w:val="1A1A1A"/>
          <w:sz w:val="21"/>
          <w:szCs w:val="21"/>
        </w:rPr>
        <w:t xml:space="preserve">Then supervised deep learning [8] made visual perception work. It is worth emphasising the date: the perceptual unlock is a 2012 phenomenon, a decade before generative models entered public awareness. Attributing perception to generative AI is a common and material error.</w:t>
      </w:r>
    </w:p>
    <w:p>
      <w:pPr>
        <w:pStyle w:val="Heading2"/>
        <w:keepNext/>
        <w:spacing w:after="120" w:before="260"/>
      </w:pPr>
      <w:r>
        <w:rPr>
          <w:rFonts w:ascii="Calibri" w:cs="Calibri" w:eastAsia="Calibri" w:hAnsi="Calibri"/>
          <w:b/>
          <w:bCs/>
          <w:color w:val="10202B"/>
          <w:sz w:val="23"/>
          <w:szCs w:val="23"/>
        </w:rPr>
        <w:t xml:space="preserve">2.3  The third era: pretrained policies</w:t>
      </w:r>
    </w:p>
    <w:p>
      <w:pPr>
        <w:spacing w:after="120" w:line="276"/>
      </w:pPr>
      <w:r>
        <w:rPr>
          <w:rFonts w:ascii="Cambria" w:cs="Cambria" w:eastAsia="Cambria" w:hAnsi="Cambria"/>
          <w:color w:val="1A1A1A"/>
          <w:sz w:val="21"/>
          <w:szCs w:val="21"/>
        </w:rPr>
        <w:t xml:space="preserve">The current era is characterised by policies initialised from models pretrained on internet-scale corpora and adapted to robot control. Its distinguishing property is not learned control per se — reinforcement and imitation learning long predate it — but the importation of general world knowledge and a natural-language interface into the control policy.</w:t>
      </w:r>
    </w:p>
    <w:p>
      <w:pPr>
        <w:spacing w:after="120" w:line="276"/>
      </w:pPr>
      <w:r>
        <w:rPr>
          <w:rFonts w:ascii="Cambria" w:cs="Cambria" w:eastAsia="Cambria" w:hAnsi="Cambria"/>
          <w:color w:val="1A1A1A"/>
          <w:sz w:val="21"/>
          <w:szCs w:val="21"/>
        </w:rPr>
        <w:t xml:space="preserve">The architectural lineage runs from RT-2 [9], which introduced the vision-language-action (VLA) formulation, through OpenVLA [10] as an open reference implementation, to flow- and diffusion-based action heads [11, 12] and open humanoid foundation models [13]. Section 6 treats this taxonomy formally.</w:t>
      </w:r>
    </w:p>
    <w:p>
      <w:pPr>
        <w:pStyle w:val="Heading1"/>
        <w:keepNext/>
        <w:spacing w:after="160" w:before="360"/>
      </w:pPr>
      <w:r>
        <w:rPr>
          <w:rFonts w:ascii="Calibri" w:cs="Calibri" w:eastAsia="Calibri" w:hAnsi="Calibri"/>
          <w:b/>
          <w:bCs/>
          <w:color w:val="10202B"/>
          <w:sz w:val="28"/>
          <w:szCs w:val="28"/>
        </w:rPr>
        <w:t xml:space="preserve">3  Locating the change</w:t>
      </w:r>
    </w:p>
    <w:p>
      <w:pPr>
        <w:pStyle w:val="Heading2"/>
        <w:keepNext/>
        <w:spacing w:after="120" w:before="260"/>
      </w:pPr>
      <w:r>
        <w:rPr>
          <w:rFonts w:ascii="Calibri" w:cs="Calibri" w:eastAsia="Calibri" w:hAnsi="Calibri"/>
          <w:b/>
          <w:bCs/>
          <w:color w:val="10202B"/>
          <w:sz w:val="23"/>
          <w:szCs w:val="23"/>
        </w:rPr>
        <w:t xml:space="preserve">3.1  The stack</w:t>
      </w:r>
    </w:p>
    <w:p>
      <w:pPr>
        <w:spacing w:after="120" w:line="276"/>
      </w:pPr>
      <w:r>
        <w:rPr>
          <w:rFonts w:ascii="Cambria" w:cs="Cambria" w:eastAsia="Cambria" w:hAnsi="Cambria"/>
          <w:color w:val="1A1A1A"/>
          <w:sz w:val="21"/>
          <w:szCs w:val="21"/>
        </w:rPr>
        <w:t xml:space="preserve">We model a robot programme as a layered system:</w:t>
      </w:r>
    </w:p>
    <w:p>
      <w:pPr>
        <w:shd w:fill="F4F6F8" w:val="clear"/>
        <w:spacing w:after="0" w:line="240"/>
        <w:ind w:left="360"/>
      </w:pPr>
      <w:r>
        <w:rPr>
          <w:rFonts w:ascii="Consolas" w:cs="Consolas" w:eastAsia="Consolas" w:hAnsi="Consolas"/>
          <w:color w:val="24343F"/>
          <w:sz w:val="17"/>
          <w:szCs w:val="17"/>
        </w:rPr>
        <w:t xml:space="preserve">  L5  task knowledge       what to do, in this situation</w:t>
      </w:r>
    </w:p>
    <w:p>
      <w:pPr>
        <w:shd w:fill="F4F6F8" w:val="clear"/>
        <w:spacing w:after="0" w:line="240"/>
        <w:ind w:left="360"/>
      </w:pPr>
      <w:r>
        <w:rPr>
          <w:rFonts w:ascii="Consolas" w:cs="Consolas" w:eastAsia="Consolas" w:hAnsi="Consolas"/>
          <w:color w:val="24343F"/>
          <w:sz w:val="17"/>
          <w:szCs w:val="17"/>
        </w:rPr>
        <w:t xml:space="preserve">  L4  perception           raw signal -&gt; usable scene description</w:t>
      </w:r>
    </w:p>
    <w:p>
      <w:pPr>
        <w:shd w:fill="F4F6F8" w:val="clear"/>
        <w:spacing w:after="0" w:line="240"/>
        <w:ind w:left="360"/>
      </w:pPr>
      <w:r>
        <w:rPr>
          <w:rFonts w:ascii="Consolas" w:cs="Consolas" w:eastAsia="Consolas" w:hAnsi="Consolas"/>
          <w:color w:val="24343F"/>
          <w:sz w:val="17"/>
          <w:szCs w:val="17"/>
        </w:rPr>
        <w:t xml:space="preserve">  L3  state estimation     where the robot and the objects are</w:t>
      </w:r>
    </w:p>
    <w:p>
      <w:pPr>
        <w:shd w:fill="F4F6F8" w:val="clear"/>
        <w:spacing w:after="0" w:line="240"/>
        <w:ind w:left="360"/>
      </w:pPr>
      <w:r>
        <w:rPr>
          <w:rFonts w:ascii="Consolas" w:cs="Consolas" w:eastAsia="Consolas" w:hAnsi="Consolas"/>
          <w:color w:val="24343F"/>
          <w:sz w:val="17"/>
          <w:szCs w:val="17"/>
        </w:rPr>
        <w:t xml:space="preserve">  L2  low-level control    torque, position, balance</w:t>
      </w:r>
    </w:p>
    <w:p>
      <w:pPr>
        <w:shd w:fill="F4F6F8" w:val="clear"/>
        <w:spacing w:after="120" w:line="240"/>
        <w:ind w:left="360"/>
      </w:pPr>
      <w:r>
        <w:rPr>
          <w:rFonts w:ascii="Consolas" w:cs="Consolas" w:eastAsia="Consolas" w:hAnsi="Consolas"/>
          <w:color w:val="24343F"/>
          <w:sz w:val="17"/>
          <w:szCs w:val="17"/>
        </w:rPr>
        <w:t xml:space="preserve">  L1  drivers, middleware  transport, timing, hardware I/O</w:t>
      </w:r>
    </w:p>
    <w:p>
      <w:pPr>
        <w:spacing w:after="120" w:line="276"/>
      </w:pPr>
      <w:r>
        <w:rPr>
          <w:rFonts w:ascii="Cambria" w:cs="Cambria" w:eastAsia="Cambria" w:hAnsi="Cambria"/>
          <w:color w:val="1A1A1A"/>
          <w:sz w:val="21"/>
          <w:szCs w:val="21"/>
        </w:rPr>
        <w:t xml:space="preserve">In the first era, L5 was program text: a state machine, a behaviour tree, a scripted sequence. In the current era, L5 is the parameters of a trained policy, and L4 is increasingly absorbed into the same parameters rather than existing as a separate, inspectable module.</w:t>
      </w:r>
    </w:p>
    <w:p>
      <w:pPr>
        <w:spacing w:after="120" w:line="276"/>
      </w:pPr>
      <w:r>
        <w:rPr>
          <w:rFonts w:ascii="Cambria" w:cs="Cambria" w:eastAsia="Cambria" w:hAnsi="Cambria"/>
          <w:b/>
          <w:bCs/>
          <w:color w:val="1A1A1A"/>
          <w:sz w:val="21"/>
          <w:szCs w:val="21"/>
        </w:rPr>
        <w:t xml:space="preserve">L1–L3 are unchanged.</w:t>
      </w:r>
      <w:r>
        <w:rPr>
          <w:rFonts w:ascii="Cambria" w:cs="Cambria" w:eastAsia="Cambria" w:hAnsi="Cambria"/>
          <w:color w:val="1A1A1A"/>
          <w:sz w:val="21"/>
          <w:szCs w:val="21"/>
        </w:rPr>
        <w:t xml:space="preserve"> PID control still regulates joints; SLAM and filtering still supply pose; middleware still transports messages. Claims that foundation models “replace robotics” conflate L5 with the stack.</w:t>
      </w:r>
    </w:p>
    <w:p>
      <w:pPr>
        <w:pStyle w:val="Heading2"/>
        <w:keepNext/>
        <w:spacing w:after="120" w:before="260"/>
      </w:pPr>
      <w:r>
        <w:rPr>
          <w:rFonts w:ascii="Calibri" w:cs="Calibri" w:eastAsia="Calibri" w:hAnsi="Calibri"/>
          <w:b/>
          <w:bCs/>
          <w:color w:val="10202B"/>
          <w:sz w:val="23"/>
          <w:szCs w:val="23"/>
        </w:rPr>
        <w:t xml:space="preserve">3.2  The representational shift</w:t>
      </w:r>
    </w:p>
    <w:p>
      <w:pPr>
        <w:spacing w:after="120" w:line="276"/>
      </w:pPr>
      <w:r>
        <w:rPr>
          <w:rFonts w:ascii="Cambria" w:cs="Cambria" w:eastAsia="Cambria" w:hAnsi="Cambria"/>
          <w:color w:val="1A1A1A"/>
          <w:sz w:val="21"/>
          <w:szCs w:val="21"/>
        </w:rPr>
        <w:t xml:space="preserve">The change is best stated as a shift in where task knowledge is represented.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shd w:fill="10202B" w:val="clear"/>
            <w:tcMar>
              <w:top w:type="dxa" w:w="80"/>
              <w:left w:type="dxa" w:w="110"/>
              <w:bottom w:type="dxa" w:w="80"/>
              <w:right w:type="dxa" w:w="110"/>
            </w:tcMar>
          </w:tcPr>
          <w:p>
            <w:pPr>
              <w:spacing w:after="0" w:line="250"/>
            </w:pPr>
            <w:r>
              <w:rPr>
                <w:rFonts w:ascii="Calibri" w:cs="Calibri" w:eastAsia="Calibri" w:hAnsi="Calibri"/>
                <w:b/>
                <w:bCs/>
                <w:color w:val="FFFFFF"/>
                <w:sz w:val="18"/>
                <w:szCs w:val="18"/>
              </w:rPr>
              <w:t xml:space="preserve"/>
            </w:r>
          </w:p>
        </w:tc>
        <w:tc>
          <w:tcPr>
            <w:tcW w:type="dxa" w:w="3200"/>
            <w:shd w:fill="10202B" w:val="clear"/>
            <w:tcMar>
              <w:top w:type="dxa" w:w="80"/>
              <w:left w:type="dxa" w:w="110"/>
              <w:bottom w:type="dxa" w:w="80"/>
              <w:right w:type="dxa" w:w="110"/>
            </w:tcMar>
          </w:tcPr>
          <w:p>
            <w:pPr>
              <w:spacing w:after="0" w:line="250"/>
            </w:pPr>
            <w:r>
              <w:rPr>
                <w:rFonts w:ascii="Calibri" w:cs="Calibri" w:eastAsia="Calibri" w:hAnsi="Calibri"/>
                <w:b/>
                <w:bCs/>
                <w:color w:val="FFFFFF"/>
                <w:sz w:val="18"/>
                <w:szCs w:val="18"/>
              </w:rPr>
              <w:t xml:space="preserve">First era</w:t>
            </w:r>
          </w:p>
        </w:tc>
        <w:tc>
          <w:tcPr>
            <w:tcW w:type="dxa" w:w="3960"/>
            <w:shd w:fill="10202B" w:val="clear"/>
            <w:tcMar>
              <w:top w:type="dxa" w:w="80"/>
              <w:left w:type="dxa" w:w="110"/>
              <w:bottom w:type="dxa" w:w="80"/>
              <w:right w:type="dxa" w:w="110"/>
            </w:tcMar>
          </w:tcPr>
          <w:p>
            <w:pPr>
              <w:spacing w:after="0" w:line="250"/>
            </w:pPr>
            <w:r>
              <w:rPr>
                <w:rFonts w:ascii="Calibri" w:cs="Calibri" w:eastAsia="Calibri" w:hAnsi="Calibri"/>
                <w:b/>
                <w:bCs/>
                <w:color w:val="FFFFFF"/>
                <w:sz w:val="18"/>
                <w:szCs w:val="18"/>
              </w:rPr>
              <w:t xml:space="preserve">Current era</w:t>
            </w:r>
          </w:p>
        </w:tc>
      </w:tr>
      <w:tr>
        <w:tc>
          <w:tcPr>
            <w:tcW w:type="dxa" w:w="2200"/>
            <w:tcMar>
              <w:top w:type="dxa" w:w="80"/>
              <w:left w:type="dxa" w:w="110"/>
              <w:bottom w:type="dxa" w:w="80"/>
              <w:right w:type="dxa" w:w="110"/>
            </w:tcMar>
          </w:tcPr>
          <w:p>
            <w:pPr>
              <w:spacing w:after="0" w:line="250"/>
            </w:pPr>
            <w:r>
              <w:rPr>
                <w:rFonts w:ascii="Calibri" w:cs="Calibri" w:eastAsia="Calibri" w:hAnsi="Calibri"/>
                <w:color w:val="1A1A1A"/>
                <w:sz w:val="18"/>
                <w:szCs w:val="18"/>
              </w:rPr>
              <w:t xml:space="preserve">Representation</w:t>
            </w:r>
          </w:p>
        </w:tc>
        <w:tc>
          <w:tcPr>
            <w:tcW w:type="dxa" w:w="3200"/>
            <w:tcMar>
              <w:top w:type="dxa" w:w="80"/>
              <w:left w:type="dxa" w:w="110"/>
              <w:bottom w:type="dxa" w:w="80"/>
              <w:right w:type="dxa" w:w="110"/>
            </w:tcMar>
          </w:tcPr>
          <w:p>
            <w:pPr>
              <w:spacing w:after="0" w:line="250"/>
            </w:pPr>
            <w:r>
              <w:rPr>
                <w:rFonts w:ascii="Calibri" w:cs="Calibri" w:eastAsia="Calibri" w:hAnsi="Calibri"/>
                <w:color w:val="1A1A1A"/>
                <w:sz w:val="18"/>
                <w:szCs w:val="18"/>
              </w:rPr>
              <w:t xml:space="preserve">Program text</w:t>
            </w:r>
          </w:p>
        </w:tc>
        <w:tc>
          <w:tcPr>
            <w:tcW w:type="dxa" w:w="3960"/>
            <w:tcMar>
              <w:top w:type="dxa" w:w="80"/>
              <w:left w:type="dxa" w:w="110"/>
              <w:bottom w:type="dxa" w:w="80"/>
              <w:right w:type="dxa" w:w="110"/>
            </w:tcMar>
          </w:tcPr>
          <w:p>
            <w:pPr>
              <w:spacing w:after="0" w:line="250"/>
            </w:pPr>
            <w:r>
              <w:rPr>
                <w:rFonts w:ascii="Calibri" w:cs="Calibri" w:eastAsia="Calibri" w:hAnsi="Calibri"/>
                <w:color w:val="1A1A1A"/>
                <w:sz w:val="18"/>
                <w:szCs w:val="18"/>
              </w:rPr>
              <w:t xml:space="preserve">Policy parameters θ</w:t>
            </w:r>
          </w:p>
        </w:tc>
      </w:tr>
      <w:tr>
        <w:tc>
          <w:tcPr>
            <w:tcW w:type="dxa" w:w="2200"/>
            <w:tcMar>
              <w:top w:type="dxa" w:w="80"/>
              <w:left w:type="dxa" w:w="110"/>
              <w:bottom w:type="dxa" w:w="80"/>
              <w:right w:type="dxa" w:w="110"/>
            </w:tcMar>
          </w:tcPr>
          <w:p>
            <w:pPr>
              <w:spacing w:after="0" w:line="250"/>
            </w:pPr>
            <w:r>
              <w:rPr>
                <w:rFonts w:ascii="Calibri" w:cs="Calibri" w:eastAsia="Calibri" w:hAnsi="Calibri"/>
                <w:color w:val="1A1A1A"/>
                <w:sz w:val="18"/>
                <w:szCs w:val="18"/>
              </w:rPr>
              <w:t xml:space="preserve">Authored by</w:t>
            </w:r>
          </w:p>
        </w:tc>
        <w:tc>
          <w:tcPr>
            <w:tcW w:type="dxa" w:w="3200"/>
            <w:tcMar>
              <w:top w:type="dxa" w:w="80"/>
              <w:left w:type="dxa" w:w="110"/>
              <w:bottom w:type="dxa" w:w="80"/>
              <w:right w:type="dxa" w:w="110"/>
            </w:tcMar>
          </w:tcPr>
          <w:p>
            <w:pPr>
              <w:spacing w:after="0" w:line="250"/>
            </w:pPr>
            <w:r>
              <w:rPr>
                <w:rFonts w:ascii="Calibri" w:cs="Calibri" w:eastAsia="Calibri" w:hAnsi="Calibri"/>
                <w:color w:val="1A1A1A"/>
                <w:sz w:val="18"/>
                <w:szCs w:val="18"/>
              </w:rPr>
              <w:t xml:space="preserve">Engineer</w:t>
            </w:r>
          </w:p>
        </w:tc>
        <w:tc>
          <w:tcPr>
            <w:tcW w:type="dxa" w:w="3960"/>
            <w:tcMar>
              <w:top w:type="dxa" w:w="80"/>
              <w:left w:type="dxa" w:w="110"/>
              <w:bottom w:type="dxa" w:w="80"/>
              <w:right w:type="dxa" w:w="110"/>
            </w:tcMar>
          </w:tcPr>
          <w:p>
            <w:pPr>
              <w:spacing w:after="0" w:line="250"/>
            </w:pPr>
            <w:r>
              <w:rPr>
                <w:rFonts w:ascii="Calibri" w:cs="Calibri" w:eastAsia="Calibri" w:hAnsi="Calibri"/>
                <w:color w:val="1A1A1A"/>
                <w:sz w:val="18"/>
                <w:szCs w:val="18"/>
              </w:rPr>
              <w:t xml:space="preserve">Optimisation over demonstrations</w:t>
            </w:r>
          </w:p>
        </w:tc>
      </w:tr>
      <w:tr>
        <w:tc>
          <w:tcPr>
            <w:tcW w:type="dxa" w:w="2200"/>
            <w:tcMar>
              <w:top w:type="dxa" w:w="80"/>
              <w:left w:type="dxa" w:w="110"/>
              <w:bottom w:type="dxa" w:w="80"/>
              <w:right w:type="dxa" w:w="110"/>
            </w:tcMar>
          </w:tcPr>
          <w:p>
            <w:pPr>
              <w:spacing w:after="0" w:line="250"/>
            </w:pPr>
            <w:r>
              <w:rPr>
                <w:rFonts w:ascii="Calibri" w:cs="Calibri" w:eastAsia="Calibri" w:hAnsi="Calibri"/>
                <w:color w:val="1A1A1A"/>
                <w:sz w:val="18"/>
                <w:szCs w:val="18"/>
              </w:rPr>
              <w:t xml:space="preserve">Generalisation</w:t>
            </w:r>
          </w:p>
        </w:tc>
        <w:tc>
          <w:tcPr>
            <w:tcW w:type="dxa" w:w="3200"/>
            <w:tcMar>
              <w:top w:type="dxa" w:w="80"/>
              <w:left w:type="dxa" w:w="110"/>
              <w:bottom w:type="dxa" w:w="80"/>
              <w:right w:type="dxa" w:w="110"/>
            </w:tcMar>
          </w:tcPr>
          <w:p>
            <w:pPr>
              <w:spacing w:after="0" w:line="250"/>
            </w:pPr>
            <w:r>
              <w:rPr>
                <w:rFonts w:ascii="Calibri" w:cs="Calibri" w:eastAsia="Calibri" w:hAnsi="Calibri"/>
                <w:color w:val="1A1A1A"/>
                <w:sz w:val="18"/>
                <w:szCs w:val="18"/>
              </w:rPr>
              <w:t xml:space="preserve">By explicit case analysis</w:t>
            </w:r>
          </w:p>
        </w:tc>
        <w:tc>
          <w:tcPr>
            <w:tcW w:type="dxa" w:w="3960"/>
            <w:tcMar>
              <w:top w:type="dxa" w:w="80"/>
              <w:left w:type="dxa" w:w="110"/>
              <w:bottom w:type="dxa" w:w="80"/>
              <w:right w:type="dxa" w:w="110"/>
            </w:tcMar>
          </w:tcPr>
          <w:p>
            <w:pPr>
              <w:spacing w:after="0" w:line="250"/>
            </w:pPr>
            <w:r>
              <w:rPr>
                <w:rFonts w:ascii="Calibri" w:cs="Calibri" w:eastAsia="Calibri" w:hAnsi="Calibri"/>
                <w:color w:val="1A1A1A"/>
                <w:sz w:val="18"/>
                <w:szCs w:val="18"/>
              </w:rPr>
              <w:t xml:space="preserve">By interpolation in representation space</w:t>
            </w:r>
          </w:p>
        </w:tc>
      </w:tr>
      <w:tr>
        <w:tc>
          <w:tcPr>
            <w:tcW w:type="dxa" w:w="2200"/>
            <w:tcMar>
              <w:top w:type="dxa" w:w="80"/>
              <w:left w:type="dxa" w:w="110"/>
              <w:bottom w:type="dxa" w:w="80"/>
              <w:right w:type="dxa" w:w="110"/>
            </w:tcMar>
          </w:tcPr>
          <w:p>
            <w:pPr>
              <w:spacing w:after="0" w:line="250"/>
            </w:pPr>
            <w:r>
              <w:rPr>
                <w:rFonts w:ascii="Calibri" w:cs="Calibri" w:eastAsia="Calibri" w:hAnsi="Calibri"/>
                <w:color w:val="1A1A1A"/>
                <w:sz w:val="18"/>
                <w:szCs w:val="18"/>
              </w:rPr>
              <w:t xml:space="preserve">Inspectable</w:t>
            </w:r>
          </w:p>
        </w:tc>
        <w:tc>
          <w:tcPr>
            <w:tcW w:type="dxa" w:w="3200"/>
            <w:tcMar>
              <w:top w:type="dxa" w:w="80"/>
              <w:left w:type="dxa" w:w="110"/>
              <w:bottom w:type="dxa" w:w="80"/>
              <w:right w:type="dxa" w:w="110"/>
            </w:tcMar>
          </w:tcPr>
          <w:p>
            <w:pPr>
              <w:spacing w:after="0" w:line="250"/>
            </w:pPr>
            <w:r>
              <w:rPr>
                <w:rFonts w:ascii="Calibri" w:cs="Calibri" w:eastAsia="Calibri" w:hAnsi="Calibri"/>
                <w:color w:val="1A1A1A"/>
                <w:sz w:val="18"/>
                <w:szCs w:val="18"/>
              </w:rPr>
              <w:t xml:space="preserve">Yes</w:t>
            </w:r>
          </w:p>
        </w:tc>
        <w:tc>
          <w:tcPr>
            <w:tcW w:type="dxa" w:w="3960"/>
            <w:tcMar>
              <w:top w:type="dxa" w:w="80"/>
              <w:left w:type="dxa" w:w="110"/>
              <w:bottom w:type="dxa" w:w="80"/>
              <w:right w:type="dxa" w:w="110"/>
            </w:tcMar>
          </w:tcPr>
          <w:p>
            <w:pPr>
              <w:spacing w:after="0" w:line="250"/>
            </w:pPr>
            <w:r>
              <w:rPr>
                <w:rFonts w:ascii="Calibri" w:cs="Calibri" w:eastAsia="Calibri" w:hAnsi="Calibri"/>
                <w:color w:val="1A1A1A"/>
                <w:sz w:val="18"/>
                <w:szCs w:val="18"/>
              </w:rPr>
              <w:t xml:space="preserve">Weakly</w:t>
            </w:r>
          </w:p>
        </w:tc>
      </w:tr>
      <w:tr>
        <w:tc>
          <w:tcPr>
            <w:tcW w:type="dxa" w:w="2200"/>
            <w:tcMar>
              <w:top w:type="dxa" w:w="80"/>
              <w:left w:type="dxa" w:w="110"/>
              <w:bottom w:type="dxa" w:w="80"/>
              <w:right w:type="dxa" w:w="110"/>
            </w:tcMar>
          </w:tcPr>
          <w:p>
            <w:pPr>
              <w:spacing w:after="0" w:line="250"/>
            </w:pPr>
            <w:r>
              <w:rPr>
                <w:rFonts w:ascii="Calibri" w:cs="Calibri" w:eastAsia="Calibri" w:hAnsi="Calibri"/>
                <w:color w:val="1A1A1A"/>
                <w:sz w:val="18"/>
                <w:szCs w:val="18"/>
              </w:rPr>
              <w:t xml:space="preserve">Cost of a new task</w:t>
            </w:r>
          </w:p>
        </w:tc>
        <w:tc>
          <w:tcPr>
            <w:tcW w:type="dxa" w:w="3200"/>
            <w:tcMar>
              <w:top w:type="dxa" w:w="80"/>
              <w:left w:type="dxa" w:w="110"/>
              <w:bottom w:type="dxa" w:w="80"/>
              <w:right w:type="dxa" w:w="110"/>
            </w:tcMar>
          </w:tcPr>
          <w:p>
            <w:pPr>
              <w:spacing w:after="0" w:line="250"/>
            </w:pPr>
            <w:r>
              <w:rPr>
                <w:rFonts w:ascii="Calibri" w:cs="Calibri" w:eastAsia="Calibri" w:hAnsi="Calibri"/>
                <w:color w:val="1A1A1A"/>
                <w:sz w:val="18"/>
                <w:szCs w:val="18"/>
              </w:rPr>
              <w:t xml:space="preserve">New engineering</w:t>
            </w:r>
          </w:p>
        </w:tc>
        <w:tc>
          <w:tcPr>
            <w:tcW w:type="dxa" w:w="3960"/>
            <w:tcMar>
              <w:top w:type="dxa" w:w="80"/>
              <w:left w:type="dxa" w:w="110"/>
              <w:bottom w:type="dxa" w:w="80"/>
              <w:right w:type="dxa" w:w="110"/>
            </w:tcMar>
          </w:tcPr>
          <w:p>
            <w:pPr>
              <w:spacing w:after="0" w:line="250"/>
            </w:pPr>
            <w:r>
              <w:rPr>
                <w:rFonts w:ascii="Calibri" w:cs="Calibri" w:eastAsia="Calibri" w:hAnsi="Calibri"/>
                <w:color w:val="1A1A1A"/>
                <w:sz w:val="18"/>
                <w:szCs w:val="18"/>
              </w:rPr>
              <w:t xml:space="preserve">Additional data, possibly none</w:t>
            </w:r>
          </w:p>
        </w:tc>
      </w:tr>
    </w:tbl>
    <w:p>
      <w:pPr>
        <w:spacing w:after="200"/>
        <w:jc w:val="left"/>
      </w:pPr>
      <w:r>
        <w:rPr>
          <w:rFonts w:ascii="Calibri" w:cs="Calibri" w:eastAsia="Calibri" w:hAnsi="Calibri"/>
          <w:i/>
          <w:iCs/>
          <w:color w:val="555555"/>
          <w:sz w:val="18"/>
          <w:szCs w:val="18"/>
        </w:rPr>
        <w:t xml:space="preserve">Table 1. The representational shift in the task-knowledge layer.</w:t>
      </w:r>
    </w:p>
    <w:p>
      <w:pPr>
        <w:spacing w:after="120" w:line="276"/>
      </w:pPr>
      <w:r>
        <w:rPr>
          <w:rFonts w:ascii="Cambria" w:cs="Cambria" w:eastAsia="Cambria" w:hAnsi="Cambria"/>
          <w:color w:val="1A1A1A"/>
          <w:sz w:val="21"/>
          <w:szCs w:val="21"/>
        </w:rPr>
        <w:t xml:space="preserve">Two consequences follow immediately and are developed below: generalisation improves in kind, and verifiability degrades. A safety argument that depended on reading the program no longer applies.</w:t>
      </w:r>
    </w:p>
    <w:p>
      <w:pPr>
        <w:pStyle w:val="Heading1"/>
        <w:keepNext/>
        <w:spacing w:after="160" w:before="360"/>
      </w:pPr>
      <w:r>
        <w:rPr>
          <w:rFonts w:ascii="Calibri" w:cs="Calibri" w:eastAsia="Calibri" w:hAnsi="Calibri"/>
          <w:b/>
          <w:bCs/>
          <w:color w:val="10202B"/>
          <w:sz w:val="28"/>
          <w:szCs w:val="28"/>
        </w:rPr>
        <w:t xml:space="preserve">4  Why the embodied setting is harder</w:t>
      </w:r>
    </w:p>
    <w:p>
      <w:pPr>
        <w:pStyle w:val="Heading2"/>
        <w:keepNext/>
        <w:spacing w:after="120" w:before="260"/>
      </w:pPr>
      <w:r>
        <w:rPr>
          <w:rFonts w:ascii="Calibri" w:cs="Calibri" w:eastAsia="Calibri" w:hAnsi="Calibri"/>
          <w:b/>
          <w:bCs/>
          <w:color w:val="10202B"/>
          <w:sz w:val="23"/>
          <w:szCs w:val="23"/>
        </w:rPr>
        <w:t xml:space="preserve">4.1  Closed-loop execution and covariate shift</w:t>
      </w:r>
    </w:p>
    <w:p>
      <w:pPr>
        <w:spacing w:after="120" w:line="276"/>
      </w:pPr>
      <w:r>
        <w:rPr>
          <w:rFonts w:ascii="Cambria" w:cs="Cambria" w:eastAsia="Cambria" w:hAnsi="Cambria"/>
          <w:color w:val="1A1A1A"/>
          <w:sz w:val="21"/>
          <w:szCs w:val="21"/>
        </w:rPr>
        <w:t xml:space="preserve">Let πθ denote a policy trained by behaviour cloning on demonstrations drawn from an expert distribution d_expert, and let ε denote its expected per-step disagreement with the expert under that distribution. In supervised learning on i.i.d. data, expected loss over T predictions grows as O(εT).</w:t>
      </w:r>
    </w:p>
    <w:p>
      <w:pPr>
        <w:spacing w:after="120" w:line="276"/>
      </w:pPr>
      <w:r>
        <w:rPr>
          <w:rFonts w:ascii="Cambria" w:cs="Cambria" w:eastAsia="Cambria" w:hAnsi="Cambria"/>
          <w:color w:val="1A1A1A"/>
          <w:sz w:val="21"/>
          <w:szCs w:val="21"/>
        </w:rPr>
        <w:t xml:space="preserve">Under closed-loop execution this bound does not hold, because the policy’s own actions determine its subsequent state distribution. Ross et al. [14] show that the total cost of behaviour cloning grows as O(εT²) in the worst case: an early deviation moves the system to states unrepresented in d_expert, where the per-step error is no longer bounded by ε, which produces further deviation. The quadratic term is not an artefact of weak models; it is a property of executing a learned policy in a loop.</w:t>
      </w:r>
    </w:p>
    <w:p>
      <w:pPr>
        <w:shd w:fill="F4F6F8" w:val="clear"/>
        <w:spacing w:after="0" w:line="240"/>
        <w:ind w:left="360"/>
      </w:pPr>
      <w:r>
        <w:rPr>
          <w:rFonts w:ascii="Consolas" w:cs="Consolas" w:eastAsia="Consolas" w:hAnsi="Consolas"/>
          <w:color w:val="24343F"/>
          <w:sz w:val="17"/>
          <w:szCs w:val="17"/>
        </w:rPr>
        <w:t xml:space="preserve">  training support:    |============ d_expert ============|</w:t>
      </w:r>
    </w:p>
    <w:p>
      <w:pPr>
        <w:shd w:fill="F4F6F8" w:val="clear"/>
        <w:spacing w:after="0" w:line="240"/>
        <w:ind w:left="360"/>
      </w:pPr>
      <w:r>
        <w:rPr>
          <w:rFonts w:ascii="Consolas" w:cs="Consolas" w:eastAsia="Consolas" w:hAnsi="Consolas"/>
          <w:color w:val="24343F"/>
          <w:sz w:val="17"/>
          <w:szCs w:val="17"/>
        </w:rPr>
        <w:t xml:space="preserve">  rollout trajectory:  |==== * === *   ==*==   =*=        |    *</w:t>
      </w:r>
    </w:p>
    <w:p>
      <w:pPr>
        <w:shd w:fill="F4F6F8" w:val="clear"/>
        <w:spacing w:after="0" w:line="240"/>
        <w:ind w:left="360"/>
      </w:pPr>
      <w:r>
        <w:rPr>
          <w:rFonts w:ascii="Consolas" w:cs="Consolas" w:eastAsia="Consolas" w:hAnsi="Consolas"/>
          <w:color w:val="24343F"/>
          <w:sz w:val="17"/>
          <w:szCs w:val="17"/>
        </w:rPr>
        <w:t xml:space="preserve">                                                               \__ outside support:</w:t>
      </w:r>
    </w:p>
    <w:p>
      <w:pPr>
        <w:shd w:fill="F4F6F8" w:val="clear"/>
        <w:spacing w:after="120" w:line="240"/>
        <w:ind w:left="360"/>
      </w:pPr>
      <w:r>
        <w:rPr>
          <w:rFonts w:ascii="Consolas" w:cs="Consolas" w:eastAsia="Consolas" w:hAnsi="Consolas"/>
          <w:color w:val="24343F"/>
          <w:sz w:val="17"/>
          <w:szCs w:val="17"/>
        </w:rPr>
        <w:t xml:space="preserve">                                                                   error unbounded</w:t>
      </w:r>
    </w:p>
    <w:p>
      <w:pPr>
        <w:spacing w:after="200"/>
        <w:jc w:val="left"/>
      </w:pPr>
      <w:r>
        <w:rPr>
          <w:rFonts w:ascii="Calibri" w:cs="Calibri" w:eastAsia="Calibri" w:hAnsi="Calibri"/>
          <w:i/>
          <w:iCs/>
          <w:color w:val="555555"/>
          <w:sz w:val="18"/>
          <w:szCs w:val="18"/>
        </w:rPr>
        <w:t xml:space="preserve">Figure 1. Compounding deviation under closed-loop execution. Each deviation relocates the state distribution, degrading subsequent predictions.</w:t>
      </w:r>
    </w:p>
    <w:p>
      <w:pPr>
        <w:spacing w:after="120" w:line="276"/>
      </w:pPr>
      <w:r>
        <w:rPr>
          <w:rFonts w:ascii="Cambria" w:cs="Cambria" w:eastAsia="Cambria" w:hAnsi="Cambria"/>
          <w:color w:val="1A1A1A"/>
          <w:sz w:val="21"/>
          <w:szCs w:val="21"/>
        </w:rPr>
        <w:t xml:space="preserve">Mitigations in current practice are all attempts to restore coverage or reduce the effective horizon: interactive data aggregation [14], injecting perturbations during collection, including recovery demonstrations, action chunking, and predicting multi-step action sequences rather than single steps. None eliminates the problem; they change the constant and, in the interactive case, the exponent.</w:t>
      </w:r>
    </w:p>
    <w:p>
      <w:pPr>
        <w:spacing w:after="120" w:line="276"/>
      </w:pPr>
      <w:r>
        <w:rPr>
          <w:rFonts w:ascii="Cambria" w:cs="Cambria" w:eastAsia="Cambria" w:hAnsi="Cambria"/>
          <w:color w:val="1A1A1A"/>
          <w:sz w:val="21"/>
          <w:szCs w:val="21"/>
        </w:rPr>
        <w:t xml:space="preserve">This single property explains a large fraction of the difference between deploying a language model and deploying a robot policy.</w:t>
      </w:r>
    </w:p>
    <w:p>
      <w:pPr>
        <w:pStyle w:val="Heading2"/>
        <w:keepNext/>
        <w:spacing w:after="120" w:before="260"/>
      </w:pPr>
      <w:r>
        <w:rPr>
          <w:rFonts w:ascii="Calibri" w:cs="Calibri" w:eastAsia="Calibri" w:hAnsi="Calibri"/>
          <w:b/>
          <w:bCs/>
          <w:color w:val="10202B"/>
          <w:sz w:val="23"/>
          <w:szCs w:val="23"/>
        </w:rPr>
        <w:t xml:space="preserve">4.2  The arithmetic of reliability</w:t>
      </w:r>
    </w:p>
    <w:p>
      <w:pPr>
        <w:spacing w:after="120" w:line="276"/>
      </w:pPr>
      <w:r>
        <w:rPr>
          <w:rFonts w:ascii="Cambria" w:cs="Cambria" w:eastAsia="Cambria" w:hAnsi="Cambria"/>
          <w:color w:val="1A1A1A"/>
          <w:sz w:val="21"/>
          <w:szCs w:val="21"/>
        </w:rPr>
        <w:t xml:space="preserve">Let p be per-decision success probability and n the number of decisions per operating period. Expected failures per period are n(1−p), and the probability of a failure-free period is pⁿ.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760"/>
      </w:tblGrid>
      <w:tr>
        <w:trPr>
          <w:tblHeader/>
        </w:trPr>
        <w:tc>
          <w:tcPr>
            <w:tcW w:type="dxa" w:w="1800"/>
            <w:shd w:fill="10202B" w:val="clear"/>
            <w:tcMar>
              <w:top w:type="dxa" w:w="80"/>
              <w:left w:type="dxa" w:w="110"/>
              <w:bottom w:type="dxa" w:w="80"/>
              <w:right w:type="dxa" w:w="110"/>
            </w:tcMar>
          </w:tcPr>
          <w:p>
            <w:pPr>
              <w:spacing w:after="0" w:line="250"/>
            </w:pPr>
            <w:r>
              <w:rPr>
                <w:rFonts w:ascii="Calibri" w:cs="Calibri" w:eastAsia="Calibri" w:hAnsi="Calibri"/>
                <w:b/>
                <w:bCs/>
                <w:color w:val="FFFFFF"/>
                <w:sz w:val="18"/>
                <w:szCs w:val="18"/>
              </w:rPr>
              <w:t xml:space="preserve">p</w:t>
            </w:r>
          </w:p>
        </w:tc>
        <w:tc>
          <w:tcPr>
            <w:tcW w:type="dxa" w:w="4800"/>
            <w:shd w:fill="10202B" w:val="clear"/>
            <w:tcMar>
              <w:top w:type="dxa" w:w="80"/>
              <w:left w:type="dxa" w:w="110"/>
              <w:bottom w:type="dxa" w:w="80"/>
              <w:right w:type="dxa" w:w="110"/>
            </w:tcMar>
          </w:tcPr>
          <w:p>
            <w:pPr>
              <w:spacing w:after="0" w:line="250"/>
            </w:pPr>
            <w:r>
              <w:rPr>
                <w:rFonts w:ascii="Calibri" w:cs="Calibri" w:eastAsia="Calibri" w:hAnsi="Calibri"/>
                <w:b/>
                <w:bCs/>
                <w:color w:val="FFFFFF"/>
                <w:sz w:val="18"/>
                <w:szCs w:val="18"/>
              </w:rPr>
              <w:t xml:space="preserve">Expected failures per 1,000 decisions</w:t>
            </w:r>
          </w:p>
        </w:tc>
        <w:tc>
          <w:tcPr>
            <w:tcW w:type="dxa" w:w="2760"/>
            <w:shd w:fill="10202B" w:val="clear"/>
            <w:tcMar>
              <w:top w:type="dxa" w:w="80"/>
              <w:left w:type="dxa" w:w="110"/>
              <w:bottom w:type="dxa" w:w="80"/>
              <w:right w:type="dxa" w:w="110"/>
            </w:tcMar>
          </w:tcPr>
          <w:p>
            <w:pPr>
              <w:spacing w:after="0" w:line="250"/>
            </w:pPr>
            <w:r>
              <w:rPr>
                <w:rFonts w:ascii="Calibri" w:cs="Calibri" w:eastAsia="Calibri" w:hAnsi="Calibri"/>
                <w:b/>
                <w:bCs/>
                <w:color w:val="FFFFFF"/>
                <w:sz w:val="18"/>
                <w:szCs w:val="18"/>
              </w:rPr>
              <w:t xml:space="preserve">P(failure-free)</w:t>
            </w:r>
          </w:p>
        </w:tc>
      </w:tr>
      <w:tr>
        <w:tc>
          <w:tcPr>
            <w:tcW w:type="dxa" w:w="1800"/>
            <w:tcMar>
              <w:top w:type="dxa" w:w="80"/>
              <w:left w:type="dxa" w:w="110"/>
              <w:bottom w:type="dxa" w:w="80"/>
              <w:right w:type="dxa" w:w="110"/>
            </w:tcMar>
          </w:tcPr>
          <w:p>
            <w:pPr>
              <w:spacing w:after="0" w:line="250"/>
            </w:pPr>
            <w:r>
              <w:rPr>
                <w:rFonts w:ascii="Calibri" w:cs="Calibri" w:eastAsia="Calibri" w:hAnsi="Calibri"/>
                <w:color w:val="1A1A1A"/>
                <w:sz w:val="18"/>
                <w:szCs w:val="18"/>
              </w:rPr>
              <w:t xml:space="preserve">0.99</w:t>
            </w:r>
          </w:p>
        </w:tc>
        <w:tc>
          <w:tcPr>
            <w:tcW w:type="dxa" w:w="4800"/>
            <w:tcMar>
              <w:top w:type="dxa" w:w="80"/>
              <w:left w:type="dxa" w:w="110"/>
              <w:bottom w:type="dxa" w:w="80"/>
              <w:right w:type="dxa" w:w="110"/>
            </w:tcMar>
          </w:tcPr>
          <w:p>
            <w:pPr>
              <w:spacing w:after="0" w:line="250"/>
            </w:pPr>
            <w:r>
              <w:rPr>
                <w:rFonts w:ascii="Calibri" w:cs="Calibri" w:eastAsia="Calibri" w:hAnsi="Calibri"/>
                <w:color w:val="1A1A1A"/>
                <w:sz w:val="18"/>
                <w:szCs w:val="18"/>
              </w:rPr>
              <w:t xml:space="preserve">10</w:t>
            </w:r>
          </w:p>
        </w:tc>
        <w:tc>
          <w:tcPr>
            <w:tcW w:type="dxa" w:w="2760"/>
            <w:tcMar>
              <w:top w:type="dxa" w:w="80"/>
              <w:left w:type="dxa" w:w="110"/>
              <w:bottom w:type="dxa" w:w="80"/>
              <w:right w:type="dxa" w:w="110"/>
            </w:tcMar>
          </w:tcPr>
          <w:p>
            <w:pPr>
              <w:spacing w:after="0" w:line="250"/>
            </w:pPr>
            <w:r>
              <w:rPr>
                <w:rFonts w:ascii="Calibri" w:cs="Calibri" w:eastAsia="Calibri" w:hAnsi="Calibri"/>
                <w:color w:val="1A1A1A"/>
                <w:sz w:val="18"/>
                <w:szCs w:val="18"/>
              </w:rPr>
              <w:t xml:space="preserve">4.3 × 10⁻⁵</w:t>
            </w:r>
          </w:p>
        </w:tc>
      </w:tr>
      <w:tr>
        <w:tc>
          <w:tcPr>
            <w:tcW w:type="dxa" w:w="1800"/>
            <w:tcMar>
              <w:top w:type="dxa" w:w="80"/>
              <w:left w:type="dxa" w:w="110"/>
              <w:bottom w:type="dxa" w:w="80"/>
              <w:right w:type="dxa" w:w="110"/>
            </w:tcMar>
          </w:tcPr>
          <w:p>
            <w:pPr>
              <w:spacing w:after="0" w:line="250"/>
            </w:pPr>
            <w:r>
              <w:rPr>
                <w:rFonts w:ascii="Calibri" w:cs="Calibri" w:eastAsia="Calibri" w:hAnsi="Calibri"/>
                <w:color w:val="1A1A1A"/>
                <w:sz w:val="18"/>
                <w:szCs w:val="18"/>
              </w:rPr>
              <w:t xml:space="preserve">0.999</w:t>
            </w:r>
          </w:p>
        </w:tc>
        <w:tc>
          <w:tcPr>
            <w:tcW w:type="dxa" w:w="4800"/>
            <w:tcMar>
              <w:top w:type="dxa" w:w="80"/>
              <w:left w:type="dxa" w:w="110"/>
              <w:bottom w:type="dxa" w:w="80"/>
              <w:right w:type="dxa" w:w="110"/>
            </w:tcMar>
          </w:tcPr>
          <w:p>
            <w:pPr>
              <w:spacing w:after="0" w:line="250"/>
            </w:pPr>
            <w:r>
              <w:rPr>
                <w:rFonts w:ascii="Calibri" w:cs="Calibri" w:eastAsia="Calibri" w:hAnsi="Calibri"/>
                <w:color w:val="1A1A1A"/>
                <w:sz w:val="18"/>
                <w:szCs w:val="18"/>
              </w:rPr>
              <w:t xml:space="preserve">1</w:t>
            </w:r>
          </w:p>
        </w:tc>
        <w:tc>
          <w:tcPr>
            <w:tcW w:type="dxa" w:w="2760"/>
            <w:tcMar>
              <w:top w:type="dxa" w:w="80"/>
              <w:left w:type="dxa" w:w="110"/>
              <w:bottom w:type="dxa" w:w="80"/>
              <w:right w:type="dxa" w:w="110"/>
            </w:tcMar>
          </w:tcPr>
          <w:p>
            <w:pPr>
              <w:spacing w:after="0" w:line="250"/>
            </w:pPr>
            <w:r>
              <w:rPr>
                <w:rFonts w:ascii="Calibri" w:cs="Calibri" w:eastAsia="Calibri" w:hAnsi="Calibri"/>
                <w:color w:val="1A1A1A"/>
                <w:sz w:val="18"/>
                <w:szCs w:val="18"/>
              </w:rPr>
              <w:t xml:space="preserve">0.368</w:t>
            </w:r>
          </w:p>
        </w:tc>
      </w:tr>
      <w:tr>
        <w:tc>
          <w:tcPr>
            <w:tcW w:type="dxa" w:w="1800"/>
            <w:tcMar>
              <w:top w:type="dxa" w:w="80"/>
              <w:left w:type="dxa" w:w="110"/>
              <w:bottom w:type="dxa" w:w="80"/>
              <w:right w:type="dxa" w:w="110"/>
            </w:tcMar>
          </w:tcPr>
          <w:p>
            <w:pPr>
              <w:spacing w:after="0" w:line="250"/>
            </w:pPr>
            <w:r>
              <w:rPr>
                <w:rFonts w:ascii="Calibri" w:cs="Calibri" w:eastAsia="Calibri" w:hAnsi="Calibri"/>
                <w:color w:val="1A1A1A"/>
                <w:sz w:val="18"/>
                <w:szCs w:val="18"/>
              </w:rPr>
              <w:t xml:space="preserve">0.9999</w:t>
            </w:r>
          </w:p>
        </w:tc>
        <w:tc>
          <w:tcPr>
            <w:tcW w:type="dxa" w:w="4800"/>
            <w:tcMar>
              <w:top w:type="dxa" w:w="80"/>
              <w:left w:type="dxa" w:w="110"/>
              <w:bottom w:type="dxa" w:w="80"/>
              <w:right w:type="dxa" w:w="110"/>
            </w:tcMar>
          </w:tcPr>
          <w:p>
            <w:pPr>
              <w:spacing w:after="0" w:line="250"/>
            </w:pPr>
            <w:r>
              <w:rPr>
                <w:rFonts w:ascii="Calibri" w:cs="Calibri" w:eastAsia="Calibri" w:hAnsi="Calibri"/>
                <w:color w:val="1A1A1A"/>
                <w:sz w:val="18"/>
                <w:szCs w:val="18"/>
              </w:rPr>
              <w:t xml:space="preserve">0.1</w:t>
            </w:r>
          </w:p>
        </w:tc>
        <w:tc>
          <w:tcPr>
            <w:tcW w:type="dxa" w:w="2760"/>
            <w:tcMar>
              <w:top w:type="dxa" w:w="80"/>
              <w:left w:type="dxa" w:w="110"/>
              <w:bottom w:type="dxa" w:w="80"/>
              <w:right w:type="dxa" w:w="110"/>
            </w:tcMar>
          </w:tcPr>
          <w:p>
            <w:pPr>
              <w:spacing w:after="0" w:line="250"/>
            </w:pPr>
            <w:r>
              <w:rPr>
                <w:rFonts w:ascii="Calibri" w:cs="Calibri" w:eastAsia="Calibri" w:hAnsi="Calibri"/>
                <w:color w:val="1A1A1A"/>
                <w:sz w:val="18"/>
                <w:szCs w:val="18"/>
              </w:rPr>
              <w:t xml:space="preserve">0.905</w:t>
            </w:r>
          </w:p>
        </w:tc>
      </w:tr>
    </w:tbl>
    <w:p>
      <w:pPr>
        <w:spacing w:after="200"/>
        <w:jc w:val="left"/>
      </w:pPr>
      <w:r>
        <w:rPr>
          <w:rFonts w:ascii="Calibri" w:cs="Calibri" w:eastAsia="Calibri" w:hAnsi="Calibri"/>
          <w:i/>
          <w:iCs/>
          <w:color w:val="555555"/>
          <w:sz w:val="18"/>
          <w:szCs w:val="18"/>
        </w:rPr>
        <w:t xml:space="preserve">Table 2. Reliability arithmetic for a system making 1,000 decisions per period.</w:t>
      </w:r>
    </w:p>
    <w:p>
      <w:pPr>
        <w:spacing w:after="120" w:line="276"/>
      </w:pPr>
      <w:r>
        <w:rPr>
          <w:rFonts w:ascii="Cambria" w:cs="Cambria" w:eastAsia="Cambria" w:hAnsi="Cambria"/>
          <w:color w:val="1A1A1A"/>
          <w:sz w:val="21"/>
          <w:szCs w:val="21"/>
        </w:rPr>
        <w:t xml:space="preserve">The practical consequence is that reported accuracies in the high-90s, which read as strong results in a machine-learning context, correspond to unusable systems in an operational one. Moreover the marginal cost of each additional nine is approximately the cumulative cost of all preceding nines, because the residual failures are drawn from an increasingly rare and heterogeneous tail. There is no natural stopping criterion internal to the method; the criterion is external and economic.</w:t>
      </w:r>
    </w:p>
    <w:p>
      <w:pPr>
        <w:pStyle w:val="Heading2"/>
        <w:keepNext/>
        <w:spacing w:after="120" w:before="260"/>
      </w:pPr>
      <w:r>
        <w:rPr>
          <w:rFonts w:ascii="Calibri" w:cs="Calibri" w:eastAsia="Calibri" w:hAnsi="Calibri"/>
          <w:b/>
          <w:bCs/>
          <w:color w:val="10202B"/>
          <w:sz w:val="23"/>
          <w:szCs w:val="23"/>
        </w:rPr>
        <w:t xml:space="preserve">4.3  Data scarcity</w:t>
      </w:r>
    </w:p>
    <w:p>
      <w:pPr>
        <w:spacing w:after="120" w:line="276"/>
      </w:pPr>
      <w:r>
        <w:rPr>
          <w:rFonts w:ascii="Cambria" w:cs="Cambria" w:eastAsia="Cambria" w:hAnsi="Cambria"/>
          <w:color w:val="1A1A1A"/>
          <w:sz w:val="21"/>
          <w:szCs w:val="21"/>
        </w:rPr>
        <w:t xml:space="preserve">Language modelling benefits from an incidental corpus: text produced for other purposes, at scale, at no cost to the modeller. No analogous corpus of physical interaction exists. Demonstration data is produced deliberately, by teleoperation of real hardware, at approximately real time, with a human in attendance.</w:t>
      </w:r>
    </w:p>
    <w:p>
      <w:pPr>
        <w:spacing w:after="120" w:line="276"/>
      </w:pPr>
      <w:r>
        <w:rPr>
          <w:rFonts w:ascii="Cambria" w:cs="Cambria" w:eastAsia="Cambria" w:hAnsi="Cambria"/>
          <w:color w:val="1A1A1A"/>
          <w:sz w:val="21"/>
          <w:szCs w:val="21"/>
        </w:rPr>
        <w:t xml:space="preserve">Two consequences follow. First, data collection is a genuine barrier to entry in robotics in a way it is not in language, and the falling cost of teleoperation hardware [15] is therefore strategically significant. Second, the requisite quantity is not a constant: demonstration counts reported for successful task acquisition span roughly two orders of magnitude depending on task horizon, contact complexity and the diversity required at deployment. Single-number guidance (“N demonstrations per task”) should be treated as folklore.</w:t>
      </w:r>
    </w:p>
    <w:p>
      <w:pPr>
        <w:pStyle w:val="Heading2"/>
        <w:keepNext/>
        <w:spacing w:after="120" w:before="260"/>
      </w:pPr>
      <w:r>
        <w:rPr>
          <w:rFonts w:ascii="Calibri" w:cs="Calibri" w:eastAsia="Calibri" w:hAnsi="Calibri"/>
          <w:b/>
          <w:bCs/>
          <w:color w:val="10202B"/>
          <w:sz w:val="23"/>
          <w:szCs w:val="23"/>
        </w:rPr>
        <w:t xml:space="preserve">4.4  Sim-to-real transfer</w:t>
      </w:r>
    </w:p>
    <w:p>
      <w:pPr>
        <w:spacing w:after="120" w:line="276"/>
      </w:pPr>
      <w:r>
        <w:rPr>
          <w:rFonts w:ascii="Cambria" w:cs="Cambria" w:eastAsia="Cambria" w:hAnsi="Cambria"/>
          <w:color w:val="1A1A1A"/>
          <w:sz w:val="21"/>
          <w:szCs w:val="21"/>
        </w:rPr>
        <w:t xml:space="preserve">Simulation resolves the throughput problem and reintroduces a modelling problem. Contact, friction, deformation and photometry are approximated, so a policy optimal under the simulator’s dynamics need not be optimal under the plant’s.</w:t>
      </w:r>
    </w:p>
    <w:p>
      <w:pPr>
        <w:spacing w:after="120" w:line="276"/>
      </w:pPr>
      <w:r>
        <w:rPr>
          <w:rFonts w:ascii="Cambria" w:cs="Cambria" w:eastAsia="Cambria" w:hAnsi="Cambria"/>
          <w:color w:val="1A1A1A"/>
          <w:sz w:val="21"/>
          <w:szCs w:val="21"/>
        </w:rPr>
        <w:t xml:space="preserve">Domain randomisation [16] addresses this by training over a distribution of dynamics parameters, so that reality is plausibly within the training support rather than outside it. The technique underwrote early high-profile transfers [17] and remains the backbone of practice, now typically combined with system identification to narrow the randomisation range and with co-training on mixed simulated and real data.</w:t>
      </w:r>
    </w:p>
    <w:p>
      <w:pPr>
        <w:spacing w:after="120" w:line="276"/>
      </w:pPr>
      <w:r>
        <w:rPr>
          <w:rFonts w:ascii="Cambria" w:cs="Cambria" w:eastAsia="Cambria" w:hAnsi="Cambria"/>
          <w:color w:val="1A1A1A"/>
          <w:sz w:val="21"/>
          <w:szCs w:val="21"/>
        </w:rPr>
        <w:t xml:space="preserve">Transfer quality is strongly modality-dependent, and this dependence is under-appreciated. Locomotion transfers comparatively well: contact is intermittent, the relevant dynamics are rigid-body, and proprioception is accurate [18, 19]. Contact-rich manipulation of deformable or articulated objects transfers comparatively poorly. Generalising from locomotion results to manipulation timelines is therefore unsound.</w:t>
      </w:r>
    </w:p>
    <w:p>
      <w:pPr>
        <w:pStyle w:val="Heading1"/>
        <w:keepNext/>
        <w:spacing w:after="160" w:before="360"/>
      </w:pPr>
      <w:r>
        <w:rPr>
          <w:rFonts w:ascii="Calibri" w:cs="Calibri" w:eastAsia="Calibri" w:hAnsi="Calibri"/>
          <w:b/>
          <w:bCs/>
          <w:color w:val="10202B"/>
          <w:sz w:val="28"/>
          <w:szCs w:val="28"/>
        </w:rPr>
        <w:t xml:space="preserve">5  Infrastructure</w:t>
      </w:r>
    </w:p>
    <w:p>
      <w:pPr>
        <w:pStyle w:val="Heading2"/>
        <w:keepNext/>
        <w:spacing w:after="120" w:before="260"/>
      </w:pPr>
      <w:r>
        <w:rPr>
          <w:rFonts w:ascii="Calibri" w:cs="Calibri" w:eastAsia="Calibri" w:hAnsi="Calibri"/>
          <w:b/>
          <w:bCs/>
          <w:color w:val="10202B"/>
          <w:sz w:val="23"/>
          <w:szCs w:val="23"/>
        </w:rPr>
        <w:t xml:space="preserve">5.1  Simulation</w:t>
      </w:r>
    </w:p>
    <w:p>
      <w:pPr>
        <w:spacing w:after="120" w:line="276"/>
      </w:pPr>
      <w:r>
        <w:rPr>
          <w:rFonts w:ascii="Cambria" w:cs="Cambria" w:eastAsia="Cambria" w:hAnsi="Cambria"/>
          <w:color w:val="1A1A1A"/>
          <w:sz w:val="21"/>
          <w:szCs w:val="21"/>
        </w:rPr>
        <w:t xml:space="preserve">The economic case for simulation is throughput: a physical robot yields one hour of interaction per hour and consumes supervision and hardware life, whereas GPU-parallel simulation yields thousands of concurrent episodes at the cost of compute. Massively parallel formulations [20, 21] reduced locomotion training times from weeks to minutes and are now the default rather than an optimisation.</w:t>
      </w:r>
    </w:p>
    <w:p>
      <w:pPr>
        <w:spacing w:after="120" w:line="276"/>
      </w:pPr>
      <w:r>
        <w:rPr>
          <w:rFonts w:ascii="Cambria" w:cs="Cambria" w:eastAsia="Cambria" w:hAnsi="Cambria"/>
          <w:color w:val="1A1A1A"/>
          <w:sz w:val="21"/>
          <w:szCs w:val="21"/>
        </w:rPr>
        <w:t xml:space="preserve">Three secondary properties matter as much as throughput. Failure is free, so exploration is unconstrained by damage. Ground truth is exact and free, since the simulator possesses the state it is asked to label. And the dynamics are parameterisable, which is what makes randomisation possible.</w:t>
      </w:r>
    </w:p>
    <w:p>
      <w:pPr>
        <w:spacing w:after="120" w:line="276"/>
      </w:pPr>
      <w:r>
        <w:rPr>
          <w:rFonts w:ascii="Cambria" w:cs="Cambria" w:eastAsia="Cambria" w:hAnsi="Cambria"/>
          <w:color w:val="1A1A1A"/>
          <w:sz w:val="21"/>
          <w:szCs w:val="21"/>
        </w:rPr>
        <w:t xml:space="preserve">An observation for readers who have not inspected a training run: the overwhelming majority of episodes fail. The affordability of failure is the mechanism, not an incidental property.</w:t>
      </w:r>
    </w:p>
    <w:p>
      <w:pPr>
        <w:pStyle w:val="Heading2"/>
        <w:keepNext/>
        <w:spacing w:after="120" w:before="260"/>
      </w:pPr>
      <w:r>
        <w:rPr>
          <w:rFonts w:ascii="Calibri" w:cs="Calibri" w:eastAsia="Calibri" w:hAnsi="Calibri"/>
          <w:b/>
          <w:bCs/>
          <w:color w:val="10202B"/>
          <w:sz w:val="23"/>
          <w:szCs w:val="23"/>
        </w:rPr>
        <w:t xml:space="preserve">5.2  Current tooling, with two corrections</w:t>
      </w:r>
    </w:p>
    <w:p>
      <w:pPr>
        <w:pStyle w:val="ListParagraph"/>
        <w:numPr>
          <w:ilvl w:val="0"/>
          <w:numId w:val="3"/>
        </w:numPr>
        <w:spacing w:after="90" w:line="276"/>
      </w:pPr>
      <w:r>
        <w:rPr>
          <w:rFonts w:ascii="Cambria" w:cs="Cambria" w:eastAsia="Cambria" w:hAnsi="Cambria"/>
          <w:b/>
          <w:bCs/>
          <w:color w:val="1A1A1A"/>
          <w:sz w:val="21"/>
          <w:szCs w:val="21"/>
        </w:rPr>
        <w:t xml:space="preserve">MuJoCo</w:t>
      </w:r>
      <w:r>
        <w:rPr>
          <w:rFonts w:ascii="Cambria" w:cs="Cambria" w:eastAsia="Cambria" w:hAnsi="Cambria"/>
          <w:color w:val="1A1A1A"/>
          <w:sz w:val="21"/>
          <w:szCs w:val="21"/>
        </w:rPr>
        <w:t xml:space="preserve"> [22]: open-source, accurate for contact-rich dynamics, the de facto academic standard; MJX provides GPU execution of the same dynamics.</w:t>
      </w:r>
    </w:p>
    <w:p>
      <w:pPr>
        <w:pStyle w:val="ListParagraph"/>
        <w:numPr>
          <w:ilvl w:val="0"/>
          <w:numId w:val="3"/>
        </w:numPr>
        <w:spacing w:after="90" w:line="276"/>
      </w:pPr>
      <w:r>
        <w:rPr>
          <w:rFonts w:ascii="Cambria" w:cs="Cambria" w:eastAsia="Cambria" w:hAnsi="Cambria"/>
          <w:b/>
          <w:bCs/>
          <w:color w:val="1A1A1A"/>
          <w:sz w:val="21"/>
          <w:szCs w:val="21"/>
        </w:rPr>
        <w:t xml:space="preserve">Isaac Sim</w:t>
      </w:r>
      <w:r>
        <w:rPr>
          <w:rFonts w:ascii="Cambria" w:cs="Cambria" w:eastAsia="Cambria" w:hAnsi="Cambria"/>
          <w:color w:val="1A1A1A"/>
          <w:sz w:val="21"/>
          <w:szCs w:val="21"/>
        </w:rPr>
        <w:t xml:space="preserve">: full simulator with PhysX dynamics and ray-traced sensor simulation, oriented towards synthetic data generation and digital twins.</w:t>
      </w:r>
    </w:p>
    <w:p>
      <w:pPr>
        <w:pStyle w:val="ListParagraph"/>
        <w:numPr>
          <w:ilvl w:val="0"/>
          <w:numId w:val="3"/>
        </w:numPr>
        <w:spacing w:after="90" w:line="276"/>
      </w:pPr>
      <w:r>
        <w:rPr>
          <w:rFonts w:ascii="Cambria" w:cs="Cambria" w:eastAsia="Cambria" w:hAnsi="Cambria"/>
          <w:b/>
          <w:bCs/>
          <w:color w:val="1A1A1A"/>
          <w:sz w:val="21"/>
          <w:szCs w:val="21"/>
        </w:rPr>
        <w:t xml:space="preserve">Isaac Lab</w:t>
      </w:r>
      <w:r>
        <w:rPr>
          <w:rFonts w:ascii="Cambria" w:cs="Cambria" w:eastAsia="Cambria" w:hAnsi="Cambria"/>
          <w:color w:val="1A1A1A"/>
          <w:sz w:val="21"/>
          <w:szCs w:val="21"/>
        </w:rPr>
        <w:t xml:space="preserve">: </w:t>
      </w:r>
      <w:r>
        <w:rPr>
          <w:rFonts w:ascii="Cambria" w:cs="Cambria" w:eastAsia="Cambria" w:hAnsi="Cambria"/>
          <w:i/>
          <w:iCs/>
          <w:color w:val="1A1A1A"/>
          <w:sz w:val="21"/>
          <w:szCs w:val="21"/>
        </w:rPr>
        <w:t xml:space="preserve">a learning framework, not a simulator.</w:t>
      </w:r>
      <w:r>
        <w:rPr>
          <w:rFonts w:ascii="Cambria" w:cs="Cambria" w:eastAsia="Cambria" w:hAnsi="Cambria"/>
          <w:color w:val="1A1A1A"/>
          <w:sz w:val="21"/>
          <w:szCs w:val="21"/>
        </w:rPr>
        <w:t xml:space="preserve"> It sits on Isaac Sim and supersedes the deprecated </w:t>
      </w:r>
      <w:r>
        <w:rPr>
          <w:rFonts w:ascii="Cambria" w:cs="Cambria" w:eastAsia="Cambria" w:hAnsi="Cambria"/>
          <w:b/>
          <w:bCs/>
          <w:color w:val="1A1A1A"/>
          <w:sz w:val="21"/>
          <w:szCs w:val="21"/>
        </w:rPr>
        <w:t xml:space="preserve">Isaac Gym</w:t>
      </w:r>
      <w:r>
        <w:rPr>
          <w:rFonts w:ascii="Cambria" w:cs="Cambria" w:eastAsia="Cambria" w:hAnsi="Cambria"/>
          <w:color w:val="1A1A1A"/>
          <w:sz w:val="21"/>
          <w:szCs w:val="21"/>
        </w:rPr>
        <w:t xml:space="preserve"> [20] and Orbit [23]. New work should not begin on the deprecated components — a point frequently missed because the earlier names dominate the citation record.</w:t>
      </w:r>
    </w:p>
    <w:p>
      <w:pPr>
        <w:pStyle w:val="ListParagraph"/>
        <w:numPr>
          <w:ilvl w:val="0"/>
          <w:numId w:val="3"/>
        </w:numPr>
        <w:spacing w:after="90" w:line="276"/>
      </w:pPr>
      <w:r>
        <w:rPr>
          <w:rFonts w:ascii="Cambria" w:cs="Cambria" w:eastAsia="Cambria" w:hAnsi="Cambria"/>
          <w:b/>
          <w:bCs/>
          <w:color w:val="1A1A1A"/>
          <w:sz w:val="21"/>
          <w:szCs w:val="21"/>
        </w:rPr>
        <w:t xml:space="preserve">OpenUSD / Omniverse</w:t>
      </w:r>
      <w:r>
        <w:rPr>
          <w:rFonts w:ascii="Cambria" w:cs="Cambria" w:eastAsia="Cambria" w:hAnsi="Cambria"/>
          <w:color w:val="1A1A1A"/>
          <w:sz w:val="21"/>
          <w:szCs w:val="21"/>
        </w:rPr>
        <w:t xml:space="preserve">: scene interchange format and platform.</w:t>
      </w:r>
    </w:p>
    <w:p>
      <w:pPr>
        <w:pStyle w:val="ListParagraph"/>
        <w:numPr>
          <w:ilvl w:val="0"/>
          <w:numId w:val="3"/>
        </w:numPr>
        <w:spacing w:after="90" w:line="276"/>
      </w:pPr>
      <w:r>
        <w:rPr>
          <w:rFonts w:ascii="Cambria" w:cs="Cambria" w:eastAsia="Cambria" w:hAnsi="Cambria"/>
          <w:b/>
          <w:bCs/>
          <w:color w:val="1A1A1A"/>
          <w:sz w:val="21"/>
          <w:szCs w:val="21"/>
        </w:rPr>
        <w:t xml:space="preserve">Newton</w:t>
      </w:r>
      <w:r>
        <w:rPr>
          <w:rFonts w:ascii="Cambria" w:cs="Cambria" w:eastAsia="Cambria" w:hAnsi="Cambria"/>
          <w:color w:val="1A1A1A"/>
          <w:sz w:val="21"/>
          <w:szCs w:val="21"/>
        </w:rPr>
        <w:t xml:space="preserve">: GPU-accelerated differentiable engine developed jointly by NVIDIA, Google DeepMind and Disney Research, built on Warp with a MuJoCo Warp backend.</w:t>
      </w:r>
    </w:p>
    <w:p>
      <w:pPr>
        <w:spacing w:after="120" w:line="276"/>
      </w:pPr>
      <w:r>
        <w:rPr>
          <w:rFonts w:ascii="Cambria" w:cs="Cambria" w:eastAsia="Cambria" w:hAnsi="Cambria"/>
          <w:color w:val="1A1A1A"/>
          <w:sz w:val="21"/>
          <w:szCs w:val="21"/>
        </w:rPr>
        <w:t xml:space="preserve">The trend is towards GPU-parallel execution as baseline, convergence on shared scene standards, and treatment of the simulator as a data generator rather than solely a training environment. Learned simulators — video-generative world models producing interactive scenes — substitute for hand-built physics in narrow settings but do not yet provide guaranteed physical consistency or long-horizon stability.</w:t>
      </w:r>
    </w:p>
    <w:p>
      <w:pPr>
        <w:pStyle w:val="Heading2"/>
        <w:keepNext/>
        <w:spacing w:after="120" w:before="260"/>
      </w:pPr>
      <w:r>
        <w:rPr>
          <w:rFonts w:ascii="Calibri" w:cs="Calibri" w:eastAsia="Calibri" w:hAnsi="Calibri"/>
          <w:b/>
          <w:bCs/>
          <w:color w:val="10202B"/>
          <w:sz w:val="23"/>
          <w:szCs w:val="23"/>
        </w:rPr>
        <w:t xml:space="preserve">5.3  Middleware</w:t>
      </w:r>
    </w:p>
    <w:p>
      <w:pPr>
        <w:spacing w:after="120" w:line="276"/>
      </w:pPr>
      <w:r>
        <w:rPr>
          <w:rFonts w:ascii="Cambria" w:cs="Cambria" w:eastAsia="Cambria" w:hAnsi="Cambria"/>
          <w:color w:val="1A1A1A"/>
          <w:sz w:val="21"/>
          <w:szCs w:val="21"/>
        </w:rPr>
        <w:t xml:space="preserve">ROS [7] remains the integration substrate. Two facts are load-bearing and often stated incorrectly. </w:t>
      </w:r>
      <w:r>
        <w:rPr>
          <w:rFonts w:ascii="Cambria" w:cs="Cambria" w:eastAsia="Cambria" w:hAnsi="Cambria"/>
          <w:b/>
          <w:bCs/>
          <w:color w:val="1A1A1A"/>
          <w:sz w:val="21"/>
          <w:szCs w:val="21"/>
        </w:rPr>
        <w:t xml:space="preserve">ROS 1 has reached end of life</w:t>
      </w:r>
      <w:r>
        <w:rPr>
          <w:rFonts w:ascii="Cambria" w:cs="Cambria" w:eastAsia="Cambria" w:hAnsi="Cambria"/>
          <w:color w:val="1A1A1A"/>
          <w:sz w:val="21"/>
          <w:szCs w:val="21"/>
        </w:rPr>
        <w:t xml:space="preserve"> (Noetic, May 2025); ROS 2 is the only maintained line, with annual releases and five-year LTS on even years. And ROS 2 supplies the </w:t>
      </w:r>
      <w:r>
        <w:rPr>
          <w:rFonts w:ascii="Cambria" w:cs="Cambria" w:eastAsia="Cambria" w:hAnsi="Cambria"/>
          <w:i/>
          <w:iCs/>
          <w:color w:val="1A1A1A"/>
          <w:sz w:val="21"/>
          <w:szCs w:val="21"/>
        </w:rPr>
        <w:t xml:space="preserve">ingredients</w:t>
      </w:r>
      <w:r>
        <w:rPr>
          <w:rFonts w:ascii="Cambria" w:cs="Cambria" w:eastAsia="Cambria" w:hAnsi="Cambria"/>
          <w:color w:val="1A1A1A"/>
          <w:sz w:val="21"/>
          <w:szCs w:val="21"/>
        </w:rPr>
        <w:t xml:space="preserve"> for real-time operation — DDS with QoS policies, real-time-capable executors — not a guarantee. In practice the high-rate control loop and, increasingly, the policy inference loop run outside the middleware, which retains hardware I/O, logging and the classical planning stack.</w:t>
      </w:r>
    </w:p>
    <w:p>
      <w:pPr>
        <w:pStyle w:val="Heading1"/>
        <w:keepNext/>
        <w:spacing w:after="160" w:before="360"/>
      </w:pPr>
      <w:r>
        <w:rPr>
          <w:rFonts w:ascii="Calibri" w:cs="Calibri" w:eastAsia="Calibri" w:hAnsi="Calibri"/>
          <w:b/>
          <w:bCs/>
          <w:color w:val="10202B"/>
          <w:sz w:val="28"/>
          <w:szCs w:val="28"/>
        </w:rPr>
        <w:t xml:space="preserve">6  A taxonomy of policy architectures</w:t>
      </w:r>
    </w:p>
    <w:p>
      <w:pPr>
        <w:spacing w:after="120" w:line="276"/>
      </w:pPr>
      <w:r>
        <w:rPr>
          <w:rFonts w:ascii="Cambria" w:cs="Cambria" w:eastAsia="Cambria" w:hAnsi="Cambria"/>
          <w:color w:val="1A1A1A"/>
          <w:sz w:val="21"/>
          <w:szCs w:val="21"/>
        </w:rPr>
        <w:t xml:space="preserve">Let o denote observations, l a natural-language instruction, q proprioceptive state, a actions, and s latent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560"/>
        <w:gridCol w:w="2600"/>
      </w:tblGrid>
      <w:tr>
        <w:trPr>
          <w:tblHeader/>
        </w:trPr>
        <w:tc>
          <w:tcPr>
            <w:tcW w:type="dxa" w:w="1400"/>
            <w:shd w:fill="10202B" w:val="clear"/>
            <w:tcMar>
              <w:top w:type="dxa" w:w="80"/>
              <w:left w:type="dxa" w:w="110"/>
              <w:bottom w:type="dxa" w:w="80"/>
              <w:right w:type="dxa" w:w="110"/>
            </w:tcMar>
          </w:tcPr>
          <w:p>
            <w:pPr>
              <w:spacing w:after="0" w:line="250"/>
            </w:pPr>
            <w:r>
              <w:rPr>
                <w:rFonts w:ascii="Calibri" w:cs="Calibri" w:eastAsia="Calibri" w:hAnsi="Calibri"/>
                <w:b/>
                <w:bCs/>
                <w:color w:val="FFFFFF"/>
                <w:sz w:val="18"/>
                <w:szCs w:val="18"/>
              </w:rPr>
              <w:t xml:space="preserve">Class</w:t>
            </w:r>
          </w:p>
        </w:tc>
        <w:tc>
          <w:tcPr>
            <w:tcW w:type="dxa" w:w="1800"/>
            <w:shd w:fill="10202B" w:val="clear"/>
            <w:tcMar>
              <w:top w:type="dxa" w:w="80"/>
              <w:left w:type="dxa" w:w="110"/>
              <w:bottom w:type="dxa" w:w="80"/>
              <w:right w:type="dxa" w:w="110"/>
            </w:tcMar>
          </w:tcPr>
          <w:p>
            <w:pPr>
              <w:spacing w:after="0" w:line="250"/>
            </w:pPr>
            <w:r>
              <w:rPr>
                <w:rFonts w:ascii="Calibri" w:cs="Calibri" w:eastAsia="Calibri" w:hAnsi="Calibri"/>
                <w:b/>
                <w:bCs/>
                <w:color w:val="FFFFFF"/>
                <w:sz w:val="18"/>
                <w:szCs w:val="18"/>
              </w:rPr>
              <w:t xml:space="preserve">Mapping</w:t>
            </w:r>
          </w:p>
        </w:tc>
        <w:tc>
          <w:tcPr>
            <w:tcW w:type="dxa" w:w="3560"/>
            <w:shd w:fill="10202B" w:val="clear"/>
            <w:tcMar>
              <w:top w:type="dxa" w:w="80"/>
              <w:left w:type="dxa" w:w="110"/>
              <w:bottom w:type="dxa" w:w="80"/>
              <w:right w:type="dxa" w:w="110"/>
            </w:tcMar>
          </w:tcPr>
          <w:p>
            <w:pPr>
              <w:spacing w:after="0" w:line="250"/>
            </w:pPr>
            <w:r>
              <w:rPr>
                <w:rFonts w:ascii="Calibri" w:cs="Calibri" w:eastAsia="Calibri" w:hAnsi="Calibri"/>
                <w:b/>
                <w:bCs/>
                <w:color w:val="FFFFFF"/>
                <w:sz w:val="18"/>
                <w:szCs w:val="18"/>
              </w:rPr>
              <w:t xml:space="preserve">Adds</w:t>
            </w:r>
          </w:p>
        </w:tc>
        <w:tc>
          <w:tcPr>
            <w:tcW w:type="dxa" w:w="2600"/>
            <w:shd w:fill="10202B" w:val="clear"/>
            <w:tcMar>
              <w:top w:type="dxa" w:w="80"/>
              <w:left w:type="dxa" w:w="110"/>
              <w:bottom w:type="dxa" w:w="80"/>
              <w:right w:type="dxa" w:w="110"/>
            </w:tcMar>
          </w:tcPr>
          <w:p>
            <w:pPr>
              <w:spacing w:after="0" w:line="250"/>
            </w:pPr>
            <w:r>
              <w:rPr>
                <w:rFonts w:ascii="Calibri" w:cs="Calibri" w:eastAsia="Calibri" w:hAnsi="Calibri"/>
                <w:b/>
                <w:bCs/>
                <w:color w:val="FFFFFF"/>
                <w:sz w:val="18"/>
                <w:szCs w:val="18"/>
              </w:rPr>
              <w:t xml:space="preserve">Limitation</w:t>
            </w:r>
          </w:p>
        </w:tc>
      </w:tr>
      <w:tr>
        <w:tc>
          <w:tcPr>
            <w:tcW w:type="dxa" w:w="1400"/>
            <w:tcMar>
              <w:top w:type="dxa" w:w="80"/>
              <w:left w:type="dxa" w:w="110"/>
              <w:bottom w:type="dxa" w:w="80"/>
              <w:right w:type="dxa" w:w="110"/>
            </w:tcMar>
          </w:tcPr>
          <w:p>
            <w:pPr>
              <w:spacing w:after="0" w:line="250"/>
            </w:pPr>
            <w:r>
              <w:rPr>
                <w:rFonts w:ascii="Calibri" w:cs="Calibri" w:eastAsia="Calibri" w:hAnsi="Calibri"/>
                <w:color w:val="1A1A1A"/>
                <w:sz w:val="18"/>
                <w:szCs w:val="18"/>
              </w:rPr>
              <w:t xml:space="preserve">LLM</w:t>
            </w:r>
          </w:p>
        </w:tc>
        <w:tc>
          <w:tcPr>
            <w:tcW w:type="dxa" w:w="1800"/>
            <w:tcMar>
              <w:top w:type="dxa" w:w="80"/>
              <w:left w:type="dxa" w:w="110"/>
              <w:bottom w:type="dxa" w:w="80"/>
              <w:right w:type="dxa" w:w="110"/>
            </w:tcMar>
          </w:tcPr>
          <w:p>
            <w:pPr>
              <w:spacing w:after="0" w:line="250"/>
            </w:pPr>
            <w:r>
              <w:rPr>
                <w:rFonts w:ascii="Calibri" w:cs="Calibri" w:eastAsia="Calibri" w:hAnsi="Calibri"/>
                <w:color w:val="1A1A1A"/>
                <w:sz w:val="18"/>
                <w:szCs w:val="18"/>
              </w:rPr>
              <w:t xml:space="preserve">text → text</w:t>
            </w:r>
          </w:p>
        </w:tc>
        <w:tc>
          <w:tcPr>
            <w:tcW w:type="dxa" w:w="3560"/>
            <w:tcMar>
              <w:top w:type="dxa" w:w="80"/>
              <w:left w:type="dxa" w:w="110"/>
              <w:bottom w:type="dxa" w:w="80"/>
              <w:right w:type="dxa" w:w="110"/>
            </w:tcMar>
          </w:tcPr>
          <w:p>
            <w:pPr>
              <w:spacing w:after="0" w:line="250"/>
            </w:pPr>
            <w:r>
              <w:rPr>
                <w:rFonts w:ascii="Calibri" w:cs="Calibri" w:eastAsia="Calibri" w:hAnsi="Calibri"/>
                <w:color w:val="1A1A1A"/>
                <w:sz w:val="18"/>
                <w:szCs w:val="18"/>
              </w:rPr>
              <w:t xml:space="preserve">Task decomposition, code synthesis over existing skills</w:t>
            </w:r>
          </w:p>
        </w:tc>
        <w:tc>
          <w:tcPr>
            <w:tcW w:type="dxa" w:w="2600"/>
            <w:tcMar>
              <w:top w:type="dxa" w:w="80"/>
              <w:left w:type="dxa" w:w="110"/>
              <w:bottom w:type="dxa" w:w="80"/>
              <w:right w:type="dxa" w:w="110"/>
            </w:tcMar>
          </w:tcPr>
          <w:p>
            <w:pPr>
              <w:spacing w:after="0" w:line="250"/>
            </w:pPr>
            <w:r>
              <w:rPr>
                <w:rFonts w:ascii="Calibri" w:cs="Calibri" w:eastAsia="Calibri" w:hAnsi="Calibri"/>
                <w:color w:val="1A1A1A"/>
                <w:sz w:val="18"/>
                <w:szCs w:val="18"/>
              </w:rPr>
              <w:t xml:space="preserve">No grounding in the scene</w:t>
            </w:r>
          </w:p>
        </w:tc>
      </w:tr>
      <w:tr>
        <w:tc>
          <w:tcPr>
            <w:tcW w:type="dxa" w:w="1400"/>
            <w:tcMar>
              <w:top w:type="dxa" w:w="80"/>
              <w:left w:type="dxa" w:w="110"/>
              <w:bottom w:type="dxa" w:w="80"/>
              <w:right w:type="dxa" w:w="110"/>
            </w:tcMar>
          </w:tcPr>
          <w:p>
            <w:pPr>
              <w:spacing w:after="0" w:line="250"/>
            </w:pPr>
            <w:r>
              <w:rPr>
                <w:rFonts w:ascii="Calibri" w:cs="Calibri" w:eastAsia="Calibri" w:hAnsi="Calibri"/>
                <w:color w:val="1A1A1A"/>
                <w:sz w:val="18"/>
                <w:szCs w:val="18"/>
              </w:rPr>
              <w:t xml:space="preserve">VLM</w:t>
            </w:r>
          </w:p>
        </w:tc>
        <w:tc>
          <w:tcPr>
            <w:tcW w:type="dxa" w:w="1800"/>
            <w:tcMar>
              <w:top w:type="dxa" w:w="80"/>
              <w:left w:type="dxa" w:w="110"/>
              <w:bottom w:type="dxa" w:w="80"/>
              <w:right w:type="dxa" w:w="110"/>
            </w:tcMar>
          </w:tcPr>
          <w:p>
            <w:pPr>
              <w:spacing w:after="0" w:line="250"/>
            </w:pPr>
            <w:r>
              <w:rPr>
                <w:rFonts w:ascii="Calibri" w:cs="Calibri" w:eastAsia="Calibri" w:hAnsi="Calibri"/>
                <w:color w:val="1A1A1A"/>
                <w:sz w:val="18"/>
                <w:szCs w:val="18"/>
              </w:rPr>
              <w:t xml:space="preserve">(o, text) → text</w:t>
            </w:r>
          </w:p>
        </w:tc>
        <w:tc>
          <w:tcPr>
            <w:tcW w:type="dxa" w:w="3560"/>
            <w:tcMar>
              <w:top w:type="dxa" w:w="80"/>
              <w:left w:type="dxa" w:w="110"/>
              <w:bottom w:type="dxa" w:w="80"/>
              <w:right w:type="dxa" w:w="110"/>
            </w:tcMar>
          </w:tcPr>
          <w:p>
            <w:pPr>
              <w:spacing w:after="0" w:line="250"/>
            </w:pPr>
            <w:r>
              <w:rPr>
                <w:rFonts w:ascii="Calibri" w:cs="Calibri" w:eastAsia="Calibri" w:hAnsi="Calibri"/>
                <w:color w:val="1A1A1A"/>
                <w:sz w:val="18"/>
                <w:szCs w:val="18"/>
              </w:rPr>
              <w:t xml:space="preserve">Grounding: object identity, coarse spatial relations</w:t>
            </w:r>
          </w:p>
        </w:tc>
        <w:tc>
          <w:tcPr>
            <w:tcW w:type="dxa" w:w="2600"/>
            <w:tcMar>
              <w:top w:type="dxa" w:w="80"/>
              <w:left w:type="dxa" w:w="110"/>
              <w:bottom w:type="dxa" w:w="80"/>
              <w:right w:type="dxa" w:w="110"/>
            </w:tcMar>
          </w:tcPr>
          <w:p>
            <w:pPr>
              <w:spacing w:after="0" w:line="250"/>
            </w:pPr>
            <w:r>
              <w:rPr>
                <w:rFonts w:ascii="Calibri" w:cs="Calibri" w:eastAsia="Calibri" w:hAnsi="Calibri"/>
                <w:color w:val="1A1A1A"/>
                <w:sz w:val="18"/>
                <w:szCs w:val="18"/>
              </w:rPr>
              <w:t xml:space="preserve">Output remains linguistic</w:t>
            </w:r>
          </w:p>
        </w:tc>
      </w:tr>
      <w:tr>
        <w:tc>
          <w:tcPr>
            <w:tcW w:type="dxa" w:w="1400"/>
            <w:tcMar>
              <w:top w:type="dxa" w:w="80"/>
              <w:left w:type="dxa" w:w="110"/>
              <w:bottom w:type="dxa" w:w="80"/>
              <w:right w:type="dxa" w:w="110"/>
            </w:tcMar>
          </w:tcPr>
          <w:p>
            <w:pPr>
              <w:spacing w:after="0" w:line="250"/>
            </w:pPr>
            <w:r>
              <w:rPr>
                <w:rFonts w:ascii="Calibri" w:cs="Calibri" w:eastAsia="Calibri" w:hAnsi="Calibri"/>
                <w:color w:val="1A1A1A"/>
                <w:sz w:val="18"/>
                <w:szCs w:val="18"/>
              </w:rPr>
              <w:t xml:space="preserve">VLA</w:t>
            </w:r>
          </w:p>
        </w:tc>
        <w:tc>
          <w:tcPr>
            <w:tcW w:type="dxa" w:w="1800"/>
            <w:tcMar>
              <w:top w:type="dxa" w:w="80"/>
              <w:left w:type="dxa" w:w="110"/>
              <w:bottom w:type="dxa" w:w="80"/>
              <w:right w:type="dxa" w:w="110"/>
            </w:tcMar>
          </w:tcPr>
          <w:p>
            <w:pPr>
              <w:spacing w:after="0" w:line="250"/>
            </w:pPr>
            <w:r>
              <w:rPr>
                <w:rFonts w:ascii="Calibri" w:cs="Calibri" w:eastAsia="Calibri" w:hAnsi="Calibri"/>
                <w:color w:val="1A1A1A"/>
                <w:sz w:val="18"/>
                <w:szCs w:val="18"/>
              </w:rPr>
              <w:t xml:space="preserve">(o, l, q) → a</w:t>
            </w:r>
          </w:p>
        </w:tc>
        <w:tc>
          <w:tcPr>
            <w:tcW w:type="dxa" w:w="3560"/>
            <w:tcMar>
              <w:top w:type="dxa" w:w="80"/>
              <w:left w:type="dxa" w:w="110"/>
              <w:bottom w:type="dxa" w:w="80"/>
              <w:right w:type="dxa" w:w="110"/>
            </w:tcMar>
          </w:tcPr>
          <w:p>
            <w:pPr>
              <w:spacing w:after="0" w:line="250"/>
            </w:pPr>
            <w:r>
              <w:rPr>
                <w:rFonts w:ascii="Calibri" w:cs="Calibri" w:eastAsia="Calibri" w:hAnsi="Calibri"/>
                <w:color w:val="1A1A1A"/>
                <w:sz w:val="18"/>
                <w:szCs w:val="18"/>
              </w:rPr>
              <w:t xml:space="preserve">Motor output while retaining pretrained world knowledge</w:t>
            </w:r>
          </w:p>
        </w:tc>
        <w:tc>
          <w:tcPr>
            <w:tcW w:type="dxa" w:w="2600"/>
            <w:tcMar>
              <w:top w:type="dxa" w:w="80"/>
              <w:left w:type="dxa" w:w="110"/>
              <w:bottom w:type="dxa" w:w="80"/>
              <w:right w:type="dxa" w:w="110"/>
            </w:tcMar>
          </w:tcPr>
          <w:p>
            <w:pPr>
              <w:spacing w:after="0" w:line="250"/>
            </w:pPr>
            <w:r>
              <w:rPr>
                <w:rFonts w:ascii="Calibri" w:cs="Calibri" w:eastAsia="Calibri" w:hAnsi="Calibri"/>
                <w:color w:val="1A1A1A"/>
                <w:sz w:val="18"/>
                <w:szCs w:val="18"/>
              </w:rPr>
              <w:t xml:space="preserve">Inference rate; reliability</w:t>
            </w:r>
          </w:p>
        </w:tc>
      </w:tr>
      <w:tr>
        <w:tc>
          <w:tcPr>
            <w:tcW w:type="dxa" w:w="1400"/>
            <w:tcMar>
              <w:top w:type="dxa" w:w="80"/>
              <w:left w:type="dxa" w:w="110"/>
              <w:bottom w:type="dxa" w:w="80"/>
              <w:right w:type="dxa" w:w="110"/>
            </w:tcMar>
          </w:tcPr>
          <w:p>
            <w:pPr>
              <w:spacing w:after="0" w:line="250"/>
            </w:pPr>
            <w:r>
              <w:rPr>
                <w:rFonts w:ascii="Calibri" w:cs="Calibri" w:eastAsia="Calibri" w:hAnsi="Calibri"/>
                <w:color w:val="1A1A1A"/>
                <w:sz w:val="18"/>
                <w:szCs w:val="18"/>
              </w:rPr>
              <w:t xml:space="preserve">World model</w:t>
            </w:r>
          </w:p>
        </w:tc>
        <w:tc>
          <w:tcPr>
            <w:tcW w:type="dxa" w:w="1800"/>
            <w:tcMar>
              <w:top w:type="dxa" w:w="80"/>
              <w:left w:type="dxa" w:w="110"/>
              <w:bottom w:type="dxa" w:w="80"/>
              <w:right w:type="dxa" w:w="110"/>
            </w:tcMar>
          </w:tcPr>
          <w:p>
            <w:pPr>
              <w:spacing w:after="0" w:line="250"/>
            </w:pPr>
            <w:r>
              <w:rPr>
                <w:rFonts w:ascii="Calibri" w:cs="Calibri" w:eastAsia="Calibri" w:hAnsi="Calibri"/>
                <w:color w:val="1A1A1A"/>
                <w:sz w:val="18"/>
                <w:szCs w:val="18"/>
              </w:rPr>
              <w:t xml:space="preserve">(s, a) → ŝ′</w:t>
            </w:r>
          </w:p>
        </w:tc>
        <w:tc>
          <w:tcPr>
            <w:tcW w:type="dxa" w:w="3560"/>
            <w:tcMar>
              <w:top w:type="dxa" w:w="80"/>
              <w:left w:type="dxa" w:w="110"/>
              <w:bottom w:type="dxa" w:w="80"/>
              <w:right w:type="dxa" w:w="110"/>
            </w:tcMar>
          </w:tcPr>
          <w:p>
            <w:pPr>
              <w:spacing w:after="0" w:line="250"/>
            </w:pPr>
            <w:r>
              <w:rPr>
                <w:rFonts w:ascii="Calibri" w:cs="Calibri" w:eastAsia="Calibri" w:hAnsi="Calibri"/>
                <w:color w:val="1A1A1A"/>
                <w:sz w:val="18"/>
                <w:szCs w:val="18"/>
              </w:rPr>
              <w:t xml:space="preserve">Forward prediction; plan evaluation before execution</w:t>
            </w:r>
          </w:p>
        </w:tc>
        <w:tc>
          <w:tcPr>
            <w:tcW w:type="dxa" w:w="2600"/>
            <w:tcMar>
              <w:top w:type="dxa" w:w="80"/>
              <w:left w:type="dxa" w:w="110"/>
              <w:bottom w:type="dxa" w:w="80"/>
              <w:right w:type="dxa" w:w="110"/>
            </w:tcMar>
          </w:tcPr>
          <w:p>
            <w:pPr>
              <w:spacing w:after="0" w:line="250"/>
            </w:pPr>
            <w:r>
              <w:rPr>
                <w:rFonts w:ascii="Calibri" w:cs="Calibri" w:eastAsia="Calibri" w:hAnsi="Calibri"/>
                <w:color w:val="1A1A1A"/>
                <w:sz w:val="18"/>
                <w:szCs w:val="18"/>
              </w:rPr>
              <w:t xml:space="preserve">Physical guarantees; horizon</w:t>
            </w:r>
          </w:p>
        </w:tc>
      </w:tr>
    </w:tbl>
    <w:p>
      <w:pPr>
        <w:spacing w:after="200"/>
        <w:jc w:val="left"/>
      </w:pPr>
      <w:r>
        <w:rPr>
          <w:rFonts w:ascii="Calibri" w:cs="Calibri" w:eastAsia="Calibri" w:hAnsi="Calibri"/>
          <w:i/>
          <w:iCs/>
          <w:color w:val="555555"/>
          <w:sz w:val="18"/>
          <w:szCs w:val="18"/>
        </w:rPr>
        <w:t xml:space="preserve">Table 3. Policy architecture classes. Each adds a capability conceptually; the relation is not one of literal composition.</w:t>
      </w:r>
    </w:p>
    <w:p>
      <w:pPr>
        <w:spacing w:after="120" w:line="276"/>
      </w:pPr>
      <w:r>
        <w:rPr>
          <w:rFonts w:ascii="Cambria" w:cs="Cambria" w:eastAsia="Cambria" w:hAnsi="Cambria"/>
          <w:b/>
          <w:bCs/>
          <w:color w:val="1A1A1A"/>
          <w:sz w:val="21"/>
          <w:szCs w:val="21"/>
        </w:rPr>
        <w:t xml:space="preserve">Generative action heads.</w:t>
      </w:r>
      <w:r>
        <w:rPr>
          <w:rFonts w:ascii="Cambria" w:cs="Cambria" w:eastAsia="Cambria" w:hAnsi="Cambria"/>
          <w:color w:val="1A1A1A"/>
          <w:sz w:val="21"/>
          <w:szCs w:val="21"/>
        </w:rPr>
        <w:t xml:space="preserve"> Action distributions conditioned on an observation are multimodal: several distinct action sequences accomplish the same goal. A unimodal regression head trained under squared error converges to the conditional mean, which may be infeasible. Diffusion [12] and flow-matching [11] heads sample a mode rather than averaging modes, which is why they displaced regression heads rather than merely outperforming them.</w:t>
      </w:r>
    </w:p>
    <w:p>
      <w:pPr>
        <w:spacing w:after="120" w:line="276"/>
      </w:pPr>
      <w:r>
        <w:rPr>
          <w:rFonts w:ascii="Cambria" w:cs="Cambria" w:eastAsia="Cambria" w:hAnsi="Cambria"/>
          <w:b/>
          <w:bCs/>
          <w:color w:val="1A1A1A"/>
          <w:sz w:val="21"/>
          <w:szCs w:val="21"/>
        </w:rPr>
        <w:t xml:space="preserve">Two-rate decomposition.</w:t>
      </w:r>
      <w:r>
        <w:rPr>
          <w:rFonts w:ascii="Cambria" w:cs="Cambria" w:eastAsia="Cambria" w:hAnsi="Cambria"/>
          <w:color w:val="1A1A1A"/>
          <w:sz w:val="21"/>
          <w:szCs w:val="21"/>
        </w:rPr>
        <w:t xml:space="preserve"> A model of the scale used for pretraining cannot be evaluated at control frequency. Prevailing designs therefore run a high-capacity model at approximately 5–10 Hz for instruction interpretation and sub-goal selection, and a small action expert at 50–100 Hz for motion. This is an architectural consequence of a hard real-time constraint, not a research preference.</w:t>
      </w:r>
    </w:p>
    <w:p>
      <w:pPr>
        <w:spacing w:after="120" w:line="276"/>
      </w:pPr>
      <w:r>
        <w:rPr>
          <w:rFonts w:ascii="Cambria" w:cs="Cambria" w:eastAsia="Cambria" w:hAnsi="Cambria"/>
          <w:b/>
          <w:bCs/>
          <w:color w:val="1A1A1A"/>
          <w:sz w:val="21"/>
          <w:szCs w:val="21"/>
        </w:rPr>
        <w:t xml:space="preserve">Status.</w:t>
      </w:r>
      <w:r>
        <w:rPr>
          <w:rFonts w:ascii="Cambria" w:cs="Cambria" w:eastAsia="Cambria" w:hAnsi="Cambria"/>
          <w:color w:val="1A1A1A"/>
          <w:sz w:val="21"/>
          <w:szCs w:val="21"/>
        </w:rPr>
        <w:t xml:space="preserve"> VLA architectures constitute the leading research frontier and the basis of most current humanoid programmes [13]. They are not a validated production standard, and evidence of sustained unattended deployment remains thin. Describing them as mainstream overstates the record.</w:t>
      </w:r>
    </w:p>
    <w:p>
      <w:pPr>
        <w:pStyle w:val="Heading1"/>
        <w:keepNext/>
        <w:spacing w:after="160" w:before="360"/>
      </w:pPr>
      <w:r>
        <w:rPr>
          <w:rFonts w:ascii="Calibri" w:cs="Calibri" w:eastAsia="Calibri" w:hAnsi="Calibri"/>
          <w:b/>
          <w:bCs/>
          <w:color w:val="10202B"/>
          <w:sz w:val="28"/>
          <w:szCs w:val="28"/>
        </w:rPr>
        <w:t xml:space="preserve">7  Economic analysis</w:t>
      </w:r>
    </w:p>
    <w:p>
      <w:pPr>
        <w:pStyle w:val="Heading2"/>
        <w:keepNext/>
        <w:spacing w:after="120" w:before="260"/>
      </w:pPr>
      <w:r>
        <w:rPr>
          <w:rFonts w:ascii="Calibri" w:cs="Calibri" w:eastAsia="Calibri" w:hAnsi="Calibri"/>
          <w:b/>
          <w:bCs/>
          <w:color w:val="10202B"/>
          <w:sz w:val="23"/>
          <w:szCs w:val="23"/>
        </w:rPr>
        <w:t xml:space="preserve">7.1  A cost model of task acquisition</w:t>
      </w:r>
    </w:p>
    <w:p>
      <w:pPr>
        <w:spacing w:after="120" w:line="276"/>
      </w:pPr>
      <w:r>
        <w:rPr>
          <w:rFonts w:ascii="Cambria" w:cs="Cambria" w:eastAsia="Cambria" w:hAnsi="Cambria"/>
          <w:color w:val="1A1A1A"/>
          <w:sz w:val="21"/>
          <w:szCs w:val="21"/>
        </w:rPr>
        <w:t xml:space="preserve">Consider acquiring N tasks on a fixed platform. Under hand engineering, each task requires fixture design, perception development, sequence authoring and tuning. Total cost is approximately</w:t>
      </w:r>
    </w:p>
    <w:p>
      <w:pPr>
        <w:shd w:fill="F4F6F8" w:val="clear"/>
        <w:spacing w:after="120" w:line="240"/>
        <w:ind w:left="360"/>
      </w:pPr>
      <w:r>
        <w:rPr>
          <w:rFonts w:ascii="Consolas" w:cs="Consolas" w:eastAsia="Consolas" w:hAnsi="Consolas"/>
          <w:color w:val="24343F"/>
          <w:sz w:val="17"/>
          <w:szCs w:val="17"/>
        </w:rPr>
        <w:t xml:space="preserve">  C_classical(N) = N · c_eng</w:t>
      </w:r>
    </w:p>
    <w:p>
      <w:pPr>
        <w:spacing w:after="120" w:line="276"/>
      </w:pPr>
      <w:r>
        <w:rPr>
          <w:rFonts w:ascii="Cambria" w:cs="Cambria" w:eastAsia="Cambria" w:hAnsi="Cambria"/>
          <w:color w:val="1A1A1A"/>
          <w:sz w:val="21"/>
          <w:szCs w:val="21"/>
        </w:rPr>
        <w:t xml:space="preserve">with c_eng largely irreducible per task, since engineering effort does not transfer across tasks except through generic tooling. Under a policy-based approach, cost decomposes into a fixed infrastructure component (simulation, data pipeline, evaluation harness, base model adaptation) and a per-task component dominated by demonstration collection:</w:t>
      </w:r>
    </w:p>
    <w:p>
      <w:pPr>
        <w:shd w:fill="F4F6F8" w:val="clear"/>
        <w:spacing w:after="120" w:line="240"/>
        <w:ind w:left="360"/>
      </w:pPr>
      <w:r>
        <w:rPr>
          <w:rFonts w:ascii="Consolas" w:cs="Consolas" w:eastAsia="Consolas" w:hAnsi="Consolas"/>
          <w:color w:val="24343F"/>
          <w:sz w:val="17"/>
          <w:szCs w:val="17"/>
        </w:rPr>
        <w:t xml:space="preserve">  C_policy(N) = c_infra + N · c_demo</w:t>
      </w:r>
    </w:p>
    <w:p>
      <w:pPr>
        <w:spacing w:after="120" w:line="276"/>
      </w:pPr>
      <w:r>
        <w:rPr>
          <w:rFonts w:ascii="Cambria" w:cs="Cambria" w:eastAsia="Cambria" w:hAnsi="Cambria"/>
          <w:color w:val="1A1A1A"/>
          <w:sz w:val="21"/>
          <w:szCs w:val="21"/>
        </w:rPr>
        <w:t xml:space="preserve">The approaches are equal at</w:t>
      </w:r>
    </w:p>
    <w:p>
      <w:pPr>
        <w:shd w:fill="F4F6F8" w:val="clear"/>
        <w:spacing w:after="120" w:line="240"/>
        <w:ind w:left="360"/>
      </w:pPr>
      <w:r>
        <w:rPr>
          <w:rFonts w:ascii="Consolas" w:cs="Consolas" w:eastAsia="Consolas" w:hAnsi="Consolas"/>
          <w:color w:val="24343F"/>
          <w:sz w:val="17"/>
          <w:szCs w:val="17"/>
        </w:rPr>
        <w:t xml:space="preserve">  N* = c_infra / (c_eng − c_demo)</w:t>
      </w:r>
    </w:p>
    <w:p>
      <w:pPr>
        <w:spacing w:after="120" w:line="276"/>
      </w:pPr>
      <w:r>
        <w:rPr>
          <w:rFonts w:ascii="Cambria" w:cs="Cambria" w:eastAsia="Cambria" w:hAnsi="Cambria"/>
          <w:color w:val="1A1A1A"/>
          <w:sz w:val="21"/>
          <w:szCs w:val="21"/>
        </w:rPr>
        <w:t xml:space="preserve">Three predictions follow, each testable.</w:t>
      </w:r>
    </w:p>
    <w:p>
      <w:pPr>
        <w:pStyle w:val="ListParagraph"/>
        <w:numPr>
          <w:ilvl w:val="0"/>
          <w:numId w:val="2"/>
        </w:numPr>
        <w:spacing w:after="90" w:line="276"/>
      </w:pPr>
      <w:r>
        <w:rPr>
          <w:rFonts w:ascii="Cambria" w:cs="Cambria" w:eastAsia="Cambria" w:hAnsi="Cambria"/>
          <w:color w:val="1A1A1A"/>
          <w:sz w:val="21"/>
          <w:szCs w:val="21"/>
        </w:rPr>
        <w:t xml:space="preserve">*</w:t>
      </w:r>
      <w:r>
        <w:rPr>
          <w:rFonts w:ascii="Cambria" w:cs="Cambria" w:eastAsia="Cambria" w:hAnsi="Cambria"/>
          <w:i/>
          <w:iCs/>
          <w:color w:val="1A1A1A"/>
          <w:sz w:val="21"/>
          <w:szCs w:val="21"/>
        </w:rPr>
        <w:t xml:space="preserve">Below N\</w:t>
      </w:r>
      <w:r>
        <w:rPr>
          <w:rFonts w:ascii="Cambria" w:cs="Cambria" w:eastAsia="Cambria" w:hAnsi="Cambria"/>
          <w:color w:val="1A1A1A"/>
          <w:sz w:val="21"/>
          <w:szCs w:val="21"/>
        </w:rPr>
        <w:t xml:space="preserve">, hand engineering wins**, and will continue to. A single-task cell with a fixture remains the correct engineering answer. Claims that learned policies dominate universally are false at small N.</w:t>
      </w:r>
    </w:p>
    <w:p>
      <w:pPr>
        <w:pStyle w:val="ListParagraph"/>
        <w:numPr>
          <w:ilvl w:val="0"/>
          <w:numId w:val="2"/>
        </w:numPr>
        <w:spacing w:after="90" w:line="276"/>
      </w:pPr>
      <w:r>
        <w:rPr>
          <w:rFonts w:ascii="Cambria" w:cs="Cambria" w:eastAsia="Cambria" w:hAnsi="Cambria"/>
          <w:color w:val="1A1A1A"/>
          <w:sz w:val="21"/>
          <w:szCs w:val="21"/>
        </w:rPr>
        <w:t xml:space="preserve">*</w:t>
      </w:r>
      <w:r>
        <w:rPr>
          <w:rFonts w:ascii="Cambria" w:cs="Cambria" w:eastAsia="Cambria" w:hAnsi="Cambria"/>
          <w:i/>
          <w:iCs/>
          <w:color w:val="1A1A1A"/>
          <w:sz w:val="21"/>
          <w:szCs w:val="21"/>
        </w:rPr>
        <w:t xml:space="preserve">N\</w:t>
      </w:r>
      <w:r>
        <w:rPr>
          <w:rFonts w:ascii="Cambria" w:cs="Cambria" w:eastAsia="Cambria" w:hAnsi="Cambria"/>
          <w:color w:val="1A1A1A"/>
          <w:sz w:val="21"/>
          <w:szCs w:val="21"/>
        </w:rPr>
        <w:t xml:space="preserve"> falls as c_infra falls.** Open base models, open datasets, mature simulators and cheap teleoperation rigs all reduce c_infra, which lowers the task count at which the learned approach becomes preferable. This, rather than any single capability result, is the mechanism by which the paradigm spreads.</w:t>
      </w:r>
    </w:p>
    <w:p>
      <w:pPr>
        <w:pStyle w:val="ListParagraph"/>
        <w:numPr>
          <w:ilvl w:val="0"/>
          <w:numId w:val="2"/>
        </w:numPr>
        <w:spacing w:after="90" w:line="276"/>
      </w:pPr>
      <w:r>
        <w:rPr>
          <w:rFonts w:ascii="Cambria" w:cs="Cambria" w:eastAsia="Cambria" w:hAnsi="Cambria"/>
          <w:color w:val="1A1A1A"/>
          <w:sz w:val="21"/>
          <w:szCs w:val="21"/>
        </w:rPr>
        <w:t xml:space="preserve">*</w:t>
      </w:r>
      <w:r>
        <w:rPr>
          <w:rFonts w:ascii="Cambria" w:cs="Cambria" w:eastAsia="Cambria" w:hAnsi="Cambria"/>
          <w:i/>
          <w:iCs/>
          <w:color w:val="1A1A1A"/>
          <w:sz w:val="21"/>
          <w:szCs w:val="21"/>
        </w:rPr>
        <w:t xml:space="preserve">N\</w:t>
      </w:r>
      <w:r>
        <w:rPr>
          <w:rFonts w:ascii="Cambria" w:cs="Cambria" w:eastAsia="Cambria" w:hAnsi="Cambria"/>
          <w:color w:val="1A1A1A"/>
          <w:sz w:val="21"/>
          <w:szCs w:val="21"/>
        </w:rPr>
        <w:t xml:space="preserve"> falls as task diversity or environmental variability rises**, since c_eng grows with the number of cases that must be enumerated while c_demo grows more slowly.</w:t>
      </w:r>
    </w:p>
    <w:p>
      <w:pPr>
        <w:spacing w:after="120" w:line="276"/>
      </w:pPr>
      <w:r>
        <w:rPr>
          <w:rFonts w:ascii="Cambria" w:cs="Cambria" w:eastAsia="Cambria" w:hAnsi="Cambria"/>
          <w:color w:val="1A1A1A"/>
          <w:sz w:val="21"/>
          <w:szCs w:val="21"/>
        </w:rPr>
        <w:t xml:space="preserve">The model also clarifies the correct rebuttal to hardware-centric scepticism. The argument is not that mechanisms no longer matter; it is that at increasing N, the dominant term in total cost ceases to be mechanical.</w:t>
      </w:r>
    </w:p>
    <w:p>
      <w:pPr>
        <w:pStyle w:val="Heading2"/>
        <w:keepNext/>
        <w:spacing w:after="120" w:before="260"/>
      </w:pPr>
      <w:r>
        <w:rPr>
          <w:rFonts w:ascii="Calibri" w:cs="Calibri" w:eastAsia="Calibri" w:hAnsi="Calibri"/>
          <w:b/>
          <w:bCs/>
          <w:color w:val="10202B"/>
          <w:sz w:val="23"/>
          <w:szCs w:val="23"/>
        </w:rPr>
        <w:t xml:space="preserve">7.2  Hardware standardisation</w:t>
      </w:r>
    </w:p>
    <w:p>
      <w:pPr>
        <w:spacing w:after="120" w:line="276"/>
      </w:pPr>
      <w:r>
        <w:rPr>
          <w:rFonts w:ascii="Cambria" w:cs="Cambria" w:eastAsia="Cambria" w:hAnsi="Cambria"/>
          <w:color w:val="1A1A1A"/>
          <w:sz w:val="21"/>
          <w:szCs w:val="21"/>
        </w:rPr>
        <w:t xml:space="preserve">Complementing the demand side, supply-side standardisation reduces the differentiating value of the mechanism. Commodity actuators, IMUs, depth sensors and embedded compute, together with volume manufacturing, place capable platforms at price points that were research-grade a decade ago; a representative humanoid platform is listed from approximately US$13,500 in 2026.</w:t>
      </w:r>
    </w:p>
    <w:p>
      <w:pPr>
        <w:spacing w:after="120" w:line="276"/>
      </w:pPr>
      <w:r>
        <w:rPr>
          <w:rFonts w:ascii="Cambria" w:cs="Cambria" w:eastAsia="Cambria" w:hAnsi="Cambria"/>
          <w:color w:val="1A1A1A"/>
          <w:sz w:val="21"/>
          <w:szCs w:val="21"/>
        </w:rPr>
        <w:t xml:space="preserve">This should be stated carefully. Actuator quality, sensing, thermal design, reliability and dexterity continue to differentiate machines materially. The claim is comparative, not absolute: they differentiate less than when each was bespoke, and the residual differentiation increasingly derives from the policy and the data rather than solely from the mechanism.</w:t>
      </w:r>
    </w:p>
    <w:p>
      <w:pPr>
        <w:pStyle w:val="Heading2"/>
        <w:keepNext/>
        <w:spacing w:after="120" w:before="260"/>
      </w:pPr>
      <w:r>
        <w:rPr>
          <w:rFonts w:ascii="Calibri" w:cs="Calibri" w:eastAsia="Calibri" w:hAnsi="Calibri"/>
          <w:b/>
          <w:bCs/>
          <w:color w:val="10202B"/>
          <w:sz w:val="23"/>
          <w:szCs w:val="23"/>
        </w:rPr>
        <w:t xml:space="preserve">7.3  Market evidence, and its weakness</w:t>
      </w:r>
    </w:p>
    <w:p>
      <w:pPr>
        <w:spacing w:after="120" w:line="276"/>
      </w:pPr>
      <w:r>
        <w:rPr>
          <w:rFonts w:ascii="Cambria" w:cs="Cambria" w:eastAsia="Cambria" w:hAnsi="Cambria"/>
          <w:color w:val="1A1A1A"/>
          <w:sz w:val="21"/>
          <w:szCs w:val="21"/>
        </w:rPr>
        <w:t xml:space="preserve">Approximate 2026 figures: generative AI product revenue on the order of US$90bn against physical/embodied AI product revenue on the order of US$1.5bn; roughly 65% of surveyed organisations using generative AI in at least one function; approximately US$47bn of venture funding into physical AI in H1 2026, roughly four times the preceding half-year; and approximately 45 identifiable humanoid companies across nine countries, concentrated in China (≈21) and the United States (≈14).</w:t>
      </w:r>
    </w:p>
    <w:p>
      <w:pPr>
        <w:spacing w:after="120" w:line="276"/>
      </w:pPr>
      <w:r>
        <w:rPr>
          <w:rFonts w:ascii="Cambria" w:cs="Cambria" w:eastAsia="Cambria" w:hAnsi="Cambria"/>
          <w:color w:val="1A1A1A"/>
          <w:sz w:val="21"/>
          <w:szCs w:val="21"/>
        </w:rPr>
        <w:t xml:space="preserve">The interpretation we regard as defensible is narrow: </w:t>
      </w:r>
      <w:r>
        <w:rPr>
          <w:rFonts w:ascii="Cambria" w:cs="Cambria" w:eastAsia="Cambria" w:hAnsi="Cambria"/>
          <w:b/>
          <w:bCs/>
          <w:color w:val="1A1A1A"/>
          <w:sz w:val="21"/>
          <w:szCs w:val="21"/>
        </w:rPr>
        <w:t xml:space="preserve">capital has arrived substantially ahead of revenue.</w:t>
      </w:r>
      <w:r>
        <w:rPr>
          <w:rFonts w:ascii="Cambria" w:cs="Cambria" w:eastAsia="Cambria" w:hAnsi="Cambria"/>
          <w:color w:val="1A1A1A"/>
          <w:sz w:val="21"/>
          <w:szCs w:val="21"/>
        </w:rPr>
        <w:t xml:space="preserve"> This is consistent both with an emerging technology correctly priced for future scale and with a speculative episode; the data do not discriminate between these. Independent forecasts locate reliable unattended autonomy in unstructured environments around 2028–2030, with the binding constraint stated as reliability and validation rather than capability.</w:t>
      </w:r>
    </w:p>
    <w:p>
      <w:pPr>
        <w:spacing w:after="120" w:line="276"/>
      </w:pPr>
      <w:r>
        <w:rPr>
          <w:rFonts w:ascii="Cambria" w:cs="Cambria" w:eastAsia="Cambria" w:hAnsi="Cambria"/>
          <w:color w:val="1A1A1A"/>
          <w:sz w:val="21"/>
          <w:szCs w:val="21"/>
        </w:rPr>
        <w:t xml:space="preserve">These figures are the weakest evidence in this paper. Market-size estimates for this sector differ by factors of several between research firms (§11).</w:t>
      </w:r>
    </w:p>
    <w:p>
      <w:pPr>
        <w:pStyle w:val="Heading1"/>
        <w:keepNext/>
        <w:spacing w:after="160" w:before="360"/>
      </w:pPr>
      <w:r>
        <w:rPr>
          <w:rFonts w:ascii="Calibri" w:cs="Calibri" w:eastAsia="Calibri" w:hAnsi="Calibri"/>
          <w:b/>
          <w:bCs/>
          <w:color w:val="10202B"/>
          <w:sz w:val="28"/>
          <w:szCs w:val="28"/>
        </w:rPr>
        <w:t xml:space="preserve">8  Two morphologies, two dependency structures</w:t>
      </w:r>
    </w:p>
    <w:p>
      <w:pPr>
        <w:spacing w:after="120" w:line="276"/>
      </w:pPr>
      <w:r>
        <w:rPr>
          <w:rFonts w:ascii="Cambria" w:cs="Cambria" w:eastAsia="Cambria" w:hAnsi="Cambria"/>
          <w:color w:val="1A1A1A"/>
          <w:sz w:val="21"/>
          <w:szCs w:val="21"/>
        </w:rPr>
        <w:t xml:space="preserve">Quadrupedal and humanoid programmes are frequently discussed as a single category. Their relationship to learned policies differs structurally.</w:t>
      </w:r>
    </w:p>
    <w:p>
      <w:pPr>
        <w:spacing w:after="120" w:line="276"/>
      </w:pPr>
      <w:r>
        <w:rPr>
          <w:rFonts w:ascii="Cambria" w:cs="Cambria" w:eastAsia="Cambria" w:hAnsi="Cambria"/>
          <w:b/>
          <w:bCs/>
          <w:color w:val="1A1A1A"/>
          <w:sz w:val="21"/>
          <w:szCs w:val="21"/>
        </w:rPr>
        <w:t xml:space="preserve">Quadrupeds.</w:t>
      </w:r>
      <w:r>
        <w:rPr>
          <w:rFonts w:ascii="Cambria" w:cs="Cambria" w:eastAsia="Cambria" w:hAnsi="Cambria"/>
          <w:color w:val="1A1A1A"/>
          <w:sz w:val="21"/>
          <w:szCs w:val="21"/>
        </w:rPr>
        <w:t xml:space="preserve"> Legged locomotion became highly capable through massively parallel RL in simulation with randomised dynamics [18, 19, 20], prior to and independent of foundation models. The resulting controller is a small network operating largely on proprioception at 50–200 Hz onboard. Foundation models therefore enter above a working product: semantic mission specification, vision-language inspection and anomaly detection, natural-language tasking, and manipulation when an arm is added. The locomotion controller is unaffected; no large model enters the balance loop.</w:t>
      </w:r>
    </w:p>
    <w:p>
      <w:pPr>
        <w:spacing w:after="120" w:line="276"/>
      </w:pPr>
      <w:r>
        <w:rPr>
          <w:rFonts w:ascii="Cambria" w:cs="Cambria" w:eastAsia="Cambria" w:hAnsi="Cambria"/>
          <w:b/>
          <w:bCs/>
          <w:color w:val="1A1A1A"/>
          <w:sz w:val="21"/>
          <w:szCs w:val="21"/>
        </w:rPr>
        <w:t xml:space="preserve">Humanoids.</w:t>
      </w:r>
      <w:r>
        <w:rPr>
          <w:rFonts w:ascii="Cambria" w:cs="Cambria" w:eastAsia="Cambria" w:hAnsi="Cambria"/>
          <w:color w:val="1A1A1A"/>
          <w:sz w:val="21"/>
          <w:szCs w:val="21"/>
        </w:rPr>
        <w:t xml:space="preserve"> Here the policy is constitutive rather than additive. The justification for anthropomorphic morphology is generality across human tools and spaces, and generality is precisely what hand engineering cannot supply; a humanoid without a general policy is an expensive single-purpose machine that a purpose-built machine outperforms. The morphology also inherits the harder transfer problem: whole-body balance resembles the quadruped case, but bimanual dexterous manipulation is contact-rich, high-dimensional, poorly instrumented for touch, and transfers badly from simulation (§4.4). Hence teleoperation fleets, and hence the two-rate architecture of §6.</w:t>
      </w:r>
    </w:p>
    <w:p>
      <w:pPr>
        <w:spacing w:after="120" w:line="276"/>
      </w:pPr>
      <w:r>
        <w:rPr>
          <w:rFonts w:ascii="Cambria" w:cs="Cambria" w:eastAsia="Cambria" w:hAnsi="Cambria"/>
          <w:color w:val="1A1A1A"/>
          <w:sz w:val="21"/>
          <w:szCs w:val="21"/>
        </w:rPr>
        <w:t xml:space="preserve">The observable consequence is asymmetric risk: quadruped progress is incremental and revenue-supported, humanoid progress discontinuous and capital-supported. A further caveat is that a substantial fraction of deployed “humanoids” are wheeled bases with a torso and two arms; on flat floors, legs add cost, power draw and failure modes without task value.</w:t>
      </w:r>
    </w:p>
    <w:p>
      <w:pPr>
        <w:pStyle w:val="Heading1"/>
        <w:keepNext/>
        <w:spacing w:after="160" w:before="360"/>
      </w:pPr>
      <w:r>
        <w:rPr>
          <w:rFonts w:ascii="Calibri" w:cs="Calibri" w:eastAsia="Calibri" w:hAnsi="Calibri"/>
          <w:b/>
          <w:bCs/>
          <w:color w:val="10202B"/>
          <w:sz w:val="28"/>
          <w:szCs w:val="28"/>
        </w:rPr>
        <w:t xml:space="preserve">9  Open problems</w:t>
      </w:r>
    </w:p>
    <w:p>
      <w:pPr>
        <w:spacing w:after="120" w:line="276"/>
      </w:pPr>
      <w:r>
        <w:rPr>
          <w:rFonts w:ascii="Cambria" w:cs="Cambria" w:eastAsia="Cambria" w:hAnsi="Cambria"/>
          <w:color w:val="1A1A1A"/>
          <w:sz w:val="21"/>
          <w:szCs w:val="21"/>
        </w:rPr>
        <w:t xml:space="preserve">We regard the following as load-bearing. Only the first and fifth are primarily model problems.</w:t>
      </w:r>
    </w:p>
    <w:p>
      <w:pPr>
        <w:pStyle w:val="ListParagraph"/>
        <w:numPr>
          <w:ilvl w:val="0"/>
          <w:numId w:val="2"/>
        </w:numPr>
        <w:spacing w:after="90" w:line="276"/>
      </w:pPr>
      <w:r>
        <w:rPr>
          <w:rFonts w:ascii="Cambria" w:cs="Cambria" w:eastAsia="Cambria" w:hAnsi="Cambria"/>
          <w:b/>
          <w:bCs/>
          <w:color w:val="1A1A1A"/>
          <w:sz w:val="21"/>
          <w:szCs w:val="21"/>
        </w:rPr>
        <w:t xml:space="preserve">Dexterity and tactile sensing.</w:t>
      </w:r>
      <w:r>
        <w:rPr>
          <w:rFonts w:ascii="Cambria" w:cs="Cambria" w:eastAsia="Cambria" w:hAnsi="Cambria"/>
          <w:color w:val="1A1A1A"/>
          <w:sz w:val="21"/>
          <w:szCs w:val="21"/>
        </w:rPr>
        <w:t xml:space="preserve"> Manipulation, not locomotion, is the capability bottleneck. Tactile sensing remains costly, fragile and poorly represented in datasets.</w:t>
      </w:r>
    </w:p>
    <w:p>
      <w:pPr>
        <w:pStyle w:val="ListParagraph"/>
        <w:numPr>
          <w:ilvl w:val="0"/>
          <w:numId w:val="2"/>
        </w:numPr>
        <w:spacing w:after="90" w:line="276"/>
      </w:pPr>
      <w:r>
        <w:rPr>
          <w:rFonts w:ascii="Cambria" w:cs="Cambria" w:eastAsia="Cambria" w:hAnsi="Cambria"/>
          <w:b/>
          <w:bCs/>
          <w:color w:val="1A1A1A"/>
          <w:sz w:val="21"/>
          <w:szCs w:val="21"/>
        </w:rPr>
        <w:t xml:space="preserve">Cross-embodiment transfer.</w:t>
      </w:r>
      <w:r>
        <w:rPr>
          <w:rFonts w:ascii="Cambria" w:cs="Cambria" w:eastAsia="Cambria" w:hAnsi="Cambria"/>
          <w:color w:val="1A1A1A"/>
          <w:sz w:val="21"/>
          <w:szCs w:val="21"/>
        </w:rPr>
        <w:t xml:space="preserve"> Pooled datasets [24] demonstrate partial transfer across morphologies, but the retraining cost of moving a policy to a new body remains substantially higher than the promise implies.</w:t>
      </w:r>
    </w:p>
    <w:p>
      <w:pPr>
        <w:pStyle w:val="ListParagraph"/>
        <w:numPr>
          <w:ilvl w:val="0"/>
          <w:numId w:val="2"/>
        </w:numPr>
        <w:spacing w:after="90" w:line="276"/>
      </w:pPr>
      <w:r>
        <w:rPr>
          <w:rFonts w:ascii="Cambria" w:cs="Cambria" w:eastAsia="Cambria" w:hAnsi="Cambria"/>
          <w:b/>
          <w:bCs/>
          <w:color w:val="1A1A1A"/>
          <w:sz w:val="21"/>
          <w:szCs w:val="21"/>
        </w:rPr>
        <w:t xml:space="preserve">Long-horizon autonomy.</w:t>
      </w:r>
      <w:r>
        <w:rPr>
          <w:rFonts w:ascii="Cambria" w:cs="Cambria" w:eastAsia="Cambria" w:hAnsi="Cambria"/>
          <w:color w:val="1A1A1A"/>
          <w:sz w:val="21"/>
          <w:szCs w:val="21"/>
        </w:rPr>
        <w:t xml:space="preserve"> Reported successes are predominantly short-horizon. Extended tasks require memory, failure detection and recovery, and the metacognitive capacity to recognise that execution has already diverged.</w:t>
      </w:r>
    </w:p>
    <w:p>
      <w:pPr>
        <w:pStyle w:val="ListParagraph"/>
        <w:numPr>
          <w:ilvl w:val="0"/>
          <w:numId w:val="2"/>
        </w:numPr>
        <w:spacing w:after="90" w:line="276"/>
      </w:pPr>
      <w:r>
        <w:rPr>
          <w:rFonts w:ascii="Cambria" w:cs="Cambria" w:eastAsia="Cambria" w:hAnsi="Cambria"/>
          <w:b/>
          <w:bCs/>
          <w:color w:val="1A1A1A"/>
          <w:sz w:val="21"/>
          <w:szCs w:val="21"/>
        </w:rPr>
        <w:t xml:space="preserve">Evaluation.</w:t>
      </w:r>
      <w:r>
        <w:rPr>
          <w:rFonts w:ascii="Cambria" w:cs="Cambria" w:eastAsia="Cambria" w:hAnsi="Cambria"/>
          <w:color w:val="1A1A1A"/>
          <w:sz w:val="21"/>
          <w:szCs w:val="21"/>
        </w:rPr>
        <w:t xml:space="preserve"> There is no accepted benchmark, protocol or reporting standard. Success rates are reported on private task suites with unstated trial counts and initial-state distributions, rendering cross-laboratory comparison unsound. We regard this as the single most damaging gap in the field, since it prevents the accumulation of reliable knowledge.</w:t>
      </w:r>
    </w:p>
    <w:p>
      <w:pPr>
        <w:pStyle w:val="ListParagraph"/>
        <w:numPr>
          <w:ilvl w:val="0"/>
          <w:numId w:val="2"/>
        </w:numPr>
        <w:spacing w:after="90" w:line="276"/>
      </w:pPr>
      <w:r>
        <w:rPr>
          <w:rFonts w:ascii="Cambria" w:cs="Cambria" w:eastAsia="Cambria" w:hAnsi="Cambria"/>
          <w:b/>
          <w:bCs/>
          <w:color w:val="1A1A1A"/>
          <w:sz w:val="21"/>
          <w:szCs w:val="21"/>
        </w:rPr>
        <w:t xml:space="preserve">Learned simulators.</w:t>
      </w:r>
      <w:r>
        <w:rPr>
          <w:rFonts w:ascii="Cambria" w:cs="Cambria" w:eastAsia="Cambria" w:hAnsi="Cambria"/>
          <w:color w:val="1A1A1A"/>
          <w:sz w:val="21"/>
          <w:szCs w:val="21"/>
        </w:rPr>
        <w:t xml:space="preserve"> Whether generative world models can substitute for physics engines at the fidelity required for control remains open.</w:t>
      </w:r>
    </w:p>
    <w:p>
      <w:pPr>
        <w:pStyle w:val="ListParagraph"/>
        <w:numPr>
          <w:ilvl w:val="0"/>
          <w:numId w:val="2"/>
        </w:numPr>
        <w:spacing w:after="90" w:line="276"/>
      </w:pPr>
      <w:r>
        <w:rPr>
          <w:rFonts w:ascii="Cambria" w:cs="Cambria" w:eastAsia="Cambria" w:hAnsi="Cambria"/>
          <w:b/>
          <w:bCs/>
          <w:color w:val="1A1A1A"/>
          <w:sz w:val="21"/>
          <w:szCs w:val="21"/>
        </w:rPr>
        <w:t xml:space="preserve">Onboard latency, power and unit economics.</w:t>
      </w:r>
      <w:r>
        <w:rPr>
          <w:rFonts w:ascii="Cambria" w:cs="Cambria" w:eastAsia="Cambria" w:hAnsi="Cambria"/>
          <w:color w:val="1A1A1A"/>
          <w:sz w:val="21"/>
          <w:szCs w:val="21"/>
        </w:rPr>
        <w:t xml:space="preserve"> Inference at 50–100 Hz within a mobile power budget, at a total cost below the labour being displaced, is a systems constraint that no model improvement resolves on its own.</w:t>
      </w:r>
    </w:p>
    <w:p>
      <w:pPr>
        <w:pStyle w:val="Heading1"/>
        <w:keepNext/>
        <w:spacing w:after="160" w:before="360"/>
      </w:pPr>
      <w:r>
        <w:rPr>
          <w:rFonts w:ascii="Calibri" w:cs="Calibri" w:eastAsia="Calibri" w:hAnsi="Calibri"/>
          <w:b/>
          <w:bCs/>
          <w:color w:val="10202B"/>
          <w:sz w:val="28"/>
          <w:szCs w:val="28"/>
        </w:rPr>
        <w:t xml:space="preserve">10  Implications for practice</w:t>
      </w:r>
    </w:p>
    <w:p>
      <w:pPr>
        <w:pStyle w:val="Heading2"/>
        <w:keepNext/>
        <w:spacing w:after="120" w:before="260"/>
      </w:pPr>
      <w:r>
        <w:rPr>
          <w:rFonts w:ascii="Calibri" w:cs="Calibri" w:eastAsia="Calibri" w:hAnsi="Calibri"/>
          <w:b/>
          <w:bCs/>
          <w:color w:val="10202B"/>
          <w:sz w:val="23"/>
          <w:szCs w:val="23"/>
        </w:rPr>
        <w:t xml:space="preserve">10.1  A programme structure</w:t>
      </w:r>
    </w:p>
    <w:p>
      <w:pPr>
        <w:spacing w:after="120" w:line="276"/>
      </w:pPr>
      <w:r>
        <w:rPr>
          <w:rFonts w:ascii="Cambria" w:cs="Cambria" w:eastAsia="Cambria" w:hAnsi="Cambria"/>
          <w:color w:val="1A1A1A"/>
          <w:sz w:val="21"/>
          <w:szCs w:val="21"/>
        </w:rPr>
        <w:t xml:space="preserve">We propose the following ordering for an applied programme, in which the second step is the principal departure from common practice.</w:t>
      </w:r>
    </w:p>
    <w:p>
      <w:pPr>
        <w:pStyle w:val="ListParagraph"/>
        <w:numPr>
          <w:ilvl w:val="0"/>
          <w:numId w:val="2"/>
        </w:numPr>
        <w:spacing w:after="90" w:line="276"/>
      </w:pPr>
      <w:r>
        <w:rPr>
          <w:rFonts w:ascii="Cambria" w:cs="Cambria" w:eastAsia="Cambria" w:hAnsi="Cambria"/>
          <w:color w:val="1A1A1A"/>
          <w:sz w:val="21"/>
          <w:szCs w:val="21"/>
        </w:rPr>
        <w:t xml:space="preserve">Specify the task and the success criterion.</w:t>
      </w:r>
    </w:p>
    <w:p>
      <w:pPr>
        <w:pStyle w:val="ListParagraph"/>
        <w:numPr>
          <w:ilvl w:val="0"/>
          <w:numId w:val="2"/>
        </w:numPr>
        <w:spacing w:after="90" w:line="276"/>
      </w:pPr>
      <w:r>
        <w:rPr>
          <w:rFonts w:ascii="Cambria" w:cs="Cambria" w:eastAsia="Cambria" w:hAnsi="Cambria"/>
          <w:b/>
          <w:bCs/>
          <w:color w:val="1A1A1A"/>
          <w:sz w:val="21"/>
          <w:szCs w:val="21"/>
        </w:rPr>
        <w:t xml:space="preserve">Construct the evaluation harness</w:t>
      </w:r>
      <w:r>
        <w:rPr>
          <w:rFonts w:ascii="Cambria" w:cs="Cambria" w:eastAsia="Cambria" w:hAnsi="Cambria"/>
          <w:color w:val="1A1A1A"/>
          <w:sz w:val="21"/>
          <w:szCs w:val="21"/>
        </w:rPr>
        <w:t xml:space="preserve"> — fixed task set, fixed trial count, randomised initial conditions, interventions counted — before any model work.</w:t>
      </w:r>
    </w:p>
    <w:p>
      <w:pPr>
        <w:pStyle w:val="ListParagraph"/>
        <w:numPr>
          <w:ilvl w:val="0"/>
          <w:numId w:val="2"/>
        </w:numPr>
        <w:spacing w:after="90" w:line="276"/>
      </w:pPr>
      <w:r>
        <w:rPr>
          <w:rFonts w:ascii="Cambria" w:cs="Cambria" w:eastAsia="Cambria" w:hAnsi="Cambria"/>
          <w:color w:val="1A1A1A"/>
          <w:sz w:val="21"/>
          <w:szCs w:val="21"/>
        </w:rPr>
        <w:t xml:space="preserve">Collect teleoperated demonstrations; augment in simulation.</w:t>
      </w:r>
    </w:p>
    <w:p>
      <w:pPr>
        <w:pStyle w:val="ListParagraph"/>
        <w:numPr>
          <w:ilvl w:val="0"/>
          <w:numId w:val="2"/>
        </w:numPr>
        <w:spacing w:after="90" w:line="276"/>
      </w:pPr>
      <w:r>
        <w:rPr>
          <w:rFonts w:ascii="Cambria" w:cs="Cambria" w:eastAsia="Cambria" w:hAnsi="Cambria"/>
          <w:color w:val="1A1A1A"/>
          <w:sz w:val="21"/>
          <w:szCs w:val="21"/>
        </w:rPr>
        <w:t xml:space="preserve">Adapt an open pretrained policy.</w:t>
      </w:r>
    </w:p>
    <w:p>
      <w:pPr>
        <w:pStyle w:val="ListParagraph"/>
        <w:numPr>
          <w:ilvl w:val="0"/>
          <w:numId w:val="2"/>
        </w:numPr>
        <w:spacing w:after="90" w:line="276"/>
      </w:pPr>
      <w:r>
        <w:rPr>
          <w:rFonts w:ascii="Cambria" w:cs="Cambria" w:eastAsia="Cambria" w:hAnsi="Cambria"/>
          <w:color w:val="1A1A1A"/>
          <w:sz w:val="21"/>
          <w:szCs w:val="21"/>
        </w:rPr>
        <w:t xml:space="preserve">Evaluate in simulation, recognising that simulated scores are optimistically biased.</w:t>
      </w:r>
    </w:p>
    <w:p>
      <w:pPr>
        <w:pStyle w:val="ListParagraph"/>
        <w:numPr>
          <w:ilvl w:val="0"/>
          <w:numId w:val="2"/>
        </w:numPr>
        <w:spacing w:after="90" w:line="276"/>
      </w:pPr>
      <w:r>
        <w:rPr>
          <w:rFonts w:ascii="Cambria" w:cs="Cambria" w:eastAsia="Cambria" w:hAnsi="Cambria"/>
          <w:color w:val="1A1A1A"/>
          <w:sz w:val="21"/>
          <w:szCs w:val="21"/>
        </w:rPr>
        <w:t xml:space="preserve">Evaluate with hardware in the loop in a contained cell.</w:t>
      </w:r>
    </w:p>
    <w:p>
      <w:pPr>
        <w:pStyle w:val="ListParagraph"/>
        <w:numPr>
          <w:ilvl w:val="0"/>
          <w:numId w:val="2"/>
        </w:numPr>
        <w:spacing w:after="90" w:line="276"/>
      </w:pPr>
      <w:r>
        <w:rPr>
          <w:rFonts w:ascii="Cambria" w:cs="Cambria" w:eastAsia="Cambria" w:hAnsi="Cambria"/>
          <w:color w:val="1A1A1A"/>
          <w:sz w:val="21"/>
          <w:szCs w:val="21"/>
        </w:rPr>
        <w:t xml:space="preserve">Operate in shadow mode: policy proposes, human commits.</w:t>
      </w:r>
    </w:p>
    <w:p>
      <w:pPr>
        <w:pStyle w:val="ListParagraph"/>
        <w:numPr>
          <w:ilvl w:val="0"/>
          <w:numId w:val="2"/>
        </w:numPr>
        <w:spacing w:after="90" w:line="276"/>
      </w:pPr>
      <w:r>
        <w:rPr>
          <w:rFonts w:ascii="Cambria" w:cs="Cambria" w:eastAsia="Cambria" w:hAnsi="Cambria"/>
          <w:color w:val="1A1A1A"/>
          <w:sz w:val="21"/>
          <w:szCs w:val="21"/>
        </w:rPr>
        <w:t xml:space="preserve">Deploy with the classical controller retained as fallback; log all interventions and return them to training.</w:t>
      </w:r>
    </w:p>
    <w:p>
      <w:pPr>
        <w:spacing w:after="120" w:line="276"/>
      </w:pPr>
      <w:r>
        <w:rPr>
          <w:rFonts w:ascii="Cambria" w:cs="Cambria" w:eastAsia="Cambria" w:hAnsi="Cambria"/>
          <w:color w:val="1A1A1A"/>
          <w:sz w:val="21"/>
          <w:szCs w:val="21"/>
        </w:rPr>
        <w:t xml:space="preserve">Step 2 is placed second because without it steps 4–8 produce no interpretable signal. The prevalence of late or absent evaluation harnesses is a plausible partial explanation for the non-comparability documented in §9.</w:t>
      </w:r>
    </w:p>
    <w:p>
      <w:pPr>
        <w:pStyle w:val="Heading2"/>
        <w:keepNext/>
        <w:spacing w:after="120" w:before="260"/>
      </w:pPr>
      <w:r>
        <w:rPr>
          <w:rFonts w:ascii="Calibri" w:cs="Calibri" w:eastAsia="Calibri" w:hAnsi="Calibri"/>
          <w:b/>
          <w:bCs/>
          <w:color w:val="10202B"/>
          <w:sz w:val="23"/>
          <w:szCs w:val="23"/>
        </w:rPr>
        <w:t xml:space="preserve">10.2  The safety boundary</w:t>
      </w:r>
    </w:p>
    <w:p>
      <w:pPr>
        <w:spacing w:after="120" w:line="276"/>
      </w:pPr>
      <w:r>
        <w:rPr>
          <w:rFonts w:ascii="Cambria" w:cs="Cambria" w:eastAsia="Cambria" w:hAnsi="Cambria"/>
          <w:color w:val="1A1A1A"/>
          <w:sz w:val="21"/>
          <w:szCs w:val="21"/>
        </w:rPr>
        <w:t xml:space="preserve">We recommend an explicit invariant, stated at design time: </w:t>
      </w:r>
      <w:r>
        <w:rPr>
          <w:rFonts w:ascii="Cambria" w:cs="Cambria" w:eastAsia="Cambria" w:hAnsi="Cambria"/>
          <w:b/>
          <w:bCs/>
          <w:color w:val="1A1A1A"/>
          <w:sz w:val="21"/>
          <w:szCs w:val="21"/>
        </w:rPr>
        <w:t xml:space="preserve">the learned policy holds authority over task selection and motion generation; it never holds authority over safety constraints.</w:t>
      </w:r>
      <w:r>
        <w:rPr>
          <w:rFonts w:ascii="Cambria" w:cs="Cambria" w:eastAsia="Cambria" w:hAnsi="Cambria"/>
          <w:color w:val="1A1A1A"/>
          <w:sz w:val="21"/>
          <w:szCs w:val="21"/>
        </w:rPr>
        <w:t xml:space="preserve"> Constraint enforcement remains in a classical, verifiable layer. This preserves the safety argument that §3.2 identifies as the principal cost of the representational shift.</w:t>
      </w:r>
    </w:p>
    <w:p>
      <w:pPr>
        <w:pStyle w:val="Heading2"/>
        <w:keepNext/>
        <w:spacing w:after="120" w:before="260"/>
      </w:pPr>
      <w:r>
        <w:rPr>
          <w:rFonts w:ascii="Calibri" w:cs="Calibri" w:eastAsia="Calibri" w:hAnsi="Calibri"/>
          <w:b/>
          <w:bCs/>
          <w:color w:val="10202B"/>
          <w:sz w:val="23"/>
          <w:szCs w:val="23"/>
        </w:rPr>
        <w:t xml:space="preserve">10.3  Where classically trained engineers hold advantage</w:t>
      </w:r>
    </w:p>
    <w:p>
      <w:pPr>
        <w:spacing w:after="120" w:line="276"/>
      </w:pPr>
      <w:r>
        <w:rPr>
          <w:rFonts w:ascii="Cambria" w:cs="Cambria" w:eastAsia="Cambria" w:hAnsi="Cambria"/>
          <w:color w:val="1A1A1A"/>
          <w:sz w:val="21"/>
          <w:szCs w:val="21"/>
        </w:rPr>
        <w:t xml:space="preserve">The residual obstacles of §9 are dominated by data production, measurement design, systems integration, latency budgeting and safety argumentation. These are the competences of classical robotics practice. By contrast, entry into general language-model or agent engineering places such practitioners in a large, well-supplied labour market in which their domain knowledge is not priced.</w:t>
      </w:r>
    </w:p>
    <w:p>
      <w:pPr>
        <w:spacing w:after="120" w:line="276"/>
      </w:pPr>
      <w:r>
        <w:rPr>
          <w:rFonts w:ascii="Cambria" w:cs="Cambria" w:eastAsia="Cambria" w:hAnsi="Cambria"/>
          <w:color w:val="1A1A1A"/>
          <w:sz w:val="21"/>
          <w:szCs w:val="21"/>
        </w:rPr>
        <w:t xml:space="preserve">We note the obvious qualification, since it is frequently elided: this is not an argument against acquiring machine-learning competence. A VLA is a generative model, and its adaptation requires the same technical foundation. The argument concerns the domain of application, not the skill set.</w:t>
      </w:r>
    </w:p>
    <w:p>
      <w:pPr>
        <w:pStyle w:val="Heading1"/>
        <w:keepNext/>
        <w:spacing w:after="160" w:before="360"/>
      </w:pPr>
      <w:r>
        <w:rPr>
          <w:rFonts w:ascii="Calibri" w:cs="Calibri" w:eastAsia="Calibri" w:hAnsi="Calibri"/>
          <w:b/>
          <w:bCs/>
          <w:color w:val="10202B"/>
          <w:sz w:val="28"/>
          <w:szCs w:val="28"/>
        </w:rPr>
        <w:t xml:space="preserve">11  Limitations and threats to validity</w:t>
      </w:r>
    </w:p>
    <w:p>
      <w:pPr>
        <w:spacing w:after="120" w:line="276"/>
      </w:pPr>
      <w:r>
        <w:rPr>
          <w:rFonts w:ascii="Cambria" w:cs="Cambria" w:eastAsia="Cambria" w:hAnsi="Cambria"/>
          <w:b/>
          <w:bCs/>
          <w:color w:val="1A1A1A"/>
          <w:sz w:val="21"/>
          <w:szCs w:val="21"/>
        </w:rPr>
        <w:t xml:space="preserve">Non-empirical.</w:t>
      </w:r>
      <w:r>
        <w:rPr>
          <w:rFonts w:ascii="Cambria" w:cs="Cambria" w:eastAsia="Cambria" w:hAnsi="Cambria"/>
          <w:color w:val="1A1A1A"/>
          <w:sz w:val="21"/>
          <w:szCs w:val="21"/>
        </w:rPr>
        <w:t xml:space="preserve"> This paper reports no experiments and derives no new results. Its analytic contributions (§4.2, §7.1) are elementary; their value is clarificatory.</w:t>
      </w:r>
    </w:p>
    <w:p>
      <w:pPr>
        <w:spacing w:after="120" w:line="276"/>
      </w:pPr>
      <w:r>
        <w:rPr>
          <w:rFonts w:ascii="Cambria" w:cs="Cambria" w:eastAsia="Cambria" w:hAnsi="Cambria"/>
          <w:b/>
          <w:bCs/>
          <w:color w:val="1A1A1A"/>
          <w:sz w:val="21"/>
          <w:szCs w:val="21"/>
        </w:rPr>
        <w:t xml:space="preserve">Volatile quantitative base.</w:t>
      </w:r>
      <w:r>
        <w:rPr>
          <w:rFonts w:ascii="Cambria" w:cs="Cambria" w:eastAsia="Cambria" w:hAnsi="Cambria"/>
          <w:color w:val="1A1A1A"/>
          <w:sz w:val="21"/>
          <w:szCs w:val="21"/>
        </w:rPr>
        <w:t xml:space="preserve"> The market figures in §7.3 are the weakest component of the argument. Estimates of generative AI market size differ by factors of several between research firms; private-company valuations and funding totals are revised frequently and are partially self-reported; shipment counts are frequently reported without utilisation. We have therefore restricted inference from these figures to a single ordinal claim (capital precedes revenue) that is robust to substantial measurement error.</w:t>
      </w:r>
    </w:p>
    <w:p>
      <w:pPr>
        <w:spacing w:after="120" w:line="276"/>
      </w:pPr>
      <w:r>
        <w:rPr>
          <w:rFonts w:ascii="Cambria" w:cs="Cambria" w:eastAsia="Cambria" w:hAnsi="Cambria"/>
          <w:b/>
          <w:bCs/>
          <w:color w:val="1A1A1A"/>
          <w:sz w:val="21"/>
          <w:szCs w:val="21"/>
        </w:rPr>
        <w:t xml:space="preserve">Selection effects in the deployment record.</w:t>
      </w:r>
      <w:r>
        <w:rPr>
          <w:rFonts w:ascii="Cambria" w:cs="Cambria" w:eastAsia="Cambria" w:hAnsi="Cambria"/>
          <w:color w:val="1A1A1A"/>
          <w:sz w:val="21"/>
          <w:szCs w:val="21"/>
        </w:rPr>
        <w:t xml:space="preserve"> Public evidence of robot capability is generated principally by parties with an interest in favourable presentation. Negative results and abandoned pilots are systematically under-reported, biasing any capability assessment upward.</w:t>
      </w:r>
    </w:p>
    <w:p>
      <w:pPr>
        <w:spacing w:after="120" w:line="276"/>
      </w:pPr>
      <w:r>
        <w:rPr>
          <w:rFonts w:ascii="Cambria" w:cs="Cambria" w:eastAsia="Cambria" w:hAnsi="Cambria"/>
          <w:b/>
          <w:bCs/>
          <w:color w:val="1A1A1A"/>
          <w:sz w:val="21"/>
          <w:szCs w:val="21"/>
        </w:rPr>
        <w:t xml:space="preserve">Recency.</w:t>
      </w:r>
      <w:r>
        <w:rPr>
          <w:rFonts w:ascii="Cambria" w:cs="Cambria" w:eastAsia="Cambria" w:hAnsi="Cambria"/>
          <w:color w:val="1A1A1A"/>
          <w:sz w:val="21"/>
          <w:szCs w:val="21"/>
        </w:rPr>
        <w:t xml:space="preserve"> Statements about tooling, deprecation status and architecture prevalence reflect mid-2026 and have short half-lives.</w:t>
      </w:r>
    </w:p>
    <w:p>
      <w:pPr>
        <w:spacing w:after="120" w:line="276"/>
      </w:pPr>
      <w:r>
        <w:rPr>
          <w:rFonts w:ascii="Cambria" w:cs="Cambria" w:eastAsia="Cambria" w:hAnsi="Cambria"/>
          <w:b/>
          <w:bCs/>
          <w:color w:val="1A1A1A"/>
          <w:sz w:val="21"/>
          <w:szCs w:val="21"/>
        </w:rPr>
        <w:t xml:space="preserve">Generality of the cost model.</w:t>
      </w:r>
      <w:r>
        <w:rPr>
          <w:rFonts w:ascii="Cambria" w:cs="Cambria" w:eastAsia="Cambria" w:hAnsi="Cambria"/>
          <w:color w:val="1A1A1A"/>
          <w:sz w:val="21"/>
          <w:szCs w:val="21"/>
        </w:rPr>
        <w:t xml:space="preserve"> The model in §7.1 assumes per-task engineering cost independent of N and demonstration cost independent of task, both of which are simplifications. It is intended to expose the structure of the trade-off, not to support quantitative planning.</w:t>
      </w:r>
    </w:p>
    <w:p>
      <w:pPr>
        <w:pStyle w:val="Heading1"/>
        <w:keepNext/>
        <w:spacing w:after="160" w:before="360"/>
      </w:pPr>
      <w:r>
        <w:rPr>
          <w:rFonts w:ascii="Calibri" w:cs="Calibri" w:eastAsia="Calibri" w:hAnsi="Calibri"/>
          <w:b/>
          <w:bCs/>
          <w:color w:val="10202B"/>
          <w:sz w:val="28"/>
          <w:szCs w:val="28"/>
        </w:rPr>
        <w:t xml:space="preserve">12  Conclusion</w:t>
      </w:r>
    </w:p>
    <w:p>
      <w:pPr>
        <w:spacing w:after="120" w:line="276"/>
      </w:pPr>
      <w:r>
        <w:rPr>
          <w:rFonts w:ascii="Cambria" w:cs="Cambria" w:eastAsia="Cambria" w:hAnsi="Cambria"/>
          <w:color w:val="1A1A1A"/>
          <w:sz w:val="21"/>
          <w:szCs w:val="21"/>
        </w:rPr>
        <w:t xml:space="preserve">Robot development has changed in one specific respect: the representation of task knowledge has moved from authored program text to learned parameters, with perception increasingly absorbed into the same representation. The layers beneath are intact, and the safety argument, which depended on the readability of the displaced layer, must now be reconstructed by other means.</w:t>
      </w:r>
    </w:p>
    <w:p>
      <w:pPr>
        <w:spacing w:after="120" w:line="276"/>
      </w:pPr>
      <w:r>
        <w:rPr>
          <w:rFonts w:ascii="Cambria" w:cs="Cambria" w:eastAsia="Cambria" w:hAnsi="Cambria"/>
          <w:color w:val="1A1A1A"/>
          <w:sz w:val="21"/>
          <w:szCs w:val="21"/>
        </w:rPr>
        <w:t xml:space="preserve">The motivation for the shift is economic and structural rather than purely capability-driven: hand-engineered task acquisition scales linearly in task count, and the break-even task count against a policy-based approach is falling as infrastructure costs fall and hardware standardises.</w:t>
      </w:r>
    </w:p>
    <w:p>
      <w:pPr>
        <w:spacing w:after="120" w:line="276"/>
      </w:pPr>
      <w:r>
        <w:rPr>
          <w:rFonts w:ascii="Cambria" w:cs="Cambria" w:eastAsia="Cambria" w:hAnsi="Cambria"/>
          <w:color w:val="1A1A1A"/>
          <w:sz w:val="21"/>
          <w:szCs w:val="21"/>
        </w:rPr>
        <w:t xml:space="preserve">The obstacles that remain are, with few exceptions, not obstacles of model capacity. Closed-loop error compounding, the arithmetic of reliability, the absence of naturally occurring interaction data, imperfect transfer from simulation, and — most damagingly — the absence of shared evaluation protocol are problems of systems engineering and measurement. This has a consequence that runs against the prevailing narrative: the discipline whose competence most directly addresses the current bottleneck is classical robotics, not machine learning.</w:t>
      </w:r>
    </w:p>
    <w:p>
      <w:pPr>
        <w:pStyle w:val="Heading1"/>
        <w:keepNext/>
        <w:spacing w:after="160" w:before="360"/>
      </w:pPr>
      <w:r>
        <w:rPr>
          <w:rFonts w:ascii="Calibri" w:cs="Calibri" w:eastAsia="Calibri" w:hAnsi="Calibri"/>
          <w:b/>
          <w:bCs/>
          <w:color w:val="10202B"/>
          <w:sz w:val="28"/>
          <w:szCs w:val="28"/>
        </w:rPr>
        <w:t xml:space="preserve">References</w:t>
      </w:r>
    </w:p>
    <w:p>
      <w:pPr>
        <w:spacing w:after="80" w:line="264"/>
        <w:ind w:left="576" w:hanging="576"/>
      </w:pPr>
      <w:r>
        <w:rPr>
          <w:rFonts w:ascii="Cambria" w:cs="Cambria" w:eastAsia="Cambria" w:hAnsi="Cambria"/>
          <w:color w:val="1A1A1A"/>
          <w:sz w:val="19"/>
          <w:szCs w:val="19"/>
        </w:rPr>
        <w:t xml:space="preserve">[1]  K. Čapek, </w:t>
      </w:r>
      <w:r>
        <w:rPr>
          <w:rFonts w:ascii="Cambria" w:cs="Cambria" w:eastAsia="Cambria" w:hAnsi="Cambria"/>
          <w:i/>
          <w:iCs/>
          <w:color w:val="1A1A1A"/>
          <w:sz w:val="19"/>
          <w:szCs w:val="19"/>
        </w:rPr>
        <w:t xml:space="preserve">R.U.R. (Rossum’s Universal Robots)</w:t>
      </w:r>
      <w:r>
        <w:rPr>
          <w:rFonts w:ascii="Cambria" w:cs="Cambria" w:eastAsia="Cambria" w:hAnsi="Cambria"/>
          <w:color w:val="1A1A1A"/>
          <w:sz w:val="19"/>
          <w:szCs w:val="19"/>
        </w:rPr>
        <w:t xml:space="preserve">, 1920.</w:t>
      </w:r>
    </w:p>
    <w:p>
      <w:pPr>
        <w:spacing w:after="80" w:line="264"/>
        <w:ind w:left="576" w:hanging="576"/>
      </w:pPr>
      <w:r>
        <w:rPr>
          <w:rFonts w:ascii="Cambria" w:cs="Cambria" w:eastAsia="Cambria" w:hAnsi="Cambria"/>
          <w:color w:val="1A1A1A"/>
          <w:sz w:val="19"/>
          <w:szCs w:val="19"/>
        </w:rPr>
        <w:t xml:space="preserve">[2]  N. J. Nilsson, “Shakey the Robot,” SRI International, Technical Note 323, 1984.</w:t>
      </w:r>
    </w:p>
    <w:p>
      <w:pPr>
        <w:spacing w:after="80" w:line="264"/>
        <w:ind w:left="576" w:hanging="576"/>
      </w:pPr>
      <w:r>
        <w:rPr>
          <w:rFonts w:ascii="Cambria" w:cs="Cambria" w:eastAsia="Cambria" w:hAnsi="Cambria"/>
          <w:color w:val="1A1A1A"/>
          <w:sz w:val="19"/>
          <w:szCs w:val="19"/>
        </w:rPr>
        <w:t xml:space="preserve">[3]  R. E. Fikes and N. J. Nilsson, “STRIPS: A New Approach to the Application of Theorem Proving to Problem Solving,” </w:t>
      </w:r>
      <w:r>
        <w:rPr>
          <w:rFonts w:ascii="Cambria" w:cs="Cambria" w:eastAsia="Cambria" w:hAnsi="Cambria"/>
          <w:i/>
          <w:iCs/>
          <w:color w:val="1A1A1A"/>
          <w:sz w:val="19"/>
          <w:szCs w:val="19"/>
        </w:rPr>
        <w:t xml:space="preserve">Artificial Intelligence</w:t>
      </w:r>
      <w:r>
        <w:rPr>
          <w:rFonts w:ascii="Cambria" w:cs="Cambria" w:eastAsia="Cambria" w:hAnsi="Cambria"/>
          <w:color w:val="1A1A1A"/>
          <w:sz w:val="19"/>
          <w:szCs w:val="19"/>
        </w:rPr>
        <w:t xml:space="preserve">, 2(3–4), 1971.</w:t>
      </w:r>
    </w:p>
    <w:p>
      <w:pPr>
        <w:spacing w:after="80" w:line="264"/>
        <w:ind w:left="576" w:hanging="576"/>
      </w:pPr>
      <w:r>
        <w:rPr>
          <w:rFonts w:ascii="Cambria" w:cs="Cambria" w:eastAsia="Cambria" w:hAnsi="Cambria"/>
          <w:color w:val="1A1A1A"/>
          <w:sz w:val="19"/>
          <w:szCs w:val="19"/>
        </w:rPr>
        <w:t xml:space="preserve">[4]  H. Moravec, </w:t>
      </w:r>
      <w:r>
        <w:rPr>
          <w:rFonts w:ascii="Cambria" w:cs="Cambria" w:eastAsia="Cambria" w:hAnsi="Cambria"/>
          <w:i/>
          <w:iCs/>
          <w:color w:val="1A1A1A"/>
          <w:sz w:val="19"/>
          <w:szCs w:val="19"/>
        </w:rPr>
        <w:t xml:space="preserve">Mind Children: The Future of Robot and Human Intelligence</w:t>
      </w:r>
      <w:r>
        <w:rPr>
          <w:rFonts w:ascii="Cambria" w:cs="Cambria" w:eastAsia="Cambria" w:hAnsi="Cambria"/>
          <w:color w:val="1A1A1A"/>
          <w:sz w:val="19"/>
          <w:szCs w:val="19"/>
        </w:rPr>
        <w:t xml:space="preserve">, Harvard University Press, 1988.</w:t>
      </w:r>
    </w:p>
    <w:p>
      <w:pPr>
        <w:spacing w:after="80" w:line="264"/>
        <w:ind w:left="576" w:hanging="576"/>
      </w:pPr>
      <w:r>
        <w:rPr>
          <w:rFonts w:ascii="Cambria" w:cs="Cambria" w:eastAsia="Cambria" w:hAnsi="Cambria"/>
          <w:color w:val="1A1A1A"/>
          <w:sz w:val="19"/>
          <w:szCs w:val="19"/>
        </w:rPr>
        <w:t xml:space="preserve">[5]  R. A. Brooks, “A Robust Layered Control System for a Mobile Robot,” </w:t>
      </w:r>
      <w:r>
        <w:rPr>
          <w:rFonts w:ascii="Cambria" w:cs="Cambria" w:eastAsia="Cambria" w:hAnsi="Cambria"/>
          <w:i/>
          <w:iCs/>
          <w:color w:val="1A1A1A"/>
          <w:sz w:val="19"/>
          <w:szCs w:val="19"/>
        </w:rPr>
        <w:t xml:space="preserve">IEEE Journal of Robotics and Automation</w:t>
      </w:r>
      <w:r>
        <w:rPr>
          <w:rFonts w:ascii="Cambria" w:cs="Cambria" w:eastAsia="Cambria" w:hAnsi="Cambria"/>
          <w:color w:val="1A1A1A"/>
          <w:sz w:val="19"/>
          <w:szCs w:val="19"/>
        </w:rPr>
        <w:t xml:space="preserve">, 2(1), 1986.</w:t>
      </w:r>
    </w:p>
    <w:p>
      <w:pPr>
        <w:spacing w:after="80" w:line="264"/>
        <w:ind w:left="576" w:hanging="576"/>
      </w:pPr>
      <w:r>
        <w:rPr>
          <w:rFonts w:ascii="Cambria" w:cs="Cambria" w:eastAsia="Cambria" w:hAnsi="Cambria"/>
          <w:color w:val="1A1A1A"/>
          <w:sz w:val="19"/>
          <w:szCs w:val="19"/>
        </w:rPr>
        <w:t xml:space="preserve">[6]  R. C. Smith and P. Cheeseman, “On the Representation and Estimation of Spatial Uncertainty,” </w:t>
      </w:r>
      <w:r>
        <w:rPr>
          <w:rFonts w:ascii="Cambria" w:cs="Cambria" w:eastAsia="Cambria" w:hAnsi="Cambria"/>
          <w:i/>
          <w:iCs/>
          <w:color w:val="1A1A1A"/>
          <w:sz w:val="19"/>
          <w:szCs w:val="19"/>
        </w:rPr>
        <w:t xml:space="preserve">International Journal of Robotics Research</w:t>
      </w:r>
      <w:r>
        <w:rPr>
          <w:rFonts w:ascii="Cambria" w:cs="Cambria" w:eastAsia="Cambria" w:hAnsi="Cambria"/>
          <w:color w:val="1A1A1A"/>
          <w:sz w:val="19"/>
          <w:szCs w:val="19"/>
        </w:rPr>
        <w:t xml:space="preserve">, 5(4), 1986.</w:t>
      </w:r>
    </w:p>
    <w:p>
      <w:pPr>
        <w:spacing w:after="80" w:line="264"/>
        <w:ind w:left="576" w:hanging="576"/>
      </w:pPr>
      <w:r>
        <w:rPr>
          <w:rFonts w:ascii="Cambria" w:cs="Cambria" w:eastAsia="Cambria" w:hAnsi="Cambria"/>
          <w:color w:val="1A1A1A"/>
          <w:sz w:val="19"/>
          <w:szCs w:val="19"/>
        </w:rPr>
        <w:t xml:space="preserve">[7]  M. Quigley et al., “ROS: an open-source Robot Operating System,” </w:t>
      </w:r>
      <w:r>
        <w:rPr>
          <w:rFonts w:ascii="Cambria" w:cs="Cambria" w:eastAsia="Cambria" w:hAnsi="Cambria"/>
          <w:i/>
          <w:iCs/>
          <w:color w:val="1A1A1A"/>
          <w:sz w:val="19"/>
          <w:szCs w:val="19"/>
        </w:rPr>
        <w:t xml:space="preserve">ICRA Workshop on Open Source Software</w:t>
      </w:r>
      <w:r>
        <w:rPr>
          <w:rFonts w:ascii="Cambria" w:cs="Cambria" w:eastAsia="Cambria" w:hAnsi="Cambria"/>
          <w:color w:val="1A1A1A"/>
          <w:sz w:val="19"/>
          <w:szCs w:val="19"/>
        </w:rPr>
        <w:t xml:space="preserve">, 2009.</w:t>
      </w:r>
    </w:p>
    <w:p>
      <w:pPr>
        <w:spacing w:after="80" w:line="264"/>
        <w:ind w:left="576" w:hanging="576"/>
      </w:pPr>
      <w:r>
        <w:rPr>
          <w:rFonts w:ascii="Cambria" w:cs="Cambria" w:eastAsia="Cambria" w:hAnsi="Cambria"/>
          <w:color w:val="1A1A1A"/>
          <w:sz w:val="19"/>
          <w:szCs w:val="19"/>
        </w:rPr>
        <w:t xml:space="preserve">[8]  A. Krizhevsky, I. Sutskever and G. E. Hinton, “ImageNet Classification with Deep Convolutional Neural Networks,” </w:t>
      </w:r>
      <w:r>
        <w:rPr>
          <w:rFonts w:ascii="Cambria" w:cs="Cambria" w:eastAsia="Cambria" w:hAnsi="Cambria"/>
          <w:i/>
          <w:iCs/>
          <w:color w:val="1A1A1A"/>
          <w:sz w:val="19"/>
          <w:szCs w:val="19"/>
        </w:rPr>
        <w:t xml:space="preserve">NeurIPS</w:t>
      </w:r>
      <w:r>
        <w:rPr>
          <w:rFonts w:ascii="Cambria" w:cs="Cambria" w:eastAsia="Cambria" w:hAnsi="Cambria"/>
          <w:color w:val="1A1A1A"/>
          <w:sz w:val="19"/>
          <w:szCs w:val="19"/>
        </w:rPr>
        <w:t xml:space="preserve">, 2012.</w:t>
      </w:r>
    </w:p>
    <w:p>
      <w:pPr>
        <w:spacing w:after="80" w:line="264"/>
        <w:ind w:left="576" w:hanging="576"/>
      </w:pPr>
      <w:r>
        <w:rPr>
          <w:rFonts w:ascii="Cambria" w:cs="Cambria" w:eastAsia="Cambria" w:hAnsi="Cambria"/>
          <w:color w:val="1A1A1A"/>
          <w:sz w:val="19"/>
          <w:szCs w:val="19"/>
        </w:rPr>
        <w:t xml:space="preserve">[9]  A. Brohan et al., “RT-2: Vision-Language-Action Models Transfer Web Knowledge to Robotic Control,” 2023.</w:t>
      </w:r>
    </w:p>
    <w:p>
      <w:pPr>
        <w:spacing w:after="80" w:line="264"/>
        <w:ind w:left="576" w:hanging="576"/>
      </w:pPr>
      <w:r>
        <w:rPr>
          <w:rFonts w:ascii="Cambria" w:cs="Cambria" w:eastAsia="Cambria" w:hAnsi="Cambria"/>
          <w:color w:val="1A1A1A"/>
          <w:sz w:val="19"/>
          <w:szCs w:val="19"/>
        </w:rPr>
        <w:t xml:space="preserve">[10]  M. J. Kim et al., “OpenVLA: An Open-Source Vision-Language-Action Model,” 2024.</w:t>
      </w:r>
    </w:p>
    <w:p>
      <w:pPr>
        <w:spacing w:after="80" w:line="264"/>
        <w:ind w:left="576" w:hanging="576"/>
      </w:pPr>
      <w:r>
        <w:rPr>
          <w:rFonts w:ascii="Cambria" w:cs="Cambria" w:eastAsia="Cambria" w:hAnsi="Cambria"/>
          <w:color w:val="1A1A1A"/>
          <w:sz w:val="19"/>
          <w:szCs w:val="19"/>
        </w:rPr>
        <w:t xml:space="preserve">[11]  K. Black et al., “π0: A Vision-Language-Action Flow Model for General Robot Control,” 2024.</w:t>
      </w:r>
    </w:p>
    <w:p>
      <w:pPr>
        <w:spacing w:after="80" w:line="264"/>
        <w:ind w:left="576" w:hanging="576"/>
      </w:pPr>
      <w:r>
        <w:rPr>
          <w:rFonts w:ascii="Cambria" w:cs="Cambria" w:eastAsia="Cambria" w:hAnsi="Cambria"/>
          <w:color w:val="1A1A1A"/>
          <w:sz w:val="19"/>
          <w:szCs w:val="19"/>
        </w:rPr>
        <w:t xml:space="preserve">[12]  C. Chi et al., “Diffusion Policy: Visuomotor Policy Learning via Action Diffusion,” </w:t>
      </w:r>
      <w:r>
        <w:rPr>
          <w:rFonts w:ascii="Cambria" w:cs="Cambria" w:eastAsia="Cambria" w:hAnsi="Cambria"/>
          <w:i/>
          <w:iCs/>
          <w:color w:val="1A1A1A"/>
          <w:sz w:val="19"/>
          <w:szCs w:val="19"/>
        </w:rPr>
        <w:t xml:space="preserve">Robotics: Science and Systems</w:t>
      </w:r>
      <w:r>
        <w:rPr>
          <w:rFonts w:ascii="Cambria" w:cs="Cambria" w:eastAsia="Cambria" w:hAnsi="Cambria"/>
          <w:color w:val="1A1A1A"/>
          <w:sz w:val="19"/>
          <w:szCs w:val="19"/>
        </w:rPr>
        <w:t xml:space="preserve">, 2023.</w:t>
      </w:r>
    </w:p>
    <w:p>
      <w:pPr>
        <w:spacing w:after="80" w:line="264"/>
        <w:ind w:left="576" w:hanging="576"/>
      </w:pPr>
      <w:r>
        <w:rPr>
          <w:rFonts w:ascii="Cambria" w:cs="Cambria" w:eastAsia="Cambria" w:hAnsi="Cambria"/>
          <w:color w:val="1A1A1A"/>
          <w:sz w:val="19"/>
          <w:szCs w:val="19"/>
        </w:rPr>
        <w:t xml:space="preserve">[13]  NVIDIA, “GR00T N1: An Open Foundation Model for Generalist Humanoid Robots,” 2025.</w:t>
      </w:r>
    </w:p>
    <w:p>
      <w:pPr>
        <w:spacing w:after="80" w:line="264"/>
        <w:ind w:left="576" w:hanging="576"/>
      </w:pPr>
      <w:r>
        <w:rPr>
          <w:rFonts w:ascii="Cambria" w:cs="Cambria" w:eastAsia="Cambria" w:hAnsi="Cambria"/>
          <w:color w:val="1A1A1A"/>
          <w:sz w:val="19"/>
          <w:szCs w:val="19"/>
        </w:rPr>
        <w:t xml:space="preserve">[14]  S. Ross, G. J. Gordon and J. A. Bagnell, “A Reduction of Imitation Learning and Structured Prediction to No-Regret Online Learning,” </w:t>
      </w:r>
      <w:r>
        <w:rPr>
          <w:rFonts w:ascii="Cambria" w:cs="Cambria" w:eastAsia="Cambria" w:hAnsi="Cambria"/>
          <w:i/>
          <w:iCs/>
          <w:color w:val="1A1A1A"/>
          <w:sz w:val="19"/>
          <w:szCs w:val="19"/>
        </w:rPr>
        <w:t xml:space="preserve">AISTATS</w:t>
      </w:r>
      <w:r>
        <w:rPr>
          <w:rFonts w:ascii="Cambria" w:cs="Cambria" w:eastAsia="Cambria" w:hAnsi="Cambria"/>
          <w:color w:val="1A1A1A"/>
          <w:sz w:val="19"/>
          <w:szCs w:val="19"/>
        </w:rPr>
        <w:t xml:space="preserve">, 2011.</w:t>
      </w:r>
    </w:p>
    <w:p>
      <w:pPr>
        <w:spacing w:after="80" w:line="264"/>
        <w:ind w:left="576" w:hanging="576"/>
      </w:pPr>
      <w:r>
        <w:rPr>
          <w:rFonts w:ascii="Cambria" w:cs="Cambria" w:eastAsia="Cambria" w:hAnsi="Cambria"/>
          <w:color w:val="1A1A1A"/>
          <w:sz w:val="19"/>
          <w:szCs w:val="19"/>
        </w:rPr>
        <w:t xml:space="preserve">[15]  T. Z. Zhao et al., “Learning Fine-Grained Bimanual Manipulation with Low-Cost Hardware,” </w:t>
      </w:r>
      <w:r>
        <w:rPr>
          <w:rFonts w:ascii="Cambria" w:cs="Cambria" w:eastAsia="Cambria" w:hAnsi="Cambria"/>
          <w:i/>
          <w:iCs/>
          <w:color w:val="1A1A1A"/>
          <w:sz w:val="19"/>
          <w:szCs w:val="19"/>
        </w:rPr>
        <w:t xml:space="preserve">Robotics: Science and Systems</w:t>
      </w:r>
      <w:r>
        <w:rPr>
          <w:rFonts w:ascii="Cambria" w:cs="Cambria" w:eastAsia="Cambria" w:hAnsi="Cambria"/>
          <w:color w:val="1A1A1A"/>
          <w:sz w:val="19"/>
          <w:szCs w:val="19"/>
        </w:rPr>
        <w:t xml:space="preserve">, 2023.</w:t>
      </w:r>
    </w:p>
    <w:p>
      <w:pPr>
        <w:spacing w:after="80" w:line="264"/>
        <w:ind w:left="576" w:hanging="576"/>
      </w:pPr>
      <w:r>
        <w:rPr>
          <w:rFonts w:ascii="Cambria" w:cs="Cambria" w:eastAsia="Cambria" w:hAnsi="Cambria"/>
          <w:color w:val="1A1A1A"/>
          <w:sz w:val="19"/>
          <w:szCs w:val="19"/>
        </w:rPr>
        <w:t xml:space="preserve">[16]  J. Tobin et al., “Domain Randomization for Transferring Deep Neural Networks from Simulation to the Real World,” </w:t>
      </w:r>
      <w:r>
        <w:rPr>
          <w:rFonts w:ascii="Cambria" w:cs="Cambria" w:eastAsia="Cambria" w:hAnsi="Cambria"/>
          <w:i/>
          <w:iCs/>
          <w:color w:val="1A1A1A"/>
          <w:sz w:val="19"/>
          <w:szCs w:val="19"/>
        </w:rPr>
        <w:t xml:space="preserve">IROS</w:t>
      </w:r>
      <w:r>
        <w:rPr>
          <w:rFonts w:ascii="Cambria" w:cs="Cambria" w:eastAsia="Cambria" w:hAnsi="Cambria"/>
          <w:color w:val="1A1A1A"/>
          <w:sz w:val="19"/>
          <w:szCs w:val="19"/>
        </w:rPr>
        <w:t xml:space="preserve">, 2017.</w:t>
      </w:r>
    </w:p>
    <w:p>
      <w:pPr>
        <w:spacing w:after="80" w:line="264"/>
        <w:ind w:left="576" w:hanging="576"/>
      </w:pPr>
      <w:r>
        <w:rPr>
          <w:rFonts w:ascii="Cambria" w:cs="Cambria" w:eastAsia="Cambria" w:hAnsi="Cambria"/>
          <w:color w:val="1A1A1A"/>
          <w:sz w:val="19"/>
          <w:szCs w:val="19"/>
        </w:rPr>
        <w:t xml:space="preserve">[17]  OpenAI et al., “Solving Rubik’s Cube with a Robot Hand,” 2019.</w:t>
      </w:r>
    </w:p>
    <w:p>
      <w:pPr>
        <w:spacing w:after="80" w:line="264"/>
        <w:ind w:left="576" w:hanging="576"/>
      </w:pPr>
      <w:r>
        <w:rPr>
          <w:rFonts w:ascii="Cambria" w:cs="Cambria" w:eastAsia="Cambria" w:hAnsi="Cambria"/>
          <w:color w:val="1A1A1A"/>
          <w:sz w:val="19"/>
          <w:szCs w:val="19"/>
        </w:rPr>
        <w:t xml:space="preserve">[18]  J. Hwangbo et al., “Learning agile and dynamic motor skills for legged robots,” </w:t>
      </w:r>
      <w:r>
        <w:rPr>
          <w:rFonts w:ascii="Cambria" w:cs="Cambria" w:eastAsia="Cambria" w:hAnsi="Cambria"/>
          <w:i/>
          <w:iCs/>
          <w:color w:val="1A1A1A"/>
          <w:sz w:val="19"/>
          <w:szCs w:val="19"/>
        </w:rPr>
        <w:t xml:space="preserve">Science Robotics</w:t>
      </w:r>
      <w:r>
        <w:rPr>
          <w:rFonts w:ascii="Cambria" w:cs="Cambria" w:eastAsia="Cambria" w:hAnsi="Cambria"/>
          <w:color w:val="1A1A1A"/>
          <w:sz w:val="19"/>
          <w:szCs w:val="19"/>
        </w:rPr>
        <w:t xml:space="preserve">, 4(26), 2019.</w:t>
      </w:r>
    </w:p>
    <w:p>
      <w:pPr>
        <w:spacing w:after="80" w:line="264"/>
        <w:ind w:left="576" w:hanging="576"/>
      </w:pPr>
      <w:r>
        <w:rPr>
          <w:rFonts w:ascii="Cambria" w:cs="Cambria" w:eastAsia="Cambria" w:hAnsi="Cambria"/>
          <w:color w:val="1A1A1A"/>
          <w:sz w:val="19"/>
          <w:szCs w:val="19"/>
        </w:rPr>
        <w:t xml:space="preserve">[19]  J. Lee et al., “Learning quadrupedal locomotion over challenging terrain,” </w:t>
      </w:r>
      <w:r>
        <w:rPr>
          <w:rFonts w:ascii="Cambria" w:cs="Cambria" w:eastAsia="Cambria" w:hAnsi="Cambria"/>
          <w:i/>
          <w:iCs/>
          <w:color w:val="1A1A1A"/>
          <w:sz w:val="19"/>
          <w:szCs w:val="19"/>
        </w:rPr>
        <w:t xml:space="preserve">Science Robotics</w:t>
      </w:r>
      <w:r>
        <w:rPr>
          <w:rFonts w:ascii="Cambria" w:cs="Cambria" w:eastAsia="Cambria" w:hAnsi="Cambria"/>
          <w:color w:val="1A1A1A"/>
          <w:sz w:val="19"/>
          <w:szCs w:val="19"/>
        </w:rPr>
        <w:t xml:space="preserve">, 5(47), 2020.</w:t>
      </w:r>
    </w:p>
    <w:p>
      <w:pPr>
        <w:spacing w:after="80" w:line="264"/>
        <w:ind w:left="576" w:hanging="576"/>
      </w:pPr>
      <w:r>
        <w:rPr>
          <w:rFonts w:ascii="Cambria" w:cs="Cambria" w:eastAsia="Cambria" w:hAnsi="Cambria"/>
          <w:color w:val="1A1A1A"/>
          <w:sz w:val="19"/>
          <w:szCs w:val="19"/>
        </w:rPr>
        <w:t xml:space="preserve">[20]  V. Makoviychuk et al., “Isaac Gym: High Performance GPU-Based Physics Simulation for Robot Learning,” 2021.</w:t>
      </w:r>
    </w:p>
    <w:p>
      <w:pPr>
        <w:spacing w:after="80" w:line="264"/>
        <w:ind w:left="576" w:hanging="576"/>
      </w:pPr>
      <w:r>
        <w:rPr>
          <w:rFonts w:ascii="Cambria" w:cs="Cambria" w:eastAsia="Cambria" w:hAnsi="Cambria"/>
          <w:color w:val="1A1A1A"/>
          <w:sz w:val="19"/>
          <w:szCs w:val="19"/>
        </w:rPr>
        <w:t xml:space="preserve">[21]  N. Rudin et al., “Learning to Walk in Minutes Using Massively Parallel Deep Reinforcement Learning,” </w:t>
      </w:r>
      <w:r>
        <w:rPr>
          <w:rFonts w:ascii="Cambria" w:cs="Cambria" w:eastAsia="Cambria" w:hAnsi="Cambria"/>
          <w:i/>
          <w:iCs/>
          <w:color w:val="1A1A1A"/>
          <w:sz w:val="19"/>
          <w:szCs w:val="19"/>
        </w:rPr>
        <w:t xml:space="preserve">CoRL</w:t>
      </w:r>
      <w:r>
        <w:rPr>
          <w:rFonts w:ascii="Cambria" w:cs="Cambria" w:eastAsia="Cambria" w:hAnsi="Cambria"/>
          <w:color w:val="1A1A1A"/>
          <w:sz w:val="19"/>
          <w:szCs w:val="19"/>
        </w:rPr>
        <w:t xml:space="preserve">, 2022.</w:t>
      </w:r>
    </w:p>
    <w:p>
      <w:pPr>
        <w:spacing w:after="80" w:line="264"/>
        <w:ind w:left="576" w:hanging="576"/>
      </w:pPr>
      <w:r>
        <w:rPr>
          <w:rFonts w:ascii="Cambria" w:cs="Cambria" w:eastAsia="Cambria" w:hAnsi="Cambria"/>
          <w:color w:val="1A1A1A"/>
          <w:sz w:val="19"/>
          <w:szCs w:val="19"/>
        </w:rPr>
        <w:t xml:space="preserve">[22]  E. Todorov, T. Erez and Y. Tassa, “MuJoCo: A physics engine for model-based control,” </w:t>
      </w:r>
      <w:r>
        <w:rPr>
          <w:rFonts w:ascii="Cambria" w:cs="Cambria" w:eastAsia="Cambria" w:hAnsi="Cambria"/>
          <w:i/>
          <w:iCs/>
          <w:color w:val="1A1A1A"/>
          <w:sz w:val="19"/>
          <w:szCs w:val="19"/>
        </w:rPr>
        <w:t xml:space="preserve">IROS</w:t>
      </w:r>
      <w:r>
        <w:rPr>
          <w:rFonts w:ascii="Cambria" w:cs="Cambria" w:eastAsia="Cambria" w:hAnsi="Cambria"/>
          <w:color w:val="1A1A1A"/>
          <w:sz w:val="19"/>
          <w:szCs w:val="19"/>
        </w:rPr>
        <w:t xml:space="preserve">, 2012.</w:t>
      </w:r>
    </w:p>
    <w:p>
      <w:pPr>
        <w:spacing w:after="80" w:line="264"/>
        <w:ind w:left="576" w:hanging="576"/>
      </w:pPr>
      <w:r>
        <w:rPr>
          <w:rFonts w:ascii="Cambria" w:cs="Cambria" w:eastAsia="Cambria" w:hAnsi="Cambria"/>
          <w:color w:val="1A1A1A"/>
          <w:sz w:val="19"/>
          <w:szCs w:val="19"/>
        </w:rPr>
        <w:t xml:space="preserve">[23]  M. Mittal et al., “Orbit: A Unified Simulation Framework for Interactive Robot Learning Environments,” </w:t>
      </w:r>
      <w:r>
        <w:rPr>
          <w:rFonts w:ascii="Cambria" w:cs="Cambria" w:eastAsia="Cambria" w:hAnsi="Cambria"/>
          <w:i/>
          <w:iCs/>
          <w:color w:val="1A1A1A"/>
          <w:sz w:val="19"/>
          <w:szCs w:val="19"/>
        </w:rPr>
        <w:t xml:space="preserve">IEEE Robotics and Automation Letters</w:t>
      </w:r>
      <w:r>
        <w:rPr>
          <w:rFonts w:ascii="Cambria" w:cs="Cambria" w:eastAsia="Cambria" w:hAnsi="Cambria"/>
          <w:color w:val="1A1A1A"/>
          <w:sz w:val="19"/>
          <w:szCs w:val="19"/>
        </w:rPr>
        <w:t xml:space="preserve">, 2023.</w:t>
      </w:r>
    </w:p>
    <w:p>
      <w:pPr>
        <w:spacing w:after="80" w:line="264"/>
        <w:ind w:left="576" w:hanging="576"/>
      </w:pPr>
      <w:r>
        <w:rPr>
          <w:rFonts w:ascii="Cambria" w:cs="Cambria" w:eastAsia="Cambria" w:hAnsi="Cambria"/>
          <w:color w:val="1A1A1A"/>
          <w:sz w:val="19"/>
          <w:szCs w:val="19"/>
        </w:rPr>
        <w:t xml:space="preserve">[24]  Open X-Embodiment Collaboration, “Open X-Embodiment: Robotic Learning Datasets and RT-X Models,” 2023.</w:t>
      </w:r>
    </w:p>
    <w:p>
      <w:pPr>
        <w:spacing w:after="120" w:line="276"/>
      </w:pPr>
      <w:r>
        <w:rPr>
          <w:rFonts w:ascii="Cambria" w:cs="Cambria" w:eastAsia="Cambria" w:hAnsi="Cambria"/>
          <w:i/>
          <w:iCs/>
          <w:color w:val="555555"/>
          <w:sz w:val="18"/>
          <w:szCs w:val="18"/>
        </w:rPr>
        <w:t xml:space="preserve">Market and deployment figures cited in §7.3 derive from industry trackers and vendor disclosures current to mid-2026; see §11 for the associated reliability caveats.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Programs to Policies</dc:title>
  <cp:lastModifiedBy>Un-named</cp:lastModifiedBy>
  <cp:revision>1</cp:revision>
  <dcterms:created xsi:type="dcterms:W3CDTF">2026-09-07T12:20:28.249Z</dcterms:created>
  <dcterms:modified xsi:type="dcterms:W3CDTF">2026-09-07T12:20:28.249Z</dcterms:modified>
</cp:coreProperties>
</file>

<file path=docProps/custom.xml><?xml version="1.0" encoding="utf-8"?>
<Properties xmlns="http://schemas.openxmlformats.org/officeDocument/2006/custom-properties" xmlns:vt="http://schemas.openxmlformats.org/officeDocument/2006/docPropsVTypes"/>
</file>