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三数据处理"/>
    <w:p>
      <w:pPr>
        <w:pStyle w:val="Heading4"/>
      </w:pPr>
      <w:r>
        <w:t xml:space="preserve">三、数据处理</w:t>
      </w:r>
    </w:p>
    <w:p>
      <w:pPr>
        <w:pStyle w:val="FirstParagraph"/>
      </w:pPr>
      <w:r>
        <w:t xml:space="preserve">油滴所带电荷量表达式为</w:t>
      </w:r>
    </w:p>
    <w:p>
      <w:pPr>
        <w:pStyle w:val="BodyText"/>
      </w:pPr>
      <m:oMathPara>
        <m:oMathParaPr>
          <m:jc m:val="center"/>
        </m:oMathParaPr>
        <m:oMath>
          <m:r>
            <m:t>q</m:t>
          </m:r>
          <m:r>
            <m:rPr>
              <m:sty m:val="p"/>
            </m:rPr>
            <m:t>=</m:t>
          </m:r>
          <m:f>
            <m:fPr>
              <m:type m:val="bar"/>
            </m:fPr>
            <m:num>
              <m:r>
                <m:t>18</m:t>
              </m:r>
              <m:r>
                <m:t>π</m:t>
              </m:r>
            </m:num>
            <m:den>
              <m:rad>
                <m:radPr>
                  <m:degHide m:val="1"/>
                </m:radPr>
                <m:deg/>
                <m:e>
                  <m:r>
                    <m:t>2</m:t>
                  </m:r>
                  <m:r>
                    <m:t>g</m:t>
                  </m:r>
                  <m:r>
                    <m:t>ρ</m:t>
                  </m:r>
                </m:e>
              </m:rad>
            </m:den>
          </m:f>
          <m:r>
            <m:rPr>
              <m:sty m:val="p"/>
            </m:rPr>
            <m:t>⋅</m:t>
          </m:r>
          <m:f>
            <m:fPr>
              <m:type m:val="bar"/>
            </m:fPr>
            <m:num>
              <m:r>
                <m:t>d</m:t>
              </m:r>
            </m:num>
            <m:den>
              <m:sSub>
                <m:e>
                  <m:r>
                    <m:t>U</m:t>
                  </m:r>
                </m:e>
                <m:sub>
                  <m:r>
                    <m:t>n</m:t>
                  </m:r>
                </m:sub>
              </m:sSub>
            </m:den>
          </m:f>
          <m:sSup>
            <m:e>
              <m:d>
                <m:dPr>
                  <m:begChr m:val="["/>
                  <m:endChr m:val="]"/>
                  <m:sepChr m:val=""/>
                  <m:grow/>
                </m:dPr>
                <m:e>
                  <m:f>
                    <m:fPr>
                      <m:type m:val="bar"/>
                    </m:fPr>
                    <m:num>
                      <m:r>
                        <m:t>η</m:t>
                      </m:r>
                      <m:r>
                        <m:t>l</m:t>
                      </m:r>
                    </m:num>
                    <m:den>
                      <m:r>
                        <m:t>t</m:t>
                      </m:r>
                      <m:d>
                        <m:dPr>
                          <m:begChr m:val="("/>
                          <m:endChr m:val=")"/>
                          <m:sepChr m:val=""/>
                          <m:grow/>
                        </m:dPr>
                        <m:e>
                          <m:r>
                            <m:t>1</m:t>
                          </m:r>
                          <m:r>
                            <m:rPr>
                              <m:sty m:val="p"/>
                            </m:rPr>
                            <m:t>+</m:t>
                          </m:r>
                          <m:f>
                            <m:fPr>
                              <m:type m:val="bar"/>
                            </m:fPr>
                            <m:num>
                              <m:r>
                                <m:t>b</m:t>
                              </m:r>
                            </m:num>
                            <m:den>
                              <m:r>
                                <m:t>p</m:t>
                              </m:r>
                            </m:den>
                          </m:f>
                          <m:rad>
                            <m:radPr>
                              <m:degHide m:val="1"/>
                            </m:radPr>
                            <m:deg/>
                            <m:e>
                              <m:f>
                                <m:fPr>
                                  <m:type m:val="bar"/>
                                </m:fPr>
                                <m:num>
                                  <m:r>
                                    <m:t>2</m:t>
                                  </m:r>
                                  <m:r>
                                    <m:t>g</m:t>
                                  </m:r>
                                  <m:r>
                                    <m:t>ρ</m:t>
                                  </m:r>
                                  <m:r>
                                    <m:t>t</m:t>
                                  </m:r>
                                </m:num>
                                <m:den>
                                  <m:r>
                                    <m:t>9</m:t>
                                  </m:r>
                                  <m:r>
                                    <m:t>η</m:t>
                                  </m:r>
                                  <m:r>
                                    <m:t>l</m:t>
                                  </m:r>
                                </m:den>
                              </m:f>
                            </m:e>
                          </m:rad>
                        </m:e>
                      </m:d>
                    </m:den>
                  </m:f>
                </m:e>
              </m:d>
            </m:e>
            <m:sup>
              <m:f>
                <m:fPr>
                  <m:type m:val="bar"/>
                </m:fPr>
                <m:num>
                  <m:r>
                    <m:t>3</m:t>
                  </m:r>
                </m:num>
                <m:den>
                  <m:r>
                    <m:t>2</m:t>
                  </m:r>
                </m:den>
              </m:f>
            </m:sup>
          </m:sSup>
          <m:r>
            <m:t>  </m:t>
          </m:r>
          <m:r>
            <m:rPr>
              <m:nor/>
              <m:sty m:val="p"/>
            </m:rPr>
            <m:t>(1)</m:t>
          </m:r>
        </m:oMath>
      </m:oMathPara>
    </w:p>
    <w:p>
      <w:pPr>
        <w:pStyle w:val="FirstParagraph"/>
      </w:pPr>
      <w:r>
        <w:t xml:space="preserve">其中已知的常数如下：</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指导书数据及单位</w:t>
            </w:r>
          </w:p>
        </w:tc>
        <w:tc>
          <w:tcPr/>
          <w:p>
            <w:pPr>
              <w:pStyle w:val="Compact"/>
              <w:jc w:val="left"/>
            </w:pPr>
            <w:r>
              <w:t xml:space="preserve">数值</w:t>
            </w:r>
          </w:p>
        </w:tc>
      </w:tr>
      <w:tr>
        <w:tc>
          <w:tcPr/>
          <w:p>
            <w:pPr>
              <w:pStyle w:val="Compact"/>
              <w:jc w:val="left"/>
            </w:pPr>
            <w:r>
              <w:t xml:space="preserve">油滴密度ρ = 981 kg·m-3</w:t>
            </w:r>
          </w:p>
        </w:tc>
        <w:tc>
          <w:tcPr/>
          <w:p>
            <w:pPr>
              <w:pStyle w:val="Compact"/>
              <w:jc w:val="left"/>
            </w:pPr>
            <w:r>
              <w:t xml:space="preserve">9.8100E+02</w:t>
            </w:r>
          </w:p>
        </w:tc>
      </w:tr>
      <w:tr>
        <w:tc>
          <w:tcPr/>
          <w:p>
            <w:pPr>
              <w:pStyle w:val="Compact"/>
              <w:jc w:val="left"/>
            </w:pPr>
            <w:r>
              <w:t xml:space="preserve">重力加速度：g = 9.78 m·s-2</w:t>
            </w:r>
          </w:p>
        </w:tc>
        <w:tc>
          <w:tcPr/>
          <w:p>
            <w:pPr>
              <w:pStyle w:val="Compact"/>
              <w:jc w:val="left"/>
            </w:pPr>
            <w:r>
              <w:t xml:space="preserve">9.7800E+00</w:t>
            </w:r>
          </w:p>
        </w:tc>
      </w:tr>
      <w:tr>
        <w:tc>
          <w:tcPr/>
          <w:p>
            <w:pPr>
              <w:pStyle w:val="Compact"/>
              <w:jc w:val="left"/>
            </w:pPr>
            <w:r>
              <w:t xml:space="preserve">空气粘度系数：η = 1.83×10-5·kg·m-1·s-1</w:t>
            </w:r>
          </w:p>
        </w:tc>
        <w:tc>
          <w:tcPr/>
          <w:p>
            <w:pPr>
              <w:pStyle w:val="Compact"/>
              <w:jc w:val="left"/>
            </w:pPr>
            <w:r>
              <w:t xml:space="preserve">1.8300E-05</w:t>
            </w:r>
          </w:p>
        </w:tc>
      </w:tr>
      <w:tr>
        <w:tc>
          <w:tcPr/>
          <w:p>
            <w:pPr>
              <w:pStyle w:val="Compact"/>
              <w:jc w:val="left"/>
            </w:pPr>
            <w:r>
              <w:t xml:space="preserve">油滴匀速下降距离：l = 1.60×10-3m</w:t>
            </w:r>
          </w:p>
        </w:tc>
        <w:tc>
          <w:tcPr/>
          <w:p>
            <w:pPr>
              <w:pStyle w:val="Compact"/>
              <w:jc w:val="left"/>
            </w:pPr>
            <w:r>
              <w:t xml:space="preserve">1.6000E-03</w:t>
            </w:r>
          </w:p>
        </w:tc>
      </w:tr>
      <w:tr>
        <w:tc>
          <w:tcPr/>
          <w:p>
            <w:pPr>
              <w:pStyle w:val="Compact"/>
              <w:jc w:val="left"/>
            </w:pPr>
            <w:r>
              <w:t xml:space="preserve">修正常数：b = 8.22×10-3m·Pa</w:t>
            </w:r>
          </w:p>
        </w:tc>
        <w:tc>
          <w:tcPr/>
          <w:p>
            <w:pPr>
              <w:pStyle w:val="Compact"/>
              <w:jc w:val="left"/>
            </w:pPr>
            <w:r>
              <w:t xml:space="preserve">8.2200E-03</w:t>
            </w:r>
          </w:p>
        </w:tc>
      </w:tr>
      <w:tr>
        <w:tc>
          <w:tcPr/>
          <w:p>
            <w:pPr>
              <w:pStyle w:val="Compact"/>
              <w:jc w:val="left"/>
            </w:pPr>
            <w:r>
              <w:t xml:space="preserve">大气压强（深圳）：P = 1.0098×105 Pa</w:t>
            </w:r>
          </w:p>
        </w:tc>
        <w:tc>
          <w:tcPr/>
          <w:p>
            <w:pPr>
              <w:pStyle w:val="Compact"/>
              <w:jc w:val="left"/>
            </w:pPr>
            <w:r>
              <w:t xml:space="preserve">1.0098E+05</w:t>
            </w:r>
          </w:p>
        </w:tc>
      </w:tr>
      <w:tr>
        <w:tc>
          <w:tcPr/>
          <w:p>
            <w:pPr>
              <w:pStyle w:val="Compact"/>
              <w:jc w:val="left"/>
            </w:pPr>
            <w:r>
              <w:t xml:space="preserve">平行极板距离： d = 5.00×10-3m</w:t>
            </w:r>
          </w:p>
        </w:tc>
        <w:tc>
          <w:tcPr/>
          <w:p>
            <w:pPr>
              <w:pStyle w:val="Compact"/>
              <w:jc w:val="left"/>
            </w:pPr>
            <w:r>
              <w:t xml:space="preserve">5.0000E-03</w:t>
            </w:r>
          </w:p>
        </w:tc>
      </w:tr>
      <w:tr>
        <w:tc>
          <w:tcPr/>
          <w:p>
            <w:pPr>
              <w:pStyle w:val="Compact"/>
              <w:jc w:val="left"/>
            </w:pPr>
            <w:r>
              <w:t xml:space="preserve">元电荷e</w:t>
            </w:r>
          </w:p>
        </w:tc>
        <w:tc>
          <w:tcPr/>
          <w:p>
            <w:pPr>
              <w:pStyle w:val="Compact"/>
              <w:jc w:val="left"/>
            </w:pPr>
            <w:r>
              <w:t xml:space="preserve">1.6020E-19</w:t>
            </w:r>
          </w:p>
        </w:tc>
      </w:tr>
    </w:tbl>
    <w:p>
      <w:pPr>
        <w:pStyle w:val="BodyText"/>
      </w:pPr>
      <w:r>
        <w:t xml:space="preserve">由此，在Excel中计算所得数据结果及原始数据如下，其中电荷量在Excel中计算公式为</w:t>
      </w:r>
    </w:p>
    <w:p>
      <w:pPr>
        <w:pStyle w:val="BodyText"/>
      </w:pPr>
      <w:r>
        <w:rPr>
          <w:rStyle w:val="VerbatimChar"/>
        </w:rPr>
        <w:t xml:space="preserve">18*PI()*$B$9/(SQRT(2*$B$4*$B$3)*E13)*($B$5*$B$6/(F13*(1+$B$7/$B$8*SQRT(2*$B$4*$B$3*F13/(9*$B$5*$B$6)))))^1.5</w:t>
      </w:r>
    </w:p>
    <w:p>
      <w:pPr>
        <w:pStyle w:val="BodyText"/>
      </w:pP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油滴</w:t>
            </w:r>
          </w:p>
        </w:tc>
        <w:tc>
          <w:tcPr/>
          <w:p>
            <w:pPr>
              <w:pStyle w:val="Compact"/>
              <w:jc w:val="left"/>
            </w:pPr>
            <w:r>
              <w:t xml:space="preserve">次数i</w:t>
            </w:r>
          </w:p>
        </w:tc>
        <w:tc>
          <w:tcPr/>
          <w:p>
            <w:pPr>
              <w:pStyle w:val="Compact"/>
              <w:jc w:val="left"/>
            </w:pPr>
            <w:r>
              <w:t xml:space="preserve">平衡Un(V)</w:t>
            </w:r>
          </w:p>
        </w:tc>
        <w:tc>
          <w:tcPr/>
          <w:p>
            <w:pPr>
              <w:pStyle w:val="Compact"/>
              <w:jc w:val="left"/>
            </w:pPr>
            <w:r>
              <w:t xml:space="preserve">下落t(s)</w:t>
            </w:r>
          </w:p>
        </w:tc>
        <w:tc>
          <w:tcPr/>
          <w:p>
            <w:pPr>
              <w:pStyle w:val="Compact"/>
              <w:jc w:val="left"/>
            </w:pPr>
            <w:r>
              <w:t xml:space="preserve">电荷量qi(C)</w:t>
            </w:r>
          </w:p>
        </w:tc>
        <w:tc>
          <w:tcPr/>
          <w:p>
            <w:pPr>
              <w:pStyle w:val="Compact"/>
              <w:jc w:val="left"/>
            </w:pPr>
            <w:r>
              <w:t xml:space="preserve">平均值</w:t>
            </w:r>
          </w:p>
        </w:tc>
        <w:tc>
          <w:tcPr/>
          <w:p>
            <w:pPr>
              <w:pStyle w:val="Compact"/>
              <w:jc w:val="left"/>
            </w:pPr>
            <w:r>
              <w:t xml:space="preserve">qi/e</w:t>
            </w:r>
          </w:p>
        </w:tc>
        <w:tc>
          <w:tcPr/>
          <w:p>
            <w:pPr>
              <w:pStyle w:val="Compact"/>
              <w:jc w:val="left"/>
            </w:pPr>
            <w:r>
              <w:t xml:space="preserve">近似N</w:t>
            </w:r>
          </w:p>
        </w:tc>
        <w:tc>
          <w:tcPr/>
          <w:p>
            <w:pPr>
              <w:pStyle w:val="Compact"/>
              <w:jc w:val="left"/>
            </w:pPr>
            <w:r>
              <w:t xml:space="preserve">e测量=qi/N</w:t>
            </w:r>
          </w:p>
        </w:tc>
        <w:tc>
          <w:tcPr/>
          <w:p>
            <w:pPr>
              <w:pStyle w:val="Compact"/>
              <w:jc w:val="left"/>
            </w:pPr>
            <w:r>
              <w:t xml:space="preserve">相对误差(%)</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83</w:t>
            </w:r>
          </w:p>
        </w:tc>
        <w:tc>
          <w:tcPr/>
          <w:p>
            <w:pPr>
              <w:pStyle w:val="Compact"/>
              <w:jc w:val="left"/>
            </w:pPr>
            <w:r>
              <w:t xml:space="preserve">23.89</w:t>
            </w:r>
          </w:p>
        </w:tc>
        <w:tc>
          <w:tcPr/>
          <w:p>
            <w:pPr>
              <w:pStyle w:val="Compact"/>
              <w:jc w:val="left"/>
            </w:pPr>
            <w:r>
              <w:t xml:space="preserve">9.055E-19</w:t>
            </w:r>
          </w:p>
        </w:tc>
        <w:tc>
          <w:tcPr/>
          <w:p>
            <w:pPr>
              <w:pStyle w:val="Compact"/>
              <w:jc w:val="left"/>
            </w:pPr>
            <w:r>
              <w:t xml:space="preserve">9.506E-19</w:t>
            </w:r>
          </w:p>
        </w:tc>
        <w:tc>
          <w:tcPr/>
          <w:p>
            <w:pPr>
              <w:pStyle w:val="Compact"/>
              <w:jc w:val="left"/>
            </w:pPr>
            <w:r>
              <w:t xml:space="preserve">5.934</w:t>
            </w:r>
          </w:p>
        </w:tc>
        <w:tc>
          <w:tcPr/>
          <w:p>
            <w:pPr>
              <w:pStyle w:val="Compact"/>
              <w:jc w:val="left"/>
            </w:pPr>
            <w:r>
              <w:t xml:space="preserve">6.00</w:t>
            </w:r>
          </w:p>
        </w:tc>
        <w:tc>
          <w:tcPr/>
          <w:p>
            <w:pPr>
              <w:pStyle w:val="Compact"/>
              <w:jc w:val="left"/>
            </w:pPr>
            <w:r>
              <w:t xml:space="preserve">1.584E-19</w:t>
            </w:r>
          </w:p>
        </w:tc>
        <w:tc>
          <w:tcPr/>
          <w:p>
            <w:pPr>
              <w:pStyle w:val="Compact"/>
              <w:jc w:val="left"/>
            </w:pPr>
            <w:r>
              <w:t xml:space="preserve">1.10</w:t>
            </w:r>
          </w:p>
        </w:tc>
      </w:tr>
      <w:tr>
        <w:tc>
          <w:tcPr/>
          <w:p>
            <w:pPr>
              <w:pStyle w:val="Compact"/>
              <w:jc w:val="left"/>
            </w:pPr>
          </w:p>
        </w:tc>
        <w:tc>
          <w:tcPr/>
          <w:p>
            <w:pPr>
              <w:pStyle w:val="Compact"/>
              <w:jc w:val="left"/>
            </w:pPr>
            <w:r>
              <w:t xml:space="preserve">2</w:t>
            </w:r>
          </w:p>
        </w:tc>
        <w:tc>
          <w:tcPr/>
          <w:p>
            <w:pPr>
              <w:pStyle w:val="Compact"/>
              <w:jc w:val="left"/>
            </w:pPr>
            <w:r>
              <w:t xml:space="preserve">83</w:t>
            </w:r>
          </w:p>
        </w:tc>
        <w:tc>
          <w:tcPr/>
          <w:p>
            <w:pPr>
              <w:pStyle w:val="Compact"/>
              <w:jc w:val="left"/>
            </w:pPr>
            <w:r>
              <w:t xml:space="preserve">22.61</w:t>
            </w:r>
          </w:p>
        </w:tc>
        <w:tc>
          <w:tcPr/>
          <w:p>
            <w:pPr>
              <w:pStyle w:val="Compact"/>
              <w:jc w:val="left"/>
            </w:pPr>
            <w:r>
              <w:t xml:space="preserve">9.874E-19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3</w:t>
            </w:r>
          </w:p>
        </w:tc>
        <w:tc>
          <w:tcPr/>
          <w:p>
            <w:pPr>
              <w:pStyle w:val="Compact"/>
              <w:jc w:val="left"/>
            </w:pPr>
            <w:r>
              <w:t xml:space="preserve">83</w:t>
            </w:r>
          </w:p>
        </w:tc>
        <w:tc>
          <w:tcPr/>
          <w:p>
            <w:pPr>
              <w:pStyle w:val="Compact"/>
              <w:jc w:val="left"/>
            </w:pPr>
            <w:r>
              <w:t xml:space="preserve">22.57</w:t>
            </w:r>
          </w:p>
        </w:tc>
        <w:tc>
          <w:tcPr/>
          <w:p>
            <w:pPr>
              <w:pStyle w:val="Compact"/>
              <w:jc w:val="left"/>
            </w:pPr>
            <w:r>
              <w:t xml:space="preserve">9.901E-19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4</w:t>
            </w:r>
          </w:p>
        </w:tc>
        <w:tc>
          <w:tcPr/>
          <w:p>
            <w:pPr>
              <w:pStyle w:val="Compact"/>
              <w:jc w:val="left"/>
            </w:pPr>
            <w:r>
              <w:t xml:space="preserve">83</w:t>
            </w:r>
          </w:p>
        </w:tc>
        <w:tc>
          <w:tcPr/>
          <w:p>
            <w:pPr>
              <w:pStyle w:val="Compact"/>
              <w:jc w:val="left"/>
            </w:pPr>
            <w:r>
              <w:t xml:space="preserve">24.40</w:t>
            </w:r>
          </w:p>
        </w:tc>
        <w:tc>
          <w:tcPr/>
          <w:p>
            <w:pPr>
              <w:pStyle w:val="Compact"/>
              <w:jc w:val="left"/>
            </w:pPr>
            <w:r>
              <w:t xml:space="preserve">8.759E-19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5</w:t>
            </w:r>
          </w:p>
        </w:tc>
        <w:tc>
          <w:tcPr/>
          <w:p>
            <w:pPr>
              <w:pStyle w:val="Compact"/>
              <w:jc w:val="left"/>
            </w:pPr>
            <w:r>
              <w:t xml:space="preserve">83</w:t>
            </w:r>
          </w:p>
        </w:tc>
        <w:tc>
          <w:tcPr/>
          <w:p>
            <w:pPr>
              <w:pStyle w:val="Compact"/>
              <w:jc w:val="left"/>
            </w:pPr>
            <w:r>
              <w:t xml:space="preserve">22.51</w:t>
            </w:r>
          </w:p>
        </w:tc>
        <w:tc>
          <w:tcPr/>
          <w:p>
            <w:pPr>
              <w:pStyle w:val="Compact"/>
              <w:jc w:val="left"/>
            </w:pPr>
            <w:r>
              <w:t xml:space="preserve">9.943E-19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w:t>
            </w:r>
          </w:p>
        </w:tc>
        <w:tc>
          <w:tcPr/>
          <w:p>
            <w:pPr>
              <w:pStyle w:val="Compact"/>
              <w:jc w:val="left"/>
            </w:pPr>
            <w:r>
              <w:t xml:space="preserve">1</w:t>
            </w:r>
          </w:p>
        </w:tc>
        <w:tc>
          <w:tcPr/>
          <w:p>
            <w:pPr>
              <w:pStyle w:val="Compact"/>
              <w:jc w:val="left"/>
            </w:pPr>
            <w:r>
              <w:t xml:space="preserve">139</w:t>
            </w:r>
          </w:p>
        </w:tc>
        <w:tc>
          <w:tcPr/>
          <w:p>
            <w:pPr>
              <w:pStyle w:val="Compact"/>
              <w:jc w:val="left"/>
            </w:pPr>
            <w:r>
              <w:t xml:space="preserve">26.90</w:t>
            </w:r>
          </w:p>
        </w:tc>
        <w:tc>
          <w:tcPr/>
          <w:p>
            <w:pPr>
              <w:pStyle w:val="Compact"/>
              <w:jc w:val="left"/>
            </w:pPr>
            <w:r>
              <w:t xml:space="preserve">4.485E-19</w:t>
            </w:r>
          </w:p>
        </w:tc>
        <w:tc>
          <w:tcPr/>
          <w:p>
            <w:pPr>
              <w:pStyle w:val="Compact"/>
              <w:jc w:val="left"/>
            </w:pPr>
            <w:r>
              <w:t xml:space="preserve">4.598E-19</w:t>
            </w:r>
          </w:p>
        </w:tc>
        <w:tc>
          <w:tcPr/>
          <w:p>
            <w:pPr>
              <w:pStyle w:val="Compact"/>
              <w:jc w:val="left"/>
            </w:pPr>
            <w:r>
              <w:t xml:space="preserve">2.870</w:t>
            </w:r>
          </w:p>
        </w:tc>
        <w:tc>
          <w:tcPr/>
          <w:p>
            <w:pPr>
              <w:pStyle w:val="Compact"/>
              <w:jc w:val="left"/>
            </w:pPr>
            <w:r>
              <w:t xml:space="preserve">3.00</w:t>
            </w:r>
          </w:p>
        </w:tc>
        <w:tc>
          <w:tcPr/>
          <w:p>
            <w:pPr>
              <w:pStyle w:val="Compact"/>
              <w:jc w:val="left"/>
            </w:pPr>
            <w:r>
              <w:t xml:space="preserve">1.533E-19</w:t>
            </w:r>
          </w:p>
        </w:tc>
        <w:tc>
          <w:tcPr/>
          <w:p>
            <w:pPr>
              <w:pStyle w:val="Compact"/>
              <w:jc w:val="left"/>
            </w:pPr>
            <w:r>
              <w:t xml:space="preserve">4.33</w:t>
            </w:r>
          </w:p>
        </w:tc>
      </w:tr>
      <w:tr>
        <w:tc>
          <w:tcPr/>
          <w:p>
            <w:pPr>
              <w:pStyle w:val="Compact"/>
              <w:jc w:val="left"/>
            </w:pPr>
          </w:p>
        </w:tc>
        <w:tc>
          <w:tcPr/>
          <w:p>
            <w:pPr>
              <w:pStyle w:val="Compact"/>
              <w:jc w:val="left"/>
            </w:pPr>
            <w:r>
              <w:t xml:space="preserve">2</w:t>
            </w:r>
          </w:p>
        </w:tc>
        <w:tc>
          <w:tcPr/>
          <w:p>
            <w:pPr>
              <w:pStyle w:val="Compact"/>
              <w:jc w:val="left"/>
            </w:pPr>
            <w:r>
              <w:t xml:space="preserve">139</w:t>
            </w:r>
          </w:p>
        </w:tc>
        <w:tc>
          <w:tcPr/>
          <w:p>
            <w:pPr>
              <w:pStyle w:val="Compact"/>
              <w:jc w:val="left"/>
            </w:pPr>
            <w:r>
              <w:t xml:space="preserve">27.00</w:t>
            </w:r>
          </w:p>
        </w:tc>
        <w:tc>
          <w:tcPr/>
          <w:p>
            <w:pPr>
              <w:pStyle w:val="Compact"/>
              <w:jc w:val="left"/>
            </w:pPr>
            <w:r>
              <w:t xml:space="preserve">4.459E-19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3</w:t>
            </w:r>
          </w:p>
        </w:tc>
        <w:tc>
          <w:tcPr/>
          <w:p>
            <w:pPr>
              <w:pStyle w:val="Compact"/>
              <w:jc w:val="left"/>
            </w:pPr>
            <w:r>
              <w:t xml:space="preserve">137</w:t>
            </w:r>
          </w:p>
        </w:tc>
        <w:tc>
          <w:tcPr/>
          <w:p>
            <w:pPr>
              <w:pStyle w:val="Compact"/>
              <w:jc w:val="left"/>
            </w:pPr>
            <w:r>
              <w:t xml:space="preserve">25.91</w:t>
            </w:r>
          </w:p>
        </w:tc>
        <w:tc>
          <w:tcPr/>
          <w:p>
            <w:pPr>
              <w:pStyle w:val="Compact"/>
              <w:jc w:val="left"/>
            </w:pPr>
            <w:r>
              <w:t xml:space="preserve">4.828E-19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4</w:t>
            </w:r>
          </w:p>
        </w:tc>
        <w:tc>
          <w:tcPr/>
          <w:p>
            <w:pPr>
              <w:pStyle w:val="Compact"/>
              <w:jc w:val="left"/>
            </w:pPr>
            <w:r>
              <w:t xml:space="preserve">137</w:t>
            </w:r>
          </w:p>
        </w:tc>
        <w:tc>
          <w:tcPr/>
          <w:p>
            <w:pPr>
              <w:pStyle w:val="Compact"/>
              <w:jc w:val="left"/>
            </w:pPr>
            <w:r>
              <w:t xml:space="preserve">26.40</w:t>
            </w:r>
          </w:p>
        </w:tc>
        <w:tc>
          <w:tcPr/>
          <w:p>
            <w:pPr>
              <w:pStyle w:val="Compact"/>
              <w:jc w:val="left"/>
            </w:pPr>
            <w:r>
              <w:t xml:space="preserve">4.687E-19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5</w:t>
            </w:r>
          </w:p>
        </w:tc>
        <w:tc>
          <w:tcPr/>
          <w:p>
            <w:pPr>
              <w:pStyle w:val="Compact"/>
              <w:jc w:val="left"/>
            </w:pPr>
            <w:r>
              <w:t xml:space="preserve">136</w:t>
            </w:r>
          </w:p>
        </w:tc>
        <w:tc>
          <w:tcPr/>
          <w:p>
            <w:pPr>
              <w:pStyle w:val="Compact"/>
              <w:jc w:val="left"/>
            </w:pPr>
            <w:r>
              <w:t xml:space="preserve">27.11</w:t>
            </w:r>
          </w:p>
        </w:tc>
        <w:tc>
          <w:tcPr/>
          <w:p>
            <w:pPr>
              <w:pStyle w:val="Compact"/>
              <w:jc w:val="left"/>
            </w:pPr>
            <w:r>
              <w:t xml:space="preserve">4.528E-19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159</w:t>
            </w:r>
          </w:p>
        </w:tc>
        <w:tc>
          <w:tcPr/>
          <w:p>
            <w:pPr>
              <w:pStyle w:val="Compact"/>
              <w:jc w:val="left"/>
            </w:pPr>
            <w:r>
              <w:t xml:space="preserve">24.17</w:t>
            </w:r>
          </w:p>
        </w:tc>
        <w:tc>
          <w:tcPr/>
          <w:p>
            <w:pPr>
              <w:pStyle w:val="Compact"/>
              <w:jc w:val="left"/>
            </w:pPr>
            <w:r>
              <w:t xml:space="preserve">4.641E-19</w:t>
            </w:r>
          </w:p>
        </w:tc>
        <w:tc>
          <w:tcPr/>
          <w:p>
            <w:pPr>
              <w:pStyle w:val="Compact"/>
              <w:jc w:val="left"/>
            </w:pPr>
            <w:r>
              <w:t xml:space="preserve">4.581E-19</w:t>
            </w:r>
          </w:p>
        </w:tc>
        <w:tc>
          <w:tcPr/>
          <w:p>
            <w:pPr>
              <w:pStyle w:val="Compact"/>
              <w:jc w:val="left"/>
            </w:pPr>
            <w:r>
              <w:t xml:space="preserve">2.860</w:t>
            </w:r>
          </w:p>
        </w:tc>
        <w:tc>
          <w:tcPr/>
          <w:p>
            <w:pPr>
              <w:pStyle w:val="Compact"/>
              <w:jc w:val="left"/>
            </w:pPr>
            <w:r>
              <w:t xml:space="preserve">3.00</w:t>
            </w:r>
          </w:p>
        </w:tc>
        <w:tc>
          <w:tcPr/>
          <w:p>
            <w:pPr>
              <w:pStyle w:val="Compact"/>
              <w:jc w:val="left"/>
            </w:pPr>
            <w:r>
              <w:t xml:space="preserve">1.527E-19</w:t>
            </w:r>
          </w:p>
        </w:tc>
        <w:tc>
          <w:tcPr/>
          <w:p>
            <w:pPr>
              <w:pStyle w:val="Compact"/>
              <w:jc w:val="left"/>
            </w:pPr>
            <w:r>
              <w:t xml:space="preserve">4.68</w:t>
            </w:r>
          </w:p>
        </w:tc>
      </w:tr>
      <w:tr>
        <w:tc>
          <w:tcPr/>
          <w:p>
            <w:pPr>
              <w:pStyle w:val="Compact"/>
              <w:jc w:val="left"/>
            </w:pPr>
          </w:p>
        </w:tc>
        <w:tc>
          <w:tcPr/>
          <w:p>
            <w:pPr>
              <w:pStyle w:val="Compact"/>
              <w:jc w:val="left"/>
            </w:pPr>
            <w:r>
              <w:t xml:space="preserve">2</w:t>
            </w:r>
          </w:p>
        </w:tc>
        <w:tc>
          <w:tcPr/>
          <w:p>
            <w:pPr>
              <w:pStyle w:val="Compact"/>
              <w:jc w:val="left"/>
            </w:pPr>
            <w:r>
              <w:t xml:space="preserve">159</w:t>
            </w:r>
          </w:p>
        </w:tc>
        <w:tc>
          <w:tcPr/>
          <w:p>
            <w:pPr>
              <w:pStyle w:val="Compact"/>
              <w:jc w:val="left"/>
            </w:pPr>
            <w:r>
              <w:t xml:space="preserve">23.21</w:t>
            </w:r>
          </w:p>
        </w:tc>
        <w:tc>
          <w:tcPr/>
          <w:p>
            <w:pPr>
              <w:pStyle w:val="Compact"/>
              <w:jc w:val="left"/>
            </w:pPr>
            <w:r>
              <w:t xml:space="preserve">4.946E-19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3</w:t>
            </w:r>
          </w:p>
        </w:tc>
        <w:tc>
          <w:tcPr/>
          <w:p>
            <w:pPr>
              <w:pStyle w:val="Compact"/>
              <w:jc w:val="left"/>
            </w:pPr>
            <w:r>
              <w:t xml:space="preserve">159</w:t>
            </w:r>
          </w:p>
        </w:tc>
        <w:tc>
          <w:tcPr/>
          <w:p>
            <w:pPr>
              <w:pStyle w:val="Compact"/>
              <w:jc w:val="left"/>
            </w:pPr>
            <w:r>
              <w:t xml:space="preserve">25.06</w:t>
            </w:r>
          </w:p>
        </w:tc>
        <w:tc>
          <w:tcPr/>
          <w:p>
            <w:pPr>
              <w:pStyle w:val="Compact"/>
              <w:jc w:val="left"/>
            </w:pPr>
            <w:r>
              <w:t xml:space="preserve">4.384E-19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4</w:t>
            </w:r>
          </w:p>
        </w:tc>
        <w:tc>
          <w:tcPr/>
          <w:p>
            <w:pPr>
              <w:pStyle w:val="Compact"/>
              <w:jc w:val="left"/>
            </w:pPr>
            <w:r>
              <w:t xml:space="preserve">159</w:t>
            </w:r>
          </w:p>
        </w:tc>
        <w:tc>
          <w:tcPr/>
          <w:p>
            <w:pPr>
              <w:pStyle w:val="Compact"/>
              <w:jc w:val="left"/>
            </w:pPr>
            <w:r>
              <w:t xml:space="preserve">24.44</w:t>
            </w:r>
          </w:p>
        </w:tc>
        <w:tc>
          <w:tcPr/>
          <w:p>
            <w:pPr>
              <w:pStyle w:val="Compact"/>
              <w:jc w:val="left"/>
            </w:pPr>
            <w:r>
              <w:t xml:space="preserve">4.561E-19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p>
        </w:tc>
        <w:tc>
          <w:tcPr/>
          <w:p>
            <w:pPr>
              <w:pStyle w:val="Compact"/>
              <w:jc w:val="left"/>
            </w:pPr>
            <w:r>
              <w:t xml:space="preserve">5</w:t>
            </w:r>
          </w:p>
        </w:tc>
        <w:tc>
          <w:tcPr/>
          <w:p>
            <w:pPr>
              <w:pStyle w:val="Compact"/>
              <w:jc w:val="left"/>
            </w:pPr>
            <w:r>
              <w:t xml:space="preserve">158</w:t>
            </w:r>
          </w:p>
        </w:tc>
        <w:tc>
          <w:tcPr/>
          <w:p>
            <w:pPr>
              <w:pStyle w:val="Compact"/>
              <w:jc w:val="left"/>
            </w:pPr>
            <w:r>
              <w:t xml:space="preserve">25.20</w:t>
            </w:r>
          </w:p>
        </w:tc>
        <w:tc>
          <w:tcPr/>
          <w:p>
            <w:pPr>
              <w:pStyle w:val="Compact"/>
              <w:jc w:val="left"/>
            </w:pPr>
            <w:r>
              <w:t xml:space="preserve">4.374E-19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bl>
    <w:p>
      <w:pPr>
        <w:pStyle w:val="BodyText"/>
      </w:pPr>
    </w:p>
    <w:bookmarkEnd w:id="20"/>
    <w:bookmarkStart w:id="21" w:name="四实验结论及现象分析"/>
    <w:p>
      <w:pPr>
        <w:pStyle w:val="Heading3"/>
      </w:pPr>
      <w:r>
        <w:t xml:space="preserve">四、实验结论及现象分析</w:t>
      </w:r>
    </w:p>
    <w:p>
      <w:pPr>
        <w:pStyle w:val="FirstParagraph"/>
      </w:pPr>
      <w:r>
        <w:t xml:space="preserve">本次实验是简化的密立根油滴实验，从本次的结果来看，由于3次结果的整数值为6,3,3，显然无法通过求最大公因数来得出正确的电荷量，要想改进需要增加测量的油滴数目。而使用这一简化的方式对我们测量结果进行验证，可以看出平衡法测量的准确度较高，相对误差低于5%。</w:t>
      </w:r>
    </w:p>
    <w:p>
      <w:pPr>
        <w:pStyle w:val="BodyText"/>
      </w:pPr>
      <w:r>
        <w:t xml:space="preserve">本次测量结果普遍偏小，一个可能的明显原因是时间测量存在人反应的延迟，导致测量时间结果偏大。</w:t>
      </w:r>
    </w:p>
    <w:p>
      <w:pPr>
        <w:pStyle w:val="BodyText"/>
      </w:pPr>
    </w:p>
    <w:bookmarkEnd w:id="21"/>
    <w:bookmarkStart w:id="22" w:name="五讨论题"/>
    <w:p>
      <w:pPr>
        <w:pStyle w:val="Heading3"/>
      </w:pPr>
      <w:r>
        <w:t xml:space="preserve">五、讨论题</w:t>
      </w:r>
    </w:p>
    <w:p>
      <w:pPr>
        <w:numPr>
          <w:ilvl w:val="0"/>
          <w:numId w:val="1001"/>
        </w:numPr>
      </w:pPr>
      <w:r>
        <w:t xml:space="preserve">当跟踪观察某一油滴时，原来清晰的像变模糊了，可能是什么原因造成的？</w:t>
      </w:r>
    </w:p>
    <w:p>
      <w:pPr>
        <w:numPr>
          <w:ilvl w:val="0"/>
          <w:numId w:val="1000"/>
        </w:numPr>
      </w:pPr>
      <w:r>
        <w:t xml:space="preserve">答：可能是油滴下落时不是竖直造成的，发生了靠近或者远离显微镜方向的运动。造成这一结果的可能原因有油滴在下落过程中和其他微小油滴发生了结合，导致位置偏离原来的方向，大小也发生变化，或者由于空气的流入导致油滴被空气吹动。</w:t>
      </w:r>
    </w:p>
    <w:p>
      <w:pPr>
        <w:numPr>
          <w:ilvl w:val="0"/>
          <w:numId w:val="1001"/>
        </w:numPr>
      </w:pPr>
      <w:r>
        <w:t xml:space="preserve">由于油的挥发，油滴的质量会不断下降。当长时间跟踪测量同一个油滴时，由于油滴的挥发，会使哪些测量量发生变化。</w:t>
      </w:r>
    </w:p>
    <w:p>
      <w:pPr>
        <w:numPr>
          <w:ilvl w:val="0"/>
          <w:numId w:val="1000"/>
        </w:numPr>
      </w:pPr>
      <w:r>
        <w:t xml:space="preserve">答：油滴的质量减小，油滴的重力及油滴所受到的空气阻力等将要变化，这将导至平衡电压的减小、油滴匀速下降1.6mm所用的时间增大。但从油滴所带电荷量的表达式可以看出，这对油滴测量结果理论上没有影响。</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2021-12-21T11:40:31Z</dcterms:created>
  <dcterms:modified xsi:type="dcterms:W3CDTF">2021-12-21T11:40:31Z</dcterms:modified>
</cp:coreProperties>
</file>

<file path=docProps/custom.xml><?xml version="1.0" encoding="utf-8"?>
<Properties xmlns="http://schemas.openxmlformats.org/officeDocument/2006/custom-properties" xmlns:vt="http://schemas.openxmlformats.org/officeDocument/2006/docPropsVTypes"/>
</file>